
<file path=[Content_Types].xml><?xml version="1.0" encoding="utf-8"?>
<Types xmlns="http://schemas.openxmlformats.org/package/2006/content-types">
  <Override PartName="/word/charts/chart10.xml" ContentType="application/vnd.openxmlformats-officedocument.drawingml.chart+xml"/>
  <Override PartName="/word/theme/themeOverride5.xml" ContentType="application/vnd.openxmlformats-officedocument.themeOverride+xml"/>
  <Override PartName="/word/theme/themeOverride15.xml" ContentType="application/vnd.openxmlformats-officedocument.themeOverride+xml"/>
  <Override PartName="/customXml/itemProps1.xml" ContentType="application/vnd.openxmlformats-officedocument.customXmlProperties+xml"/>
  <Override PartName="/word/charts/chart99.xml" ContentType="application/vnd.openxmlformats-officedocument.drawingml.chart+xml"/>
  <Override PartName="/word/theme/themeOverride22.xml" ContentType="application/vnd.openxmlformats-officedocument.themeOverride+xml"/>
  <Override PartName="/word/theme/themeOverride1.xml" ContentType="application/vnd.openxmlformats-officedocument.themeOverride+xml"/>
  <Override PartName="/word/charts/chart59.xml" ContentType="application/vnd.openxmlformats-officedocument.drawingml.chart+xml"/>
  <Override PartName="/word/drawings/drawing6.xml" ContentType="application/vnd.openxmlformats-officedocument.drawingml.chartshapes+xml"/>
  <Override PartName="/word/charts/chart77.xml" ContentType="application/vnd.openxmlformats-officedocument.drawingml.chart+xml"/>
  <Override PartName="/word/charts/chart88.xml" ContentType="application/vnd.openxmlformats-officedocument.drawingml.chart+xml"/>
  <Override PartName="/word/theme/themeOverride11.xml" ContentType="application/vnd.openxmlformats-officedocument.themeOverride+xml"/>
  <Override PartName="/word/charts/chart109.xml" ContentType="application/vnd.openxmlformats-officedocument.drawingml.chart+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charts/chart9.xml" ContentType="application/vnd.openxmlformats-officedocument.drawingml.chart+xml"/>
  <Override PartName="/word/charts/chart19.xml" ContentType="application/vnd.openxmlformats-officedocument.drawingml.chart+xml"/>
  <Override PartName="/word/charts/chart48.xml" ContentType="application/vnd.openxmlformats-officedocument.drawingml.chart+xml"/>
  <Override PartName="/word/charts/chart66.xml" ContentType="application/vnd.openxmlformats-officedocument.drawingml.chart+xml"/>
  <Override PartName="/word/charts/chart95.xml" ContentType="application/vnd.openxmlformats-officedocument.drawingml.chart+xml"/>
  <Override PartName="/word/charts/chart26.xml" ContentType="application/vnd.openxmlformats-officedocument.drawingml.chart+xml"/>
  <Override PartName="/word/charts/chart37.xml" ContentType="application/vnd.openxmlformats-officedocument.drawingml.chart+xml"/>
  <Override PartName="/word/charts/chart55.xml" ContentType="application/vnd.openxmlformats-officedocument.drawingml.chart+xml"/>
  <Override PartName="/word/drawings/drawing2.xml" ContentType="application/vnd.openxmlformats-officedocument.drawingml.chartshapes+xml"/>
  <Override PartName="/word/charts/chart73.xml" ContentType="application/vnd.openxmlformats-officedocument.drawingml.chart+xml"/>
  <Override PartName="/word/charts/chart84.xml" ContentType="application/vnd.openxmlformats-officedocument.drawingml.chart+xml"/>
  <Override PartName="/word/charts/chart105.xml" ContentType="application/vnd.openxmlformats-officedocument.drawingml.chart+xml"/>
  <Override PartName="/word/charts/chart116.xml" ContentType="application/vnd.openxmlformats-officedocument.drawingml.chart+xml"/>
  <Override PartName="/word/charts/chart5.xml" ContentType="application/vnd.openxmlformats-officedocument.drawingml.chart+xml"/>
  <Override PartName="/word/charts/chart15.xml" ContentType="application/vnd.openxmlformats-officedocument.drawingml.chart+xml"/>
  <Override PartName="/word/charts/chart44.xml" ContentType="application/vnd.openxmlformats-officedocument.drawingml.chart+xml"/>
  <Override PartName="/word/charts/chart62.xml" ContentType="application/vnd.openxmlformats-officedocument.drawingml.chart+xml"/>
  <Override PartName="/word/charts/chart91.xml" ContentType="application/vnd.openxmlformats-officedocument.drawingml.chart+xml"/>
  <Override PartName="/word/charts/chart112.xml" ContentType="application/vnd.openxmlformats-officedocument.drawingml.chart+xml"/>
  <Override PartName="/word/charts/chart123.xml" ContentType="application/vnd.openxmlformats-officedocument.drawingml.chart+xml"/>
  <Default Extension="xlsx" ContentType="application/vnd.openxmlformats-officedocument.spreadsheetml.sheet"/>
  <Override PartName="/word/charts/chart22.xml" ContentType="application/vnd.openxmlformats-officedocument.drawingml.chart+xml"/>
  <Override PartName="/word/charts/chart33.xml" ContentType="application/vnd.openxmlformats-officedocument.drawingml.chart+xml"/>
  <Override PartName="/word/charts/chart51.xml" ContentType="application/vnd.openxmlformats-officedocument.drawingml.chart+xml"/>
  <Override PartName="/word/charts/chart80.xml" ContentType="application/vnd.openxmlformats-officedocument.drawingml.chart+xml"/>
  <Override PartName="/word/charts/chart101.xml" ContentType="application/vnd.openxmlformats-officedocument.drawingml.chart+xml"/>
  <Override PartName="/word/charts/chart1.xml" ContentType="application/vnd.openxmlformats-officedocument.drawingml.chart+xml"/>
  <Override PartName="/word/charts/chart11.xml" ContentType="application/vnd.openxmlformats-officedocument.drawingml.chart+xml"/>
  <Override PartName="/word/charts/chart40.xml" ContentType="application/vnd.openxmlformats-officedocument.drawingml.chart+xml"/>
  <Override PartName="/word/theme/themeOverride6.xml" ContentType="application/vnd.openxmlformats-officedocument.themeOverride+xml"/>
  <Override PartName="/word/theme/themeOverride16.xml" ContentType="application/vnd.openxmlformats-officedocument.themeOverride+xml"/>
  <Override PartName="/word/theme/themeOverride2.xml" ContentType="application/vnd.openxmlformats-officedocument.themeOverride+xml"/>
  <Override PartName="/word/charts/chart89.xml" ContentType="application/vnd.openxmlformats-officedocument.drawingml.chart+xml"/>
  <Override PartName="/word/theme/themeOverride23.xml" ContentType="application/vnd.openxmlformats-officedocument.themeOverride+xml"/>
  <Override PartName="/word/charts/chart49.xml" ContentType="application/vnd.openxmlformats-officedocument.drawingml.chart+xml"/>
  <Override PartName="/word/charts/chart78.xml" ContentType="application/vnd.openxmlformats-officedocument.drawingml.chart+xml"/>
  <Default Extension="emf" ContentType="image/x-emf"/>
  <Override PartName="/word/charts/chart96.xml" ContentType="application/vnd.openxmlformats-officedocument.drawingml.chart+xml"/>
  <Override PartName="/word/theme/themeOverride12.xml" ContentType="application/vnd.openxmlformats-officedocument.themeOverride+xml"/>
  <Override PartName="/word/charts/chart38.xml" ContentType="application/vnd.openxmlformats-officedocument.drawingml.chart+xml"/>
  <Override PartName="/word/drawings/drawing3.xml" ContentType="application/vnd.openxmlformats-officedocument.drawingml.chartshapes+xml"/>
  <Override PartName="/word/charts/chart67.xml" ContentType="application/vnd.openxmlformats-officedocument.drawingml.chart+xml"/>
  <Override PartName="/word/charts/chart85.xml" ContentType="application/vnd.openxmlformats-officedocument.drawingml.chart+xml"/>
  <Override PartName="/word/charts/chart117.xml" ContentType="application/vnd.openxmlformats-officedocument.drawingml.chart+xml"/>
  <Override PartName="/docProps/app.xml" ContentType="application/vnd.openxmlformats-officedocument.extended-properties+xml"/>
  <Override PartName="/word/charts/chart6.xml" ContentType="application/vnd.openxmlformats-officedocument.drawingml.chart+xml"/>
  <Override PartName="/word/charts/chart27.xml" ContentType="application/vnd.openxmlformats-officedocument.drawingml.chart+xml"/>
  <Override PartName="/word/charts/chart45.xml" ContentType="application/vnd.openxmlformats-officedocument.drawingml.chart+xml"/>
  <Override PartName="/word/charts/chart56.xml" ContentType="application/vnd.openxmlformats-officedocument.drawingml.chart+xml"/>
  <Override PartName="/word/charts/chart74.xml" ContentType="application/vnd.openxmlformats-officedocument.drawingml.chart+xml"/>
  <Override PartName="/word/charts/chart92.xml" ContentType="application/vnd.openxmlformats-officedocument.drawingml.chart+xml"/>
  <Override PartName="/word/charts/chart106.xml" ContentType="application/vnd.openxmlformats-officedocument.drawingml.chart+xml"/>
  <Override PartName="/word/charts/chart124.xml" ContentType="application/vnd.openxmlformats-officedocument.drawingml.chart+xml"/>
  <Override PartName="/word/charts/chart4.xml" ContentType="application/vnd.openxmlformats-officedocument.drawingml.chart+xml"/>
  <Override PartName="/word/charts/chart16.xml" ContentType="application/vnd.openxmlformats-officedocument.drawingml.chart+xml"/>
  <Override PartName="/word/charts/chart25.xml" ContentType="application/vnd.openxmlformats-officedocument.drawingml.chart+xml"/>
  <Override PartName="/word/charts/chart34.xml" ContentType="application/vnd.openxmlformats-officedocument.drawingml.chart+xml"/>
  <Override PartName="/word/charts/chart43.xml" ContentType="application/vnd.openxmlformats-officedocument.drawingml.chart+xml"/>
  <Override PartName="/word/charts/chart52.xml" ContentType="application/vnd.openxmlformats-officedocument.drawingml.chart+xml"/>
  <Override PartName="/word/charts/chart63.xml" ContentType="application/vnd.openxmlformats-officedocument.drawingml.chart+xml"/>
  <Override PartName="/word/charts/chart72.xml" ContentType="application/vnd.openxmlformats-officedocument.drawingml.chart+xml"/>
  <Override PartName="/word/charts/chart81.xml" ContentType="application/vnd.openxmlformats-officedocument.drawingml.chart+xml"/>
  <Override PartName="/word/charts/chart90.xml" ContentType="application/vnd.openxmlformats-officedocument.drawingml.chart+xml"/>
  <Override PartName="/word/charts/chart104.xml" ContentType="application/vnd.openxmlformats-officedocument.drawingml.chart+xml"/>
  <Override PartName="/word/charts/chart113.xml" ContentType="application/vnd.openxmlformats-officedocument.drawingml.chart+xml"/>
  <Override PartName="/word/charts/chart122.xml" ContentType="application/vnd.openxmlformats-officedocument.drawingml.chart+xml"/>
  <Override PartName="/word/theme/theme1.xml" ContentType="application/vnd.openxmlformats-officedocument.theme+xml"/>
  <Override PartName="/word/charts/chart2.xml" ContentType="application/vnd.openxmlformats-officedocument.drawingml.chart+xml"/>
  <Override PartName="/word/charts/chart14.xml" ContentType="application/vnd.openxmlformats-officedocument.drawingml.chart+xml"/>
  <Override PartName="/word/charts/chart23.xml" ContentType="application/vnd.openxmlformats-officedocument.drawingml.chart+xml"/>
  <Override PartName="/word/charts/chart32.xml" ContentType="application/vnd.openxmlformats-officedocument.drawingml.chart+xml"/>
  <Override PartName="/word/charts/chart41.xml" ContentType="application/vnd.openxmlformats-officedocument.drawingml.chart+xml"/>
  <Override PartName="/word/charts/chart50.xml" ContentType="application/vnd.openxmlformats-officedocument.drawingml.chart+xml"/>
  <Override PartName="/word/charts/chart61.xml" ContentType="application/vnd.openxmlformats-officedocument.drawingml.chart+xml"/>
  <Override PartName="/word/charts/chart70.xml" ContentType="application/vnd.openxmlformats-officedocument.drawingml.chart+xml"/>
  <Override PartName="/word/theme/themeOverride9.xml" ContentType="application/vnd.openxmlformats-officedocument.themeOverride+xml"/>
  <Override PartName="/word/charts/chart102.xml" ContentType="application/vnd.openxmlformats-officedocument.drawingml.chart+xml"/>
  <Override PartName="/word/charts/chart111.xml" ContentType="application/vnd.openxmlformats-officedocument.drawingml.chart+xml"/>
  <Override PartName="/word/theme/themeOverride19.xml" ContentType="application/vnd.openxmlformats-officedocument.themeOverride+xml"/>
  <Override PartName="/word/charts/chart120.xml" ContentType="application/vnd.openxmlformats-officedocument.drawingml.chart+xml"/>
  <Override PartName="/word/fontTable.xml" ContentType="application/vnd.openxmlformats-officedocument.wordprocessingml.fontTable+xml"/>
  <Override PartName="/word/webSettings.xml" ContentType="application/vnd.openxmlformats-officedocument.wordprocessingml.webSettings+xml"/>
  <Override PartName="/word/charts/chart12.xml" ContentType="application/vnd.openxmlformats-officedocument.drawingml.chart+xml"/>
  <Override PartName="/word/charts/chart21.xml" ContentType="application/vnd.openxmlformats-officedocument.drawingml.chart+xml"/>
  <Override PartName="/word/charts/chart30.xml" ContentType="application/vnd.openxmlformats-officedocument.drawingml.chart+xml"/>
  <Override PartName="/word/theme/themeOverride7.xml" ContentType="application/vnd.openxmlformats-officedocument.themeOverride+xml"/>
  <Override PartName="/word/charts/chart100.xml" ContentType="application/vnd.openxmlformats-officedocument.drawingml.chart+xml"/>
  <Override PartName="/word/theme/themeOverride17.xml" ContentType="application/vnd.openxmlformats-officedocument.themeOverride+xml"/>
  <Override PartName="/docProps/core.xml" ContentType="application/vnd.openxmlformats-package.core-properties+xml"/>
  <Override PartName="/word/footnotes.xml" ContentType="application/vnd.openxmlformats-officedocument.wordprocessingml.footnotes+xml"/>
  <Override PartName="/word/theme/themeOverride24.xml" ContentType="application/vnd.openxmlformats-officedocument.themeOverride+xml"/>
  <Override PartName="/word/theme/themeOverride3.xml" ContentType="application/vnd.openxmlformats-officedocument.themeOverride+xml"/>
  <Override PartName="/word/theme/themeOverride13.xml" ContentType="application/vnd.openxmlformats-officedocument.themeOverride+xml"/>
  <Override PartName="/word/charts/chart68.xml" ContentType="application/vnd.openxmlformats-officedocument.drawingml.chart+xml"/>
  <Override PartName="/word/charts/chart79.xml" ContentType="application/vnd.openxmlformats-officedocument.drawingml.chart+xml"/>
  <Override PartName="/word/charts/chart97.xml" ContentType="application/vnd.openxmlformats-officedocument.drawingml.chart+xml"/>
  <Override PartName="/word/theme/themeOverride20.xml" ContentType="application/vnd.openxmlformats-officedocument.themeOverride+xml"/>
  <Default Extension="rels" ContentType="application/vnd.openxmlformats-package.relationships+xml"/>
  <Override PartName="/word/charts/chart28.xml" ContentType="application/vnd.openxmlformats-officedocument.drawingml.chart+xml"/>
  <Override PartName="/word/charts/chart39.xml" ContentType="application/vnd.openxmlformats-officedocument.drawingml.chart+xml"/>
  <Override PartName="/word/charts/chart57.xml" ContentType="application/vnd.openxmlformats-officedocument.drawingml.chart+xml"/>
  <Override PartName="/word/drawings/drawing4.xml" ContentType="application/vnd.openxmlformats-officedocument.drawingml.chartshapes+xml"/>
  <Override PartName="/word/charts/chart75.xml" ContentType="application/vnd.openxmlformats-officedocument.drawingml.chart+xml"/>
  <Override PartName="/word/charts/chart86.xml" ContentType="application/vnd.openxmlformats-officedocument.drawingml.chart+xml"/>
  <Override PartName="/word/charts/chart107.xml" ContentType="application/vnd.openxmlformats-officedocument.drawingml.chart+xml"/>
  <Override PartName="/word/charts/chart118.xml" ContentType="application/vnd.openxmlformats-officedocument.drawingml.chart+xml"/>
  <Override PartName="/word/charts/chart7.xml" ContentType="application/vnd.openxmlformats-officedocument.drawingml.chart+xml"/>
  <Override PartName="/word/charts/chart17.xml" ContentType="application/vnd.openxmlformats-officedocument.drawingml.chart+xml"/>
  <Override PartName="/word/charts/chart46.xml" ContentType="application/vnd.openxmlformats-officedocument.drawingml.chart+xml"/>
  <Override PartName="/word/charts/chart64.xml" ContentType="application/vnd.openxmlformats-officedocument.drawingml.chart+xml"/>
  <Override PartName="/word/charts/chart93.xml" ContentType="application/vnd.openxmlformats-officedocument.drawingml.chart+xml"/>
  <Override PartName="/word/charts/chart114.xml" ContentType="application/vnd.openxmlformats-officedocument.drawingml.chart+xml"/>
  <Override PartName="/word/charts/chart125.xml" ContentType="application/vnd.openxmlformats-officedocument.drawingml.chart+xml"/>
  <Override PartName="/word/charts/chart24.xml" ContentType="application/vnd.openxmlformats-officedocument.drawingml.chart+xml"/>
  <Override PartName="/word/charts/chart35.xml" ContentType="application/vnd.openxmlformats-officedocument.drawingml.chart+xml"/>
  <Override PartName="/word/charts/chart53.xml" ContentType="application/vnd.openxmlformats-officedocument.drawingml.chart+xml"/>
  <Override PartName="/word/charts/chart71.xml" ContentType="application/vnd.openxmlformats-officedocument.drawingml.chart+xml"/>
  <Override PartName="/word/charts/chart82.xml" ContentType="application/vnd.openxmlformats-officedocument.drawingml.chart+xml"/>
  <Override PartName="/word/footer1.xml" ContentType="application/vnd.openxmlformats-officedocument.wordprocessingml.footer+xml"/>
  <Override PartName="/word/charts/chart103.xml" ContentType="application/vnd.openxmlformats-officedocument.drawingml.chart+xml"/>
  <Override PartName="/word/charts/chart3.xml" ContentType="application/vnd.openxmlformats-officedocument.drawingml.chart+xml"/>
  <Override PartName="/word/charts/chart13.xml" ContentType="application/vnd.openxmlformats-officedocument.drawingml.chart+xml"/>
  <Override PartName="/word/charts/chart31.xml" ContentType="application/vnd.openxmlformats-officedocument.drawingml.chart+xml"/>
  <Override PartName="/word/charts/chart42.xml" ContentType="application/vnd.openxmlformats-officedocument.drawingml.chart+xml"/>
  <Override PartName="/word/charts/chart60.xml" ContentType="application/vnd.openxmlformats-officedocument.drawingml.chart+xml"/>
  <Override PartName="/word/theme/themeOverride8.xml" ContentType="application/vnd.openxmlformats-officedocument.themeOverride+xml"/>
  <Override PartName="/word/charts/chart110.xml" ContentType="application/vnd.openxmlformats-officedocument.drawingml.chart+xml"/>
  <Override PartName="/word/charts/chart121.xml" ContentType="application/vnd.openxmlformats-officedocument.drawingml.chart+xml"/>
  <Override PartName="/word/charts/chart20.xml" ContentType="application/vnd.openxmlformats-officedocument.drawingml.chart+xml"/>
  <Override PartName="/word/theme/themeOverride18.xml" ContentType="application/vnd.openxmlformats-officedocument.themeOverride+xml"/>
  <Override PartName="/word/theme/themeOverride4.xml" ContentType="application/vnd.openxmlformats-officedocument.themeOverride+xml"/>
  <Override PartName="/word/theme/themeOverride25.xml" ContentType="application/vnd.openxmlformats-officedocument.themeOverride+xml"/>
  <Override PartName="/word/charts/chart98.xml" ContentType="application/vnd.openxmlformats-officedocument.drawingml.chart+xml"/>
  <Override PartName="/word/theme/themeOverride14.xml" ContentType="application/vnd.openxmlformats-officedocument.themeOverride+xml"/>
  <Override PartName="/word/charts/chart69.xml" ContentType="application/vnd.openxmlformats-officedocument.drawingml.chart+xml"/>
  <Override PartName="/word/charts/chart87.xml" ContentType="application/vnd.openxmlformats-officedocument.drawingml.chart+xml"/>
  <Override PartName="/word/theme/themeOverride21.xml" ContentType="application/vnd.openxmlformats-officedocument.themeOverride+xml"/>
  <Override PartName="/word/charts/chart119.xml" ContentType="application/vnd.openxmlformats-officedocument.drawingml.chart+xml"/>
  <Override PartName="/word/numbering.xml" ContentType="application/vnd.openxmlformats-officedocument.wordprocessingml.numbering+xml"/>
  <Override PartName="/word/endnotes.xml" ContentType="application/vnd.openxmlformats-officedocument.wordprocessingml.endnotes+xml"/>
  <Override PartName="/word/charts/chart8.xml" ContentType="application/vnd.openxmlformats-officedocument.drawingml.chart+xml"/>
  <Override PartName="/word/charts/chart29.xml" ContentType="application/vnd.openxmlformats-officedocument.drawingml.chart+xml"/>
  <Override PartName="/word/charts/chart47.xml" ContentType="application/vnd.openxmlformats-officedocument.drawingml.chart+xml"/>
  <Override PartName="/word/charts/chart58.xml" ContentType="application/vnd.openxmlformats-officedocument.drawingml.chart+xml"/>
  <Override PartName="/word/drawings/drawing5.xml" ContentType="application/vnd.openxmlformats-officedocument.drawingml.chartshapes+xml"/>
  <Override PartName="/word/charts/chart76.xml" ContentType="application/vnd.openxmlformats-officedocument.drawingml.chart+xml"/>
  <Override PartName="/word/theme/themeOverride10.xml" ContentType="application/vnd.openxmlformats-officedocument.themeOverride+xml"/>
  <Override PartName="/word/charts/chart94.xml" ContentType="application/vnd.openxmlformats-officedocument.drawingml.chart+xml"/>
  <Override PartName="/word/charts/chart108.xml" ContentType="application/vnd.openxmlformats-officedocument.drawingml.chart+xml"/>
  <Override PartName="/word/settings.xml" ContentType="application/vnd.openxmlformats-officedocument.wordprocessingml.settings+xml"/>
  <Override PartName="/word/drawings/drawing1.xml" ContentType="application/vnd.openxmlformats-officedocument.drawingml.chartshapes+xml"/>
  <Override PartName="/word/charts/chart18.xml" ContentType="application/vnd.openxmlformats-officedocument.drawingml.chart+xml"/>
  <Override PartName="/word/charts/chart36.xml" ContentType="application/vnd.openxmlformats-officedocument.drawingml.chart+xml"/>
  <Override PartName="/word/charts/chart54.xml" ContentType="application/vnd.openxmlformats-officedocument.drawingml.chart+xml"/>
  <Override PartName="/word/charts/chart65.xml" ContentType="application/vnd.openxmlformats-officedocument.drawingml.chart+xml"/>
  <Override PartName="/word/charts/chart83.xml" ContentType="application/vnd.openxmlformats-officedocument.drawingml.chart+xml"/>
  <Override PartName="/word/charts/chart115.xml" ContentType="application/vnd.openxmlformats-officedocument.drawingml.chart+xml"/>
  <Override PartName="/word/footer2.xml" ContentType="application/vnd.openxmlformats-officedocument.wordprocessingml.footer+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B41645" w:rsidRDefault="00B41645" w:rsidP="00B41645">
      <w:pPr>
        <w:jc w:val="center"/>
        <w:rPr>
          <w:rFonts w:ascii="Arial" w:hAnsi="Arial" w:cs="Arial"/>
          <w:b/>
          <w:sz w:val="36"/>
          <w:szCs w:val="36"/>
        </w:rPr>
      </w:pPr>
    </w:p>
    <w:p w:rsidR="00B41645" w:rsidRDefault="00B41645" w:rsidP="00B41645">
      <w:pPr>
        <w:jc w:val="center"/>
        <w:rPr>
          <w:rFonts w:ascii="Arial" w:hAnsi="Arial" w:cs="Arial"/>
          <w:b/>
          <w:sz w:val="36"/>
          <w:szCs w:val="36"/>
        </w:rPr>
      </w:pPr>
    </w:p>
    <w:p w:rsidR="00B41645" w:rsidRDefault="00B41645" w:rsidP="00D93C2D">
      <w:pPr>
        <w:rPr>
          <w:rFonts w:ascii="Arial" w:hAnsi="Arial" w:cs="Arial"/>
          <w:b/>
          <w:sz w:val="36"/>
          <w:szCs w:val="36"/>
        </w:rPr>
      </w:pPr>
    </w:p>
    <w:p w:rsidR="00B41645" w:rsidRPr="00411B7A" w:rsidRDefault="00B41645" w:rsidP="00B41645">
      <w:pPr>
        <w:spacing w:line="360" w:lineRule="auto"/>
        <w:jc w:val="center"/>
        <w:rPr>
          <w:rFonts w:ascii="Arial" w:hAnsi="Arial" w:cs="Arial"/>
          <w:b/>
          <w:sz w:val="36"/>
          <w:szCs w:val="36"/>
        </w:rPr>
      </w:pPr>
      <w:r w:rsidRPr="00411B7A">
        <w:rPr>
          <w:rFonts w:ascii="Arial" w:hAnsi="Arial" w:cs="Arial"/>
          <w:b/>
          <w:sz w:val="36"/>
          <w:szCs w:val="36"/>
        </w:rPr>
        <w:t>RAPORTUL ANUAL PRIVIND STAREA MEDIULUI PENTRU JUDEȚUL BRĂILA</w:t>
      </w:r>
    </w:p>
    <w:p w:rsidR="006C6BC9" w:rsidRDefault="00B41645" w:rsidP="00B41645">
      <w:pPr>
        <w:spacing w:line="360" w:lineRule="auto"/>
        <w:jc w:val="center"/>
        <w:rPr>
          <w:rFonts w:ascii="Arial" w:eastAsia="Times New Roman" w:hAnsi="Arial" w:cs="Arial"/>
          <w:color w:val="000000"/>
          <w:lang w:val="ro-RO" w:eastAsia="ro-RO"/>
        </w:rPr>
      </w:pPr>
      <w:r w:rsidRPr="00411B7A">
        <w:rPr>
          <w:rFonts w:ascii="Arial" w:hAnsi="Arial" w:cs="Arial"/>
          <w:b/>
          <w:sz w:val="36"/>
          <w:szCs w:val="36"/>
        </w:rPr>
        <w:t>ANUL 2014</w:t>
      </w:r>
    </w:p>
    <w:p w:rsidR="00B41645" w:rsidRDefault="00B41645">
      <w:pPr>
        <w:rPr>
          <w:rFonts w:ascii="Arial" w:eastAsia="Times New Roman" w:hAnsi="Arial" w:cs="Arial"/>
          <w:color w:val="000000"/>
          <w:lang w:val="ro-RO" w:eastAsia="ro-RO"/>
        </w:rPr>
      </w:pPr>
    </w:p>
    <w:p w:rsidR="006C6BC9" w:rsidRDefault="006C6BC9">
      <w:pPr>
        <w:rPr>
          <w:rFonts w:ascii="Arial" w:eastAsia="Times New Roman" w:hAnsi="Arial" w:cs="Arial"/>
          <w:color w:val="000000"/>
          <w:lang w:val="ro-RO" w:eastAsia="ro-RO"/>
        </w:rPr>
      </w:pPr>
      <w:r>
        <w:rPr>
          <w:rFonts w:ascii="Arial" w:eastAsia="Times New Roman" w:hAnsi="Arial" w:cs="Arial"/>
          <w:color w:val="000000"/>
          <w:lang w:val="ro-RO" w:eastAsia="ro-RO"/>
        </w:rPr>
        <w:br w:type="page"/>
      </w:r>
    </w:p>
    <w:p w:rsidR="00676E7B" w:rsidRPr="00F8015F" w:rsidRDefault="00676E7B" w:rsidP="00676E7B">
      <w:pPr>
        <w:spacing w:line="360" w:lineRule="auto"/>
        <w:jc w:val="center"/>
        <w:rPr>
          <w:b/>
          <w:sz w:val="26"/>
          <w:szCs w:val="26"/>
          <w:lang w:val="ro-RO"/>
        </w:rPr>
      </w:pPr>
      <w:r w:rsidRPr="003E1369">
        <w:rPr>
          <w:b/>
          <w:sz w:val="28"/>
          <w:szCs w:val="26"/>
          <w:lang w:val="ro-RO"/>
        </w:rPr>
        <w:lastRenderedPageBreak/>
        <w:t>CUPRINS</w:t>
      </w:r>
    </w:p>
    <w:p w:rsidR="00676E7B" w:rsidRPr="00CC79AE" w:rsidRDefault="00676E7B" w:rsidP="00676E7B">
      <w:pPr>
        <w:ind w:left="720"/>
        <w:rPr>
          <w:b/>
          <w:color w:val="FF0000"/>
          <w:sz w:val="28"/>
          <w:szCs w:val="28"/>
          <w:lang w:val="ro-RO"/>
        </w:rPr>
      </w:pPr>
    </w:p>
    <w:p w:rsidR="00676E7B" w:rsidRPr="001A2301" w:rsidRDefault="00676E7B" w:rsidP="00676E7B">
      <w:pPr>
        <w:tabs>
          <w:tab w:val="left" w:pos="540"/>
          <w:tab w:val="left" w:leader="dot" w:pos="9356"/>
        </w:tabs>
        <w:spacing w:line="360" w:lineRule="auto"/>
        <w:rPr>
          <w:b/>
          <w:sz w:val="26"/>
          <w:szCs w:val="26"/>
          <w:lang w:val="ro-RO"/>
        </w:rPr>
      </w:pPr>
      <w:r>
        <w:rPr>
          <w:b/>
          <w:sz w:val="26"/>
          <w:szCs w:val="26"/>
          <w:lang w:val="ro-RO"/>
        </w:rPr>
        <w:t>I.</w:t>
      </w:r>
      <w:r w:rsidRPr="001A2301">
        <w:rPr>
          <w:b/>
          <w:sz w:val="26"/>
          <w:szCs w:val="26"/>
          <w:lang w:val="ro-RO"/>
        </w:rPr>
        <w:t>CALITATEA ŞI</w:t>
      </w:r>
      <w:r>
        <w:rPr>
          <w:b/>
          <w:sz w:val="26"/>
          <w:szCs w:val="26"/>
          <w:lang w:val="ro-RO"/>
        </w:rPr>
        <w:t xml:space="preserve"> POLUAREA AERULUI ÎNCONJURĂTOR ...........................          </w:t>
      </w:r>
      <w:r w:rsidR="008003DD">
        <w:rPr>
          <w:b/>
          <w:sz w:val="26"/>
          <w:szCs w:val="26"/>
          <w:lang w:val="ro-RO"/>
        </w:rPr>
        <w:t xml:space="preserve">  </w:t>
      </w:r>
      <w:r>
        <w:rPr>
          <w:b/>
          <w:sz w:val="26"/>
          <w:szCs w:val="26"/>
          <w:lang w:val="ro-RO"/>
        </w:rPr>
        <w:t xml:space="preserve"> </w:t>
      </w:r>
      <w:r>
        <w:rPr>
          <w:sz w:val="26"/>
          <w:szCs w:val="26"/>
          <w:lang w:val="ro-RO"/>
        </w:rPr>
        <w:t>5</w:t>
      </w:r>
      <w:r w:rsidRPr="001A2301">
        <w:rPr>
          <w:b/>
          <w:sz w:val="26"/>
          <w:szCs w:val="26"/>
          <w:lang w:val="ro-RO"/>
        </w:rPr>
        <w:t xml:space="preserve"> </w:t>
      </w:r>
    </w:p>
    <w:p w:rsidR="00676E7B" w:rsidRPr="001A2301" w:rsidRDefault="00676E7B" w:rsidP="00676E7B">
      <w:pPr>
        <w:tabs>
          <w:tab w:val="left" w:leader="dot" w:pos="9356"/>
        </w:tabs>
        <w:rPr>
          <w:b/>
          <w:szCs w:val="26"/>
          <w:lang w:val="ro-RO"/>
        </w:rPr>
      </w:pPr>
      <w:r>
        <w:rPr>
          <w:b/>
          <w:szCs w:val="26"/>
          <w:lang w:val="ro-RO"/>
        </w:rPr>
        <w:t xml:space="preserve"> I.1.</w:t>
      </w:r>
      <w:r w:rsidRPr="001A2301">
        <w:rPr>
          <w:b/>
          <w:szCs w:val="26"/>
          <w:lang w:val="ro-RO"/>
        </w:rPr>
        <w:t>Calitatea aerului în</w:t>
      </w:r>
      <w:r>
        <w:rPr>
          <w:b/>
          <w:szCs w:val="26"/>
          <w:lang w:val="ro-RO"/>
        </w:rPr>
        <w:t xml:space="preserve">conjurător: stare şi consecinţe.........................................................           </w:t>
      </w:r>
      <w:r w:rsidR="008003DD">
        <w:rPr>
          <w:b/>
          <w:szCs w:val="26"/>
          <w:lang w:val="ro-RO"/>
        </w:rPr>
        <w:t xml:space="preserve">  </w:t>
      </w:r>
      <w:r>
        <w:rPr>
          <w:sz w:val="26"/>
          <w:szCs w:val="26"/>
          <w:lang w:val="ro-RO"/>
        </w:rPr>
        <w:t>5</w:t>
      </w:r>
      <w:r w:rsidRPr="009D49A7">
        <w:rPr>
          <w:szCs w:val="26"/>
          <w:lang w:val="ro-RO"/>
        </w:rPr>
        <w:t xml:space="preserve"> </w:t>
      </w:r>
    </w:p>
    <w:p w:rsidR="00676E7B" w:rsidRPr="001A2301" w:rsidRDefault="00676E7B" w:rsidP="00676E7B">
      <w:pPr>
        <w:tabs>
          <w:tab w:val="left" w:pos="1134"/>
          <w:tab w:val="left" w:leader="dot" w:pos="9356"/>
        </w:tabs>
        <w:ind w:left="170"/>
        <w:rPr>
          <w:i/>
          <w:sz w:val="22"/>
          <w:szCs w:val="26"/>
          <w:lang w:val="ro-RO"/>
        </w:rPr>
      </w:pPr>
      <w:r w:rsidRPr="00F3306F">
        <w:rPr>
          <w:b/>
          <w:i/>
          <w:sz w:val="22"/>
          <w:szCs w:val="26"/>
          <w:lang w:val="ro-RO"/>
        </w:rPr>
        <w:t>I.1.1.</w:t>
      </w:r>
      <w:r w:rsidRPr="001A2301">
        <w:rPr>
          <w:i/>
          <w:sz w:val="22"/>
          <w:szCs w:val="26"/>
          <w:lang w:val="ro-RO"/>
        </w:rPr>
        <w:t>Starea de calitate a aerului înconjurător</w:t>
      </w:r>
      <w:r w:rsidRPr="001A2301">
        <w:rPr>
          <w:i/>
          <w:sz w:val="22"/>
          <w:szCs w:val="26"/>
          <w:lang w:val="ro-RO"/>
        </w:rPr>
        <w:tab/>
        <w:t xml:space="preserve"> </w:t>
      </w:r>
      <w:r>
        <w:rPr>
          <w:i/>
          <w:sz w:val="22"/>
          <w:szCs w:val="26"/>
          <w:lang w:val="ro-RO"/>
        </w:rPr>
        <w:t xml:space="preserve">   </w:t>
      </w:r>
      <w:r w:rsidR="008003DD">
        <w:rPr>
          <w:i/>
          <w:sz w:val="22"/>
          <w:szCs w:val="26"/>
          <w:lang w:val="ro-RO"/>
        </w:rPr>
        <w:t xml:space="preserve">  </w:t>
      </w:r>
      <w:r w:rsidRPr="00452239">
        <w:rPr>
          <w:sz w:val="26"/>
          <w:szCs w:val="26"/>
          <w:lang w:val="ro-RO"/>
        </w:rPr>
        <w:t>5</w:t>
      </w:r>
    </w:p>
    <w:p w:rsidR="00676E7B" w:rsidRPr="001A2301"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Nivelul concentraţiilor medii anuale ale poluanţilor atmosferici în aerul înconjurător </w:t>
      </w:r>
      <w:r w:rsidRPr="001A2301">
        <w:rPr>
          <w:sz w:val="20"/>
          <w:szCs w:val="26"/>
          <w:lang w:val="ro-RO"/>
        </w:rPr>
        <w:tab/>
        <w:t xml:space="preserve"> </w:t>
      </w:r>
      <w:r>
        <w:rPr>
          <w:sz w:val="20"/>
          <w:szCs w:val="26"/>
          <w:lang w:val="ro-RO"/>
        </w:rPr>
        <w:t xml:space="preserve">    </w:t>
      </w:r>
      <w:r w:rsidR="008003DD">
        <w:rPr>
          <w:sz w:val="20"/>
          <w:szCs w:val="26"/>
          <w:lang w:val="ro-RO"/>
        </w:rPr>
        <w:t xml:space="preserve"> </w:t>
      </w:r>
      <w:r>
        <w:rPr>
          <w:sz w:val="26"/>
          <w:szCs w:val="26"/>
          <w:lang w:val="ro-RO"/>
        </w:rPr>
        <w:t>5</w:t>
      </w:r>
      <w:r w:rsidRPr="001A2301">
        <w:rPr>
          <w:sz w:val="20"/>
          <w:szCs w:val="26"/>
          <w:lang w:val="ro-RO"/>
        </w:rPr>
        <w:t xml:space="preserve">  </w:t>
      </w:r>
    </w:p>
    <w:p w:rsidR="00676E7B" w:rsidRPr="001A2301"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Tendinţe privind concentraţiile medii anuale ale anumitor poluanţi atmosferici </w:t>
      </w:r>
      <w:r w:rsidRPr="001A2301">
        <w:rPr>
          <w:sz w:val="20"/>
          <w:szCs w:val="26"/>
          <w:lang w:val="ro-RO"/>
        </w:rPr>
        <w:tab/>
      </w:r>
      <w:r>
        <w:rPr>
          <w:sz w:val="20"/>
          <w:szCs w:val="26"/>
          <w:lang w:val="ro-RO"/>
        </w:rPr>
        <w:t xml:space="preserve"> </w:t>
      </w:r>
      <w:r w:rsidRPr="00293231">
        <w:rPr>
          <w:sz w:val="26"/>
          <w:szCs w:val="26"/>
          <w:lang w:val="ro-RO"/>
        </w:rPr>
        <w:t xml:space="preserve"> </w:t>
      </w:r>
      <w:r w:rsidR="008003DD">
        <w:rPr>
          <w:sz w:val="26"/>
          <w:szCs w:val="26"/>
          <w:lang w:val="ro-RO"/>
        </w:rPr>
        <w:t xml:space="preserve">   </w:t>
      </w:r>
      <w:r>
        <w:rPr>
          <w:sz w:val="26"/>
          <w:szCs w:val="26"/>
          <w:lang w:val="ro-RO"/>
        </w:rPr>
        <w:t>9</w:t>
      </w:r>
    </w:p>
    <w:p w:rsidR="00676E7B" w:rsidRPr="001A2301"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Depăşiri ale valorilor limită şi valorilor ţintă privind </w:t>
      </w:r>
    </w:p>
    <w:p w:rsidR="00676E7B" w:rsidRPr="001A2301" w:rsidRDefault="00676E7B" w:rsidP="00676E7B">
      <w:pPr>
        <w:tabs>
          <w:tab w:val="left" w:leader="dot" w:pos="9356"/>
        </w:tabs>
        <w:ind w:left="1418"/>
        <w:rPr>
          <w:sz w:val="20"/>
          <w:szCs w:val="26"/>
          <w:lang w:val="ro-RO"/>
        </w:rPr>
      </w:pPr>
      <w:r w:rsidRPr="001A2301">
        <w:rPr>
          <w:sz w:val="20"/>
          <w:szCs w:val="26"/>
          <w:lang w:val="ro-RO"/>
        </w:rPr>
        <w:t xml:space="preserve">         calitatea aerului înconjurător în zonele urbane </w:t>
      </w:r>
      <w:r w:rsidRPr="001A2301">
        <w:rPr>
          <w:sz w:val="20"/>
          <w:szCs w:val="26"/>
          <w:lang w:val="ro-RO"/>
        </w:rPr>
        <w:tab/>
      </w:r>
      <w:r>
        <w:rPr>
          <w:sz w:val="20"/>
          <w:szCs w:val="26"/>
          <w:lang w:val="ro-RO"/>
        </w:rPr>
        <w:t xml:space="preserve">  </w:t>
      </w:r>
      <w:r w:rsidR="008003DD">
        <w:rPr>
          <w:sz w:val="20"/>
          <w:szCs w:val="26"/>
          <w:lang w:val="ro-RO"/>
        </w:rPr>
        <w:t xml:space="preserve"> </w:t>
      </w:r>
      <w:r w:rsidRPr="00293231">
        <w:rPr>
          <w:sz w:val="26"/>
          <w:szCs w:val="26"/>
          <w:lang w:val="ro-RO"/>
        </w:rPr>
        <w:t>1</w:t>
      </w:r>
      <w:r>
        <w:rPr>
          <w:sz w:val="26"/>
          <w:szCs w:val="26"/>
          <w:lang w:val="ro-RO"/>
        </w:rPr>
        <w:t>5</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Factorii determinanţi şi presiunile care afectează </w:t>
      </w:r>
    </w:p>
    <w:p w:rsidR="00676E7B" w:rsidRPr="001A2301" w:rsidRDefault="00676E7B" w:rsidP="00676E7B">
      <w:pPr>
        <w:tabs>
          <w:tab w:val="left" w:pos="540"/>
          <w:tab w:val="left" w:leader="dot" w:pos="9356"/>
        </w:tabs>
        <w:ind w:left="737"/>
        <w:rPr>
          <w:b/>
          <w:szCs w:val="26"/>
          <w:lang w:val="ro-RO"/>
        </w:rPr>
      </w:pPr>
      <w:r w:rsidRPr="001A2301">
        <w:rPr>
          <w:b/>
          <w:szCs w:val="26"/>
          <w:lang w:val="ro-RO"/>
        </w:rPr>
        <w:t xml:space="preserve">      starea de calitate a aerului înconjurător</w:t>
      </w:r>
      <w:r w:rsidRPr="001A2301">
        <w:rPr>
          <w:b/>
          <w:szCs w:val="26"/>
          <w:lang w:val="ro-RO"/>
        </w:rPr>
        <w:tab/>
      </w:r>
      <w:r>
        <w:rPr>
          <w:b/>
          <w:szCs w:val="26"/>
          <w:lang w:val="ro-RO"/>
        </w:rPr>
        <w:t xml:space="preserve">  </w:t>
      </w:r>
      <w:r w:rsidRPr="00293231">
        <w:rPr>
          <w:sz w:val="26"/>
          <w:szCs w:val="26"/>
          <w:lang w:val="ro-RO"/>
        </w:rPr>
        <w:t>1</w:t>
      </w:r>
      <w:r>
        <w:rPr>
          <w:sz w:val="26"/>
          <w:szCs w:val="26"/>
          <w:lang w:val="ro-RO"/>
        </w:rPr>
        <w:t>5</w:t>
      </w:r>
    </w:p>
    <w:p w:rsidR="00676E7B" w:rsidRPr="001A2301" w:rsidRDefault="00676E7B" w:rsidP="00676E7B">
      <w:pPr>
        <w:numPr>
          <w:ilvl w:val="2"/>
          <w:numId w:val="88"/>
        </w:numPr>
        <w:tabs>
          <w:tab w:val="clear" w:pos="0"/>
          <w:tab w:val="left" w:pos="1134"/>
          <w:tab w:val="left" w:leader="dot" w:pos="9356"/>
        </w:tabs>
        <w:ind w:left="993"/>
        <w:rPr>
          <w:i/>
          <w:sz w:val="22"/>
          <w:szCs w:val="26"/>
          <w:lang w:val="ro-RO"/>
        </w:rPr>
      </w:pPr>
      <w:r w:rsidRPr="001A2301">
        <w:rPr>
          <w:i/>
          <w:sz w:val="22"/>
          <w:szCs w:val="26"/>
          <w:lang w:val="ro-RO"/>
        </w:rPr>
        <w:t>Emisiile de poluanţi atmosferici</w:t>
      </w:r>
      <w:r>
        <w:rPr>
          <w:i/>
          <w:sz w:val="22"/>
          <w:szCs w:val="26"/>
          <w:lang w:val="ro-RO"/>
        </w:rPr>
        <w:t xml:space="preserve"> şi principale surse de emisie ..................................................  </w:t>
      </w:r>
      <w:r w:rsidRPr="00293231">
        <w:rPr>
          <w:sz w:val="26"/>
          <w:szCs w:val="26"/>
          <w:lang w:val="ro-RO"/>
        </w:rPr>
        <w:t>1</w:t>
      </w:r>
      <w:r>
        <w:rPr>
          <w:sz w:val="26"/>
          <w:szCs w:val="26"/>
          <w:lang w:val="ro-RO"/>
        </w:rPr>
        <w:t>5</w:t>
      </w:r>
    </w:p>
    <w:p w:rsidR="00676E7B" w:rsidRPr="001A2301"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Energia </w:t>
      </w:r>
      <w:r w:rsidRPr="001A2301">
        <w:rPr>
          <w:sz w:val="20"/>
          <w:szCs w:val="26"/>
          <w:lang w:val="ro-RO"/>
        </w:rPr>
        <w:tab/>
        <w:t xml:space="preserve"> </w:t>
      </w:r>
      <w:r>
        <w:rPr>
          <w:sz w:val="20"/>
          <w:szCs w:val="26"/>
          <w:lang w:val="ro-RO"/>
        </w:rPr>
        <w:t xml:space="preserve">............................................................................................................................................    </w:t>
      </w:r>
      <w:r w:rsidRPr="00452239">
        <w:rPr>
          <w:sz w:val="26"/>
          <w:szCs w:val="26"/>
          <w:lang w:val="ro-RO"/>
        </w:rPr>
        <w:t>1</w:t>
      </w:r>
      <w:r>
        <w:rPr>
          <w:sz w:val="26"/>
          <w:szCs w:val="26"/>
          <w:lang w:val="ro-RO"/>
        </w:rPr>
        <w:t>5</w:t>
      </w:r>
    </w:p>
    <w:p w:rsidR="00676E7B" w:rsidRPr="001A2301"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Industria </w:t>
      </w:r>
      <w:r w:rsidRPr="001A2301">
        <w:rPr>
          <w:sz w:val="20"/>
          <w:szCs w:val="26"/>
          <w:lang w:val="ro-RO"/>
        </w:rPr>
        <w:tab/>
        <w:t xml:space="preserve"> </w:t>
      </w:r>
      <w:r>
        <w:rPr>
          <w:sz w:val="20"/>
          <w:szCs w:val="26"/>
          <w:lang w:val="ro-RO"/>
        </w:rPr>
        <w:t xml:space="preserve">..........................................................................................................................................     </w:t>
      </w:r>
      <w:r w:rsidR="008003DD">
        <w:rPr>
          <w:sz w:val="20"/>
          <w:szCs w:val="26"/>
          <w:lang w:val="ro-RO"/>
        </w:rPr>
        <w:t xml:space="preserve"> </w:t>
      </w:r>
      <w:r>
        <w:rPr>
          <w:sz w:val="26"/>
          <w:szCs w:val="26"/>
          <w:lang w:val="ro-RO"/>
        </w:rPr>
        <w:t>19</w:t>
      </w:r>
    </w:p>
    <w:p w:rsidR="00676E7B"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Transportul </w:t>
      </w:r>
      <w:r>
        <w:rPr>
          <w:sz w:val="20"/>
          <w:szCs w:val="26"/>
          <w:lang w:val="ro-RO"/>
        </w:rPr>
        <w:t xml:space="preserve">........................................................................................................................................     </w:t>
      </w:r>
      <w:r>
        <w:rPr>
          <w:sz w:val="26"/>
          <w:szCs w:val="26"/>
          <w:lang w:val="ro-RO"/>
        </w:rPr>
        <w:t>22</w:t>
      </w:r>
      <w:r>
        <w:rPr>
          <w:sz w:val="20"/>
          <w:szCs w:val="26"/>
          <w:lang w:val="ro-RO"/>
        </w:rPr>
        <w:t xml:space="preserve">             </w:t>
      </w:r>
    </w:p>
    <w:p w:rsidR="00676E7B" w:rsidRPr="00216769" w:rsidRDefault="00676E7B" w:rsidP="00676E7B">
      <w:pPr>
        <w:numPr>
          <w:ilvl w:val="3"/>
          <w:numId w:val="88"/>
        </w:numPr>
        <w:tabs>
          <w:tab w:val="left" w:leader="dot" w:pos="9356"/>
        </w:tabs>
        <w:ind w:left="1418" w:hanging="638"/>
        <w:rPr>
          <w:sz w:val="20"/>
          <w:szCs w:val="26"/>
          <w:lang w:val="ro-RO"/>
        </w:rPr>
      </w:pPr>
      <w:r w:rsidRPr="001A2301">
        <w:rPr>
          <w:sz w:val="20"/>
          <w:szCs w:val="26"/>
          <w:lang w:val="ro-RO"/>
        </w:rPr>
        <w:t xml:space="preserve">Agricultura </w:t>
      </w:r>
      <w:r w:rsidRPr="001A2301">
        <w:rPr>
          <w:sz w:val="20"/>
          <w:szCs w:val="26"/>
          <w:lang w:val="ro-RO"/>
        </w:rPr>
        <w:tab/>
      </w:r>
      <w:r>
        <w:rPr>
          <w:sz w:val="20"/>
          <w:szCs w:val="26"/>
          <w:lang w:val="ro-RO"/>
        </w:rPr>
        <w:t xml:space="preserve">  </w:t>
      </w:r>
      <w:r w:rsidRPr="00293231">
        <w:rPr>
          <w:sz w:val="26"/>
          <w:szCs w:val="26"/>
          <w:lang w:val="ro-RO"/>
        </w:rPr>
        <w:t>2</w:t>
      </w:r>
      <w:r>
        <w:rPr>
          <w:sz w:val="26"/>
          <w:szCs w:val="26"/>
          <w:lang w:val="ro-RO"/>
        </w:rPr>
        <w:t>4</w:t>
      </w:r>
    </w:p>
    <w:p w:rsidR="00676E7B" w:rsidRPr="00216769" w:rsidRDefault="00676E7B" w:rsidP="00676E7B">
      <w:pPr>
        <w:tabs>
          <w:tab w:val="left" w:leader="dot" w:pos="9356"/>
        </w:tabs>
        <w:ind w:firstLine="360"/>
        <w:rPr>
          <w:b/>
          <w:lang w:val="ro-RO"/>
        </w:rPr>
      </w:pPr>
      <w:r w:rsidRPr="001009FF">
        <w:rPr>
          <w:b/>
          <w:lang w:val="ro-RO"/>
        </w:rPr>
        <w:t xml:space="preserve">I.3. Tendinţe şi prognoze privind poluarea aerului înconjurător   ...................................   </w:t>
      </w:r>
      <w:r>
        <w:rPr>
          <w:b/>
          <w:lang w:val="ro-RO"/>
        </w:rPr>
        <w:t xml:space="preserve">  </w:t>
      </w:r>
      <w:r w:rsidR="008003DD">
        <w:rPr>
          <w:b/>
          <w:lang w:val="ro-RO"/>
        </w:rPr>
        <w:t xml:space="preserve"> </w:t>
      </w:r>
      <w:r w:rsidRPr="001009FF">
        <w:rPr>
          <w:sz w:val="26"/>
          <w:szCs w:val="26"/>
          <w:lang w:val="ro-RO"/>
        </w:rPr>
        <w:t>2</w:t>
      </w:r>
      <w:r>
        <w:rPr>
          <w:sz w:val="26"/>
          <w:szCs w:val="26"/>
          <w:lang w:val="ro-RO"/>
        </w:rPr>
        <w:t>5</w:t>
      </w:r>
    </w:p>
    <w:p w:rsidR="00676E7B" w:rsidRPr="00216769" w:rsidRDefault="00676E7B" w:rsidP="00676E7B">
      <w:pPr>
        <w:tabs>
          <w:tab w:val="left" w:leader="dot" w:pos="9356"/>
        </w:tabs>
        <w:ind w:left="360" w:firstLine="270"/>
        <w:rPr>
          <w:i/>
          <w:sz w:val="20"/>
          <w:szCs w:val="26"/>
          <w:lang w:val="ro-RO"/>
        </w:rPr>
      </w:pPr>
      <w:r w:rsidRPr="00216769">
        <w:rPr>
          <w:i/>
          <w:sz w:val="20"/>
          <w:szCs w:val="26"/>
          <w:lang w:val="ro-RO"/>
        </w:rPr>
        <w:t>I.3.1. Tendinţe privind emisiile principalilor poluanţi atmosferici</w:t>
      </w:r>
      <w:r>
        <w:rPr>
          <w:i/>
          <w:sz w:val="20"/>
          <w:szCs w:val="26"/>
          <w:lang w:val="ro-RO"/>
        </w:rPr>
        <w:t xml:space="preserve"> .................................................................      </w:t>
      </w:r>
      <w:r w:rsidR="008003DD">
        <w:rPr>
          <w:i/>
          <w:sz w:val="20"/>
          <w:szCs w:val="26"/>
          <w:lang w:val="ro-RO"/>
        </w:rPr>
        <w:t xml:space="preserve"> </w:t>
      </w:r>
      <w:r w:rsidRPr="00293231">
        <w:rPr>
          <w:sz w:val="26"/>
          <w:szCs w:val="26"/>
          <w:lang w:val="ro-RO"/>
        </w:rPr>
        <w:t>2</w:t>
      </w:r>
      <w:r>
        <w:rPr>
          <w:sz w:val="26"/>
          <w:szCs w:val="26"/>
          <w:lang w:val="ro-RO"/>
        </w:rPr>
        <w:t>5</w:t>
      </w:r>
    </w:p>
    <w:p w:rsidR="00676E7B" w:rsidRPr="001A2301" w:rsidRDefault="00676E7B" w:rsidP="00676E7B">
      <w:pPr>
        <w:tabs>
          <w:tab w:val="left" w:leader="dot" w:pos="9356"/>
        </w:tabs>
        <w:ind w:left="113" w:firstLine="247"/>
        <w:rPr>
          <w:b/>
          <w:szCs w:val="26"/>
          <w:lang w:val="ro-RO"/>
        </w:rPr>
      </w:pPr>
      <w:r>
        <w:rPr>
          <w:b/>
          <w:szCs w:val="26"/>
          <w:lang w:val="ro-RO"/>
        </w:rPr>
        <w:t xml:space="preserve">I.4. </w:t>
      </w:r>
      <w:r w:rsidRPr="001A2301">
        <w:rPr>
          <w:b/>
          <w:szCs w:val="26"/>
          <w:lang w:val="ro-RO"/>
        </w:rPr>
        <w:t xml:space="preserve">Politici, acţiuni şi măsuri pentru îmbunătăţirea calităţii aerului înconjurător </w:t>
      </w:r>
      <w:r w:rsidRPr="001A2301">
        <w:rPr>
          <w:b/>
          <w:szCs w:val="26"/>
          <w:lang w:val="ro-RO"/>
        </w:rPr>
        <w:tab/>
      </w:r>
      <w:r>
        <w:rPr>
          <w:b/>
          <w:szCs w:val="26"/>
          <w:lang w:val="ro-RO"/>
        </w:rPr>
        <w:t xml:space="preserve">  </w:t>
      </w:r>
      <w:r w:rsidRPr="00293231">
        <w:rPr>
          <w:sz w:val="26"/>
          <w:szCs w:val="26"/>
          <w:lang w:val="ro-RO"/>
        </w:rPr>
        <w:t>3</w:t>
      </w:r>
      <w:r>
        <w:rPr>
          <w:sz w:val="26"/>
          <w:szCs w:val="26"/>
          <w:lang w:val="ro-RO"/>
        </w:rPr>
        <w:t>4</w:t>
      </w:r>
    </w:p>
    <w:p w:rsidR="00676E7B" w:rsidRPr="001A2301" w:rsidRDefault="00676E7B" w:rsidP="00676E7B">
      <w:pPr>
        <w:numPr>
          <w:ilvl w:val="0"/>
          <w:numId w:val="88"/>
        </w:numPr>
        <w:tabs>
          <w:tab w:val="left" w:pos="540"/>
          <w:tab w:val="left" w:leader="dot" w:pos="9356"/>
        </w:tabs>
        <w:spacing w:line="360" w:lineRule="auto"/>
        <w:rPr>
          <w:b/>
          <w:sz w:val="26"/>
          <w:szCs w:val="26"/>
          <w:lang w:val="ro-RO"/>
        </w:rPr>
      </w:pPr>
      <w:r w:rsidRPr="001A2301">
        <w:rPr>
          <w:b/>
          <w:sz w:val="26"/>
          <w:szCs w:val="26"/>
          <w:lang w:val="ro-RO"/>
        </w:rPr>
        <w:t xml:space="preserve">APA   </w:t>
      </w:r>
      <w:r w:rsidRPr="001A2301">
        <w:rPr>
          <w:b/>
          <w:sz w:val="26"/>
          <w:szCs w:val="26"/>
          <w:lang w:val="ro-RO"/>
        </w:rPr>
        <w:tab/>
      </w:r>
      <w:r>
        <w:rPr>
          <w:b/>
          <w:sz w:val="26"/>
          <w:szCs w:val="26"/>
          <w:lang w:val="ro-RO"/>
        </w:rPr>
        <w:t xml:space="preserve">  </w:t>
      </w:r>
      <w:r w:rsidRPr="009D49A7">
        <w:rPr>
          <w:sz w:val="26"/>
          <w:szCs w:val="26"/>
          <w:lang w:val="ro-RO"/>
        </w:rPr>
        <w:t>3</w:t>
      </w:r>
      <w:r>
        <w:rPr>
          <w:sz w:val="26"/>
          <w:szCs w:val="26"/>
          <w:lang w:val="ro-RO"/>
        </w:rPr>
        <w:t>5</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Resursele de apă, Cantităţi şi debite </w:t>
      </w:r>
      <w:r w:rsidRPr="001A2301">
        <w:rPr>
          <w:b/>
          <w:szCs w:val="26"/>
          <w:lang w:val="ro-RO"/>
        </w:rPr>
        <w:tab/>
      </w:r>
      <w:r w:rsidRPr="009D49A7">
        <w:rPr>
          <w:szCs w:val="26"/>
          <w:lang w:val="ro-RO"/>
        </w:rPr>
        <w:t xml:space="preserve"> </w:t>
      </w:r>
      <w:r>
        <w:rPr>
          <w:szCs w:val="26"/>
          <w:lang w:val="ro-RO"/>
        </w:rPr>
        <w:t xml:space="preserve"> </w:t>
      </w:r>
      <w:r w:rsidRPr="00293231">
        <w:rPr>
          <w:sz w:val="26"/>
          <w:szCs w:val="26"/>
          <w:lang w:val="ro-RO"/>
        </w:rPr>
        <w:t>3</w:t>
      </w:r>
      <w:r>
        <w:rPr>
          <w:sz w:val="26"/>
          <w:szCs w:val="26"/>
          <w:lang w:val="ro-RO"/>
        </w:rPr>
        <w:t>5</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 xml:space="preserve">Stare, presiuni şi consecinţe </w:t>
      </w:r>
      <w:r w:rsidRPr="001A2301">
        <w:rPr>
          <w:i/>
          <w:sz w:val="22"/>
          <w:szCs w:val="26"/>
          <w:lang w:val="ro-RO"/>
        </w:rPr>
        <w:tab/>
        <w:t xml:space="preserve"> </w:t>
      </w:r>
      <w:r>
        <w:rPr>
          <w:i/>
          <w:sz w:val="22"/>
          <w:szCs w:val="26"/>
          <w:lang w:val="ro-RO"/>
        </w:rPr>
        <w:t xml:space="preserve"> </w:t>
      </w:r>
      <w:r w:rsidRPr="00293231">
        <w:rPr>
          <w:sz w:val="26"/>
          <w:szCs w:val="26"/>
          <w:lang w:val="ro-RO"/>
        </w:rPr>
        <w:t>3</w:t>
      </w:r>
      <w:r>
        <w:rPr>
          <w:sz w:val="26"/>
          <w:szCs w:val="26"/>
          <w:lang w:val="ro-RO"/>
        </w:rPr>
        <w:t>5</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Resurse de apă potenţiale şi tehnic utilizabile </w:t>
      </w:r>
      <w:r w:rsidRPr="001A2301">
        <w:rPr>
          <w:sz w:val="20"/>
          <w:szCs w:val="26"/>
          <w:lang w:val="ro-RO"/>
        </w:rPr>
        <w:tab/>
        <w:t xml:space="preserve"> </w:t>
      </w:r>
      <w:r>
        <w:rPr>
          <w:sz w:val="20"/>
          <w:szCs w:val="26"/>
          <w:lang w:val="ro-RO"/>
        </w:rPr>
        <w:t xml:space="preserve"> </w:t>
      </w:r>
      <w:r w:rsidRPr="00293231">
        <w:rPr>
          <w:sz w:val="26"/>
          <w:szCs w:val="26"/>
          <w:lang w:val="ro-RO"/>
        </w:rPr>
        <w:t>3</w:t>
      </w:r>
      <w:r>
        <w:rPr>
          <w:sz w:val="26"/>
          <w:szCs w:val="26"/>
          <w:lang w:val="ro-RO"/>
        </w:rPr>
        <w:t>5</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Utilizarea resurselor de apă </w:t>
      </w:r>
      <w:r w:rsidRPr="001A2301">
        <w:rPr>
          <w:sz w:val="20"/>
          <w:szCs w:val="26"/>
          <w:lang w:val="ro-RO"/>
        </w:rPr>
        <w:tab/>
        <w:t xml:space="preserve"> </w:t>
      </w:r>
      <w:r>
        <w:rPr>
          <w:sz w:val="20"/>
          <w:szCs w:val="26"/>
          <w:lang w:val="ro-RO"/>
        </w:rPr>
        <w:t xml:space="preserve"> </w:t>
      </w:r>
      <w:r w:rsidRPr="00293231">
        <w:rPr>
          <w:sz w:val="26"/>
          <w:szCs w:val="26"/>
          <w:lang w:val="ro-RO"/>
        </w:rPr>
        <w:t>3</w:t>
      </w:r>
      <w:r>
        <w:rPr>
          <w:sz w:val="26"/>
          <w:szCs w:val="26"/>
          <w:lang w:val="ro-RO"/>
        </w:rPr>
        <w:t>6</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Evenimente extreme produse de debitele cursurilor de apă </w:t>
      </w:r>
      <w:r w:rsidRPr="001A2301">
        <w:rPr>
          <w:sz w:val="20"/>
          <w:szCs w:val="26"/>
          <w:lang w:val="ro-RO"/>
        </w:rPr>
        <w:tab/>
        <w:t xml:space="preserve"> </w:t>
      </w:r>
      <w:r>
        <w:rPr>
          <w:sz w:val="20"/>
          <w:szCs w:val="26"/>
          <w:lang w:val="ro-RO"/>
        </w:rPr>
        <w:t xml:space="preserve"> </w:t>
      </w:r>
      <w:r>
        <w:rPr>
          <w:sz w:val="26"/>
          <w:szCs w:val="26"/>
          <w:lang w:val="ro-RO"/>
        </w:rPr>
        <w:t>39</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Schimbări hidromorfologice ale cursurilor de apă</w:t>
      </w:r>
      <w:r w:rsidRPr="001A2301">
        <w:rPr>
          <w:sz w:val="20"/>
          <w:szCs w:val="26"/>
          <w:lang w:val="ro-RO"/>
        </w:rPr>
        <w:tab/>
      </w:r>
      <w:r w:rsidRPr="00293231">
        <w:rPr>
          <w:sz w:val="26"/>
          <w:szCs w:val="26"/>
          <w:lang w:val="ro-RO"/>
        </w:rPr>
        <w:t xml:space="preserve"> </w:t>
      </w:r>
      <w:r>
        <w:rPr>
          <w:sz w:val="26"/>
          <w:szCs w:val="26"/>
          <w:lang w:val="ro-RO"/>
        </w:rPr>
        <w:t xml:space="preserve"> 40</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 xml:space="preserve">Prognoze  </w:t>
      </w:r>
      <w:r w:rsidRPr="001A2301">
        <w:rPr>
          <w:i/>
          <w:sz w:val="22"/>
          <w:szCs w:val="26"/>
          <w:lang w:val="ro-RO"/>
        </w:rPr>
        <w:tab/>
      </w:r>
      <w:r>
        <w:rPr>
          <w:i/>
          <w:sz w:val="22"/>
          <w:szCs w:val="26"/>
          <w:lang w:val="ro-RO"/>
        </w:rPr>
        <w:t xml:space="preserve">  </w:t>
      </w:r>
      <w:r>
        <w:rPr>
          <w:sz w:val="26"/>
          <w:szCs w:val="26"/>
          <w:lang w:val="ro-RO"/>
        </w:rPr>
        <w:t>41</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Disponibilitatea, cererea şi deficitul de apă </w:t>
      </w:r>
      <w:r w:rsidRPr="001A2301">
        <w:rPr>
          <w:sz w:val="20"/>
          <w:szCs w:val="26"/>
          <w:lang w:val="ro-RO"/>
        </w:rPr>
        <w:tab/>
      </w:r>
      <w:r>
        <w:rPr>
          <w:sz w:val="20"/>
          <w:szCs w:val="26"/>
          <w:lang w:val="ro-RO"/>
        </w:rPr>
        <w:t xml:space="preserve">  </w:t>
      </w:r>
      <w:r>
        <w:rPr>
          <w:sz w:val="26"/>
          <w:szCs w:val="26"/>
          <w:lang w:val="ro-RO"/>
        </w:rPr>
        <w:t>41</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Riscurile şi presiunile inundaţiilor </w:t>
      </w:r>
      <w:r w:rsidRPr="001A2301">
        <w:rPr>
          <w:sz w:val="20"/>
          <w:szCs w:val="26"/>
          <w:lang w:val="ro-RO"/>
        </w:rPr>
        <w:tab/>
      </w:r>
      <w:r>
        <w:rPr>
          <w:sz w:val="20"/>
          <w:szCs w:val="26"/>
          <w:lang w:val="ro-RO"/>
        </w:rPr>
        <w:t xml:space="preserve">  </w:t>
      </w:r>
      <w:r>
        <w:rPr>
          <w:sz w:val="26"/>
          <w:szCs w:val="26"/>
          <w:lang w:val="ro-RO"/>
        </w:rPr>
        <w:t>41</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Utilizarea şi gestionarea eficientă a resurselor de apă</w:t>
      </w:r>
      <w:r w:rsidRPr="001A2301">
        <w:rPr>
          <w:i/>
          <w:sz w:val="22"/>
          <w:szCs w:val="26"/>
          <w:lang w:val="ro-RO"/>
        </w:rPr>
        <w:tab/>
      </w:r>
      <w:r w:rsidRPr="00CA3B46">
        <w:rPr>
          <w:sz w:val="26"/>
          <w:szCs w:val="26"/>
          <w:lang w:val="ro-RO"/>
        </w:rPr>
        <w:t xml:space="preserve"> </w:t>
      </w:r>
      <w:r>
        <w:rPr>
          <w:sz w:val="26"/>
          <w:szCs w:val="26"/>
          <w:lang w:val="ro-RO"/>
        </w:rPr>
        <w:t xml:space="preserve"> 41</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Calitatea apei </w:t>
      </w:r>
      <w:r w:rsidRPr="001A2301">
        <w:rPr>
          <w:b/>
          <w:szCs w:val="26"/>
          <w:lang w:val="ro-RO"/>
        </w:rPr>
        <w:tab/>
      </w:r>
      <w:r w:rsidRPr="009D49A7">
        <w:rPr>
          <w:szCs w:val="26"/>
          <w:lang w:val="ro-RO"/>
        </w:rPr>
        <w:t xml:space="preserve"> </w:t>
      </w:r>
      <w:r>
        <w:rPr>
          <w:szCs w:val="26"/>
          <w:lang w:val="ro-RO"/>
        </w:rPr>
        <w:t xml:space="preserve"> </w:t>
      </w:r>
      <w:r>
        <w:rPr>
          <w:sz w:val="26"/>
          <w:szCs w:val="26"/>
          <w:lang w:val="ro-RO"/>
        </w:rPr>
        <w:t>42</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 xml:space="preserve">Calitatea apei: stare şi consecinţe </w:t>
      </w:r>
      <w:r w:rsidRPr="001A2301">
        <w:rPr>
          <w:i/>
          <w:sz w:val="22"/>
          <w:szCs w:val="26"/>
          <w:lang w:val="ro-RO"/>
        </w:rPr>
        <w:tab/>
      </w:r>
      <w:r>
        <w:rPr>
          <w:sz w:val="22"/>
          <w:szCs w:val="26"/>
          <w:lang w:val="ro-RO"/>
        </w:rPr>
        <w:t xml:space="preserve">  </w:t>
      </w:r>
      <w:r>
        <w:rPr>
          <w:sz w:val="26"/>
          <w:szCs w:val="26"/>
          <w:lang w:val="ro-RO"/>
        </w:rPr>
        <w:t>42</w:t>
      </w:r>
      <w:r>
        <w:rPr>
          <w:sz w:val="22"/>
          <w:szCs w:val="26"/>
          <w:lang w:val="ro-RO"/>
        </w:rPr>
        <w:t xml:space="preserve"> </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Calitatea apei cursurilor de apă </w:t>
      </w:r>
      <w:r w:rsidRPr="001A2301">
        <w:rPr>
          <w:sz w:val="20"/>
          <w:szCs w:val="26"/>
          <w:lang w:val="ro-RO"/>
        </w:rPr>
        <w:tab/>
      </w:r>
      <w:r>
        <w:rPr>
          <w:sz w:val="20"/>
          <w:szCs w:val="26"/>
          <w:lang w:val="ro-RO"/>
        </w:rPr>
        <w:t xml:space="preserve">  </w:t>
      </w:r>
      <w:r>
        <w:rPr>
          <w:sz w:val="26"/>
          <w:szCs w:val="26"/>
          <w:lang w:val="ro-RO"/>
        </w:rPr>
        <w:t>42</w:t>
      </w:r>
      <w:r w:rsidRPr="00F37C20">
        <w:rPr>
          <w:sz w:val="26"/>
          <w:szCs w:val="26"/>
          <w:lang w:val="ro-RO"/>
        </w:rPr>
        <w:t xml:space="preserve"> </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Calitatea apei lacurilor </w:t>
      </w:r>
      <w:r w:rsidRPr="001A2301">
        <w:rPr>
          <w:sz w:val="20"/>
          <w:szCs w:val="26"/>
          <w:lang w:val="ro-RO"/>
        </w:rPr>
        <w:tab/>
      </w:r>
      <w:r>
        <w:rPr>
          <w:sz w:val="20"/>
          <w:szCs w:val="26"/>
          <w:lang w:val="ro-RO"/>
        </w:rPr>
        <w:t xml:space="preserve">  </w:t>
      </w:r>
      <w:r w:rsidRPr="00F37C20">
        <w:rPr>
          <w:sz w:val="26"/>
          <w:szCs w:val="26"/>
          <w:lang w:val="ro-RO"/>
        </w:rPr>
        <w:t>4</w:t>
      </w:r>
      <w:r>
        <w:rPr>
          <w:sz w:val="26"/>
          <w:szCs w:val="26"/>
          <w:lang w:val="ro-RO"/>
        </w:rPr>
        <w:t>7</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Calitatea apelor subterane </w:t>
      </w:r>
      <w:r w:rsidRPr="001A2301">
        <w:rPr>
          <w:sz w:val="20"/>
          <w:szCs w:val="26"/>
          <w:lang w:val="ro-RO"/>
        </w:rPr>
        <w:tab/>
      </w:r>
      <w:r>
        <w:rPr>
          <w:sz w:val="20"/>
          <w:szCs w:val="26"/>
          <w:lang w:val="ro-RO"/>
        </w:rPr>
        <w:t xml:space="preserve">  </w:t>
      </w:r>
      <w:r w:rsidRPr="00F37C20">
        <w:rPr>
          <w:sz w:val="26"/>
          <w:szCs w:val="26"/>
          <w:lang w:val="ro-RO"/>
        </w:rPr>
        <w:t>4</w:t>
      </w:r>
      <w:r>
        <w:rPr>
          <w:sz w:val="26"/>
          <w:szCs w:val="26"/>
          <w:lang w:val="ro-RO"/>
        </w:rPr>
        <w:t>8</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Calitatea apelor de îmbăiere    </w:t>
      </w:r>
      <w:r w:rsidRPr="001A2301">
        <w:rPr>
          <w:sz w:val="20"/>
          <w:szCs w:val="26"/>
          <w:lang w:val="ro-RO"/>
        </w:rPr>
        <w:tab/>
        <w:t xml:space="preserve"> </w:t>
      </w:r>
      <w:r>
        <w:rPr>
          <w:sz w:val="20"/>
          <w:szCs w:val="26"/>
          <w:lang w:val="ro-RO"/>
        </w:rPr>
        <w:t xml:space="preserve"> </w:t>
      </w:r>
      <w:r w:rsidRPr="00F37C20">
        <w:rPr>
          <w:sz w:val="26"/>
          <w:szCs w:val="26"/>
          <w:lang w:val="ro-RO"/>
        </w:rPr>
        <w:t>4</w:t>
      </w:r>
      <w:r>
        <w:rPr>
          <w:sz w:val="26"/>
          <w:szCs w:val="26"/>
          <w:lang w:val="ro-RO"/>
        </w:rPr>
        <w:t>8</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 xml:space="preserve">Factorii determinanţi şi presiunile care afectează starea de calitate a apelor </w:t>
      </w:r>
      <w:r w:rsidRPr="001A2301">
        <w:rPr>
          <w:i/>
          <w:sz w:val="22"/>
          <w:szCs w:val="26"/>
          <w:lang w:val="ro-RO"/>
        </w:rPr>
        <w:tab/>
      </w:r>
      <w:r>
        <w:rPr>
          <w:sz w:val="22"/>
          <w:szCs w:val="26"/>
          <w:lang w:val="ro-RO"/>
        </w:rPr>
        <w:t xml:space="preserve">  </w:t>
      </w:r>
      <w:r w:rsidRPr="00F37C20">
        <w:rPr>
          <w:sz w:val="26"/>
          <w:szCs w:val="26"/>
          <w:lang w:val="ro-RO"/>
        </w:rPr>
        <w:t>4</w:t>
      </w:r>
      <w:r>
        <w:rPr>
          <w:sz w:val="26"/>
          <w:szCs w:val="26"/>
          <w:lang w:val="ro-RO"/>
        </w:rPr>
        <w:t>8</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Presiuni semnificative asupra resurselor de apă din </w:t>
      </w:r>
      <w:r>
        <w:rPr>
          <w:sz w:val="20"/>
          <w:szCs w:val="26"/>
          <w:lang w:val="ro-RO"/>
        </w:rPr>
        <w:t>judet</w:t>
      </w:r>
      <w:r w:rsidRPr="001A2301">
        <w:rPr>
          <w:sz w:val="20"/>
          <w:szCs w:val="26"/>
          <w:lang w:val="ro-RO"/>
        </w:rPr>
        <w:t xml:space="preserve"> </w:t>
      </w:r>
      <w:r w:rsidRPr="001A2301">
        <w:rPr>
          <w:sz w:val="20"/>
          <w:szCs w:val="26"/>
          <w:lang w:val="ro-RO"/>
        </w:rPr>
        <w:tab/>
        <w:t xml:space="preserve"> </w:t>
      </w:r>
      <w:r w:rsidRPr="00F37C20">
        <w:rPr>
          <w:sz w:val="26"/>
          <w:szCs w:val="26"/>
          <w:lang w:val="ro-RO"/>
        </w:rPr>
        <w:t xml:space="preserve"> 4</w:t>
      </w:r>
      <w:r>
        <w:rPr>
          <w:sz w:val="26"/>
          <w:szCs w:val="26"/>
          <w:lang w:val="ro-RO"/>
        </w:rPr>
        <w:t>8</w:t>
      </w:r>
      <w:r>
        <w:rPr>
          <w:sz w:val="20"/>
          <w:szCs w:val="26"/>
          <w:lang w:val="ro-RO"/>
        </w:rPr>
        <w:t xml:space="preserve"> </w:t>
      </w:r>
    </w:p>
    <w:p w:rsidR="00676E7B" w:rsidRPr="001A2301" w:rsidRDefault="00676E7B" w:rsidP="00676E7B">
      <w:pPr>
        <w:numPr>
          <w:ilvl w:val="3"/>
          <w:numId w:val="88"/>
        </w:numPr>
        <w:tabs>
          <w:tab w:val="left" w:leader="dot" w:pos="9356"/>
        </w:tabs>
        <w:ind w:left="1498" w:hanging="718"/>
        <w:rPr>
          <w:sz w:val="20"/>
          <w:szCs w:val="26"/>
          <w:lang w:val="ro-RO"/>
        </w:rPr>
      </w:pPr>
      <w:r w:rsidRPr="001A2301">
        <w:rPr>
          <w:sz w:val="20"/>
          <w:szCs w:val="26"/>
          <w:lang w:val="ro-RO"/>
        </w:rPr>
        <w:t xml:space="preserve">Apele uzate şi reţelele de canalizare </w:t>
      </w:r>
      <w:r w:rsidRPr="001A2301">
        <w:rPr>
          <w:sz w:val="20"/>
          <w:szCs w:val="26"/>
          <w:lang w:val="ro-RO"/>
        </w:rPr>
        <w:tab/>
        <w:t xml:space="preserve"> </w:t>
      </w:r>
      <w:r>
        <w:rPr>
          <w:sz w:val="20"/>
          <w:szCs w:val="26"/>
          <w:lang w:val="ro-RO"/>
        </w:rPr>
        <w:t xml:space="preserve"> </w:t>
      </w:r>
      <w:r w:rsidRPr="00F37C20">
        <w:rPr>
          <w:sz w:val="26"/>
          <w:szCs w:val="26"/>
          <w:lang w:val="ro-RO"/>
        </w:rPr>
        <w:t>4</w:t>
      </w:r>
      <w:r>
        <w:rPr>
          <w:sz w:val="26"/>
          <w:szCs w:val="26"/>
          <w:lang w:val="ro-RO"/>
        </w:rPr>
        <w:t>8</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 xml:space="preserve">Tendinţe şi prognoze privind calitatea apei </w:t>
      </w:r>
      <w:r w:rsidRPr="001A2301">
        <w:rPr>
          <w:i/>
          <w:sz w:val="22"/>
          <w:szCs w:val="26"/>
          <w:lang w:val="ro-RO"/>
        </w:rPr>
        <w:tab/>
        <w:t xml:space="preserve"> </w:t>
      </w:r>
      <w:r w:rsidRPr="00F37C20">
        <w:rPr>
          <w:sz w:val="26"/>
          <w:szCs w:val="26"/>
          <w:lang w:val="ro-RO"/>
        </w:rPr>
        <w:t xml:space="preserve"> </w:t>
      </w:r>
      <w:r>
        <w:rPr>
          <w:sz w:val="26"/>
          <w:szCs w:val="26"/>
          <w:lang w:val="ro-RO"/>
        </w:rPr>
        <w:t>49</w:t>
      </w:r>
    </w:p>
    <w:p w:rsidR="00676E7B" w:rsidRPr="001A2301" w:rsidRDefault="00676E7B" w:rsidP="00676E7B">
      <w:pPr>
        <w:numPr>
          <w:ilvl w:val="2"/>
          <w:numId w:val="88"/>
        </w:numPr>
        <w:tabs>
          <w:tab w:val="clear" w:pos="0"/>
          <w:tab w:val="left" w:pos="1204"/>
          <w:tab w:val="left" w:leader="dot" w:pos="9356"/>
        </w:tabs>
        <w:ind w:left="993"/>
        <w:rPr>
          <w:i/>
          <w:sz w:val="22"/>
          <w:szCs w:val="26"/>
          <w:lang w:val="ro-RO"/>
        </w:rPr>
      </w:pPr>
      <w:r w:rsidRPr="001A2301">
        <w:rPr>
          <w:i/>
          <w:sz w:val="22"/>
          <w:szCs w:val="26"/>
          <w:lang w:val="ro-RO"/>
        </w:rPr>
        <w:t xml:space="preserve">Politici, acţiuni şi măsuri privind îmbunătăţirea stării de calitate a apelor </w:t>
      </w:r>
      <w:r w:rsidRPr="001A2301">
        <w:rPr>
          <w:i/>
          <w:sz w:val="22"/>
          <w:szCs w:val="26"/>
          <w:lang w:val="ro-RO"/>
        </w:rPr>
        <w:tab/>
        <w:t xml:space="preserve"> </w:t>
      </w:r>
      <w:r>
        <w:rPr>
          <w:sz w:val="22"/>
          <w:szCs w:val="26"/>
          <w:lang w:val="ro-RO"/>
        </w:rPr>
        <w:t xml:space="preserve"> </w:t>
      </w:r>
      <w:r>
        <w:rPr>
          <w:sz w:val="26"/>
          <w:szCs w:val="26"/>
          <w:lang w:val="ro-RO"/>
        </w:rPr>
        <w:t>50</w:t>
      </w:r>
    </w:p>
    <w:p w:rsidR="00676E7B" w:rsidRPr="001A2301" w:rsidRDefault="00676E7B" w:rsidP="00676E7B">
      <w:pPr>
        <w:numPr>
          <w:ilvl w:val="0"/>
          <w:numId w:val="88"/>
        </w:numPr>
        <w:tabs>
          <w:tab w:val="left" w:pos="540"/>
          <w:tab w:val="left" w:leader="dot" w:pos="9356"/>
        </w:tabs>
        <w:spacing w:line="360" w:lineRule="auto"/>
        <w:ind w:left="784" w:hanging="784"/>
        <w:rPr>
          <w:b/>
          <w:sz w:val="26"/>
          <w:szCs w:val="26"/>
          <w:lang w:val="ro-RO"/>
        </w:rPr>
      </w:pPr>
      <w:r w:rsidRPr="001A2301">
        <w:rPr>
          <w:b/>
          <w:sz w:val="26"/>
          <w:szCs w:val="26"/>
          <w:lang w:val="ro-RO"/>
        </w:rPr>
        <w:t xml:space="preserve">SOLUL  </w:t>
      </w:r>
      <w:r w:rsidRPr="001A2301">
        <w:rPr>
          <w:b/>
          <w:sz w:val="26"/>
          <w:szCs w:val="26"/>
          <w:lang w:val="ro-RO"/>
        </w:rPr>
        <w:tab/>
        <w:t xml:space="preserve"> </w:t>
      </w:r>
      <w:r w:rsidR="008003DD">
        <w:rPr>
          <w:b/>
          <w:sz w:val="26"/>
          <w:szCs w:val="26"/>
          <w:lang w:val="ro-RO"/>
        </w:rPr>
        <w:t xml:space="preserve"> </w:t>
      </w:r>
      <w:r>
        <w:rPr>
          <w:sz w:val="26"/>
          <w:szCs w:val="26"/>
          <w:lang w:val="ro-RO"/>
        </w:rPr>
        <w:t>51</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Calitatea solurilor: stare şi tendinţe  </w:t>
      </w:r>
      <w:r w:rsidRPr="001A2301">
        <w:rPr>
          <w:b/>
          <w:szCs w:val="26"/>
          <w:lang w:val="ro-RO"/>
        </w:rPr>
        <w:tab/>
      </w:r>
      <w:r>
        <w:rPr>
          <w:b/>
          <w:szCs w:val="26"/>
          <w:lang w:val="ro-RO"/>
        </w:rPr>
        <w:t xml:space="preserve"> </w:t>
      </w:r>
      <w:r w:rsidR="008003DD">
        <w:rPr>
          <w:b/>
          <w:szCs w:val="26"/>
          <w:lang w:val="ro-RO"/>
        </w:rPr>
        <w:t xml:space="preserve"> </w:t>
      </w:r>
      <w:r>
        <w:rPr>
          <w:sz w:val="26"/>
          <w:szCs w:val="26"/>
          <w:lang w:val="ro-RO"/>
        </w:rPr>
        <w:t>51</w:t>
      </w:r>
    </w:p>
    <w:p w:rsidR="00676E7B" w:rsidRPr="001A2301" w:rsidRDefault="00676E7B" w:rsidP="00676E7B">
      <w:pPr>
        <w:numPr>
          <w:ilvl w:val="2"/>
          <w:numId w:val="88"/>
        </w:numPr>
        <w:tabs>
          <w:tab w:val="clear" w:pos="0"/>
          <w:tab w:val="left" w:pos="1276"/>
          <w:tab w:val="left" w:leader="dot" w:pos="9356"/>
        </w:tabs>
        <w:ind w:left="993"/>
        <w:rPr>
          <w:i/>
          <w:sz w:val="22"/>
          <w:szCs w:val="26"/>
          <w:lang w:val="ro-RO"/>
        </w:rPr>
      </w:pPr>
      <w:r w:rsidRPr="001A2301">
        <w:rPr>
          <w:i/>
          <w:sz w:val="22"/>
          <w:szCs w:val="26"/>
          <w:lang w:val="ro-RO"/>
        </w:rPr>
        <w:t xml:space="preserve">Repartiţia terenurilor pe clase de calitate </w:t>
      </w:r>
      <w:r w:rsidRPr="001A2301">
        <w:rPr>
          <w:i/>
          <w:sz w:val="22"/>
          <w:szCs w:val="26"/>
          <w:lang w:val="ro-RO"/>
        </w:rPr>
        <w:tab/>
      </w:r>
      <w:r>
        <w:rPr>
          <w:sz w:val="22"/>
          <w:szCs w:val="26"/>
          <w:lang w:val="ro-RO"/>
        </w:rPr>
        <w:t xml:space="preserve"> </w:t>
      </w:r>
      <w:r w:rsidR="008003DD">
        <w:rPr>
          <w:sz w:val="22"/>
          <w:szCs w:val="26"/>
          <w:lang w:val="ro-RO"/>
        </w:rPr>
        <w:t xml:space="preserve"> </w:t>
      </w:r>
      <w:r>
        <w:rPr>
          <w:sz w:val="26"/>
          <w:szCs w:val="26"/>
          <w:lang w:val="ro-RO"/>
        </w:rPr>
        <w:t>51</w:t>
      </w:r>
    </w:p>
    <w:p w:rsidR="00676E7B" w:rsidRPr="00F37C20" w:rsidRDefault="00676E7B" w:rsidP="00676E7B">
      <w:pPr>
        <w:numPr>
          <w:ilvl w:val="2"/>
          <w:numId w:val="88"/>
        </w:numPr>
        <w:tabs>
          <w:tab w:val="clear" w:pos="0"/>
          <w:tab w:val="left" w:pos="1276"/>
          <w:tab w:val="left" w:leader="dot" w:pos="9356"/>
        </w:tabs>
        <w:ind w:left="993"/>
        <w:rPr>
          <w:i/>
          <w:sz w:val="26"/>
          <w:szCs w:val="26"/>
          <w:lang w:val="ro-RO"/>
        </w:rPr>
      </w:pPr>
      <w:r w:rsidRPr="001A2301">
        <w:rPr>
          <w:i/>
          <w:sz w:val="22"/>
          <w:szCs w:val="26"/>
          <w:lang w:val="ro-RO"/>
        </w:rPr>
        <w:t xml:space="preserve">Terenuri afectate de diverşi factori limitativi </w:t>
      </w:r>
      <w:r w:rsidRPr="001A2301">
        <w:rPr>
          <w:i/>
          <w:sz w:val="22"/>
          <w:szCs w:val="26"/>
          <w:lang w:val="ro-RO"/>
        </w:rPr>
        <w:tab/>
      </w:r>
      <w:r w:rsidRPr="00F37C20">
        <w:rPr>
          <w:sz w:val="26"/>
          <w:szCs w:val="26"/>
          <w:lang w:val="ro-RO"/>
        </w:rPr>
        <w:t xml:space="preserve"> </w:t>
      </w:r>
      <w:r w:rsidR="008003DD">
        <w:rPr>
          <w:sz w:val="26"/>
          <w:szCs w:val="26"/>
          <w:lang w:val="ro-RO"/>
        </w:rPr>
        <w:t xml:space="preserve"> </w:t>
      </w:r>
      <w:r>
        <w:rPr>
          <w:sz w:val="26"/>
          <w:szCs w:val="26"/>
          <w:lang w:val="ro-RO"/>
        </w:rPr>
        <w:t>53</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Zone critice sub aspectul deteriorării solurilor   </w:t>
      </w:r>
      <w:r w:rsidRPr="001A2301">
        <w:rPr>
          <w:b/>
          <w:szCs w:val="26"/>
          <w:lang w:val="ro-RO"/>
        </w:rPr>
        <w:tab/>
      </w:r>
      <w:r>
        <w:rPr>
          <w:b/>
          <w:szCs w:val="26"/>
          <w:lang w:val="ro-RO"/>
        </w:rPr>
        <w:t xml:space="preserve"> </w:t>
      </w:r>
      <w:r w:rsidR="008003DD">
        <w:rPr>
          <w:b/>
          <w:szCs w:val="26"/>
          <w:lang w:val="ro-RO"/>
        </w:rPr>
        <w:t xml:space="preserve"> </w:t>
      </w:r>
      <w:r w:rsidRPr="00F37C20">
        <w:rPr>
          <w:sz w:val="26"/>
          <w:szCs w:val="26"/>
          <w:lang w:val="ro-RO"/>
        </w:rPr>
        <w:t>5</w:t>
      </w:r>
      <w:r>
        <w:rPr>
          <w:sz w:val="26"/>
          <w:szCs w:val="26"/>
          <w:lang w:val="ro-RO"/>
        </w:rPr>
        <w:t>4</w:t>
      </w:r>
    </w:p>
    <w:p w:rsidR="00676E7B" w:rsidRPr="001A2301" w:rsidRDefault="00676E7B" w:rsidP="00676E7B">
      <w:pPr>
        <w:numPr>
          <w:ilvl w:val="2"/>
          <w:numId w:val="88"/>
        </w:numPr>
        <w:tabs>
          <w:tab w:val="clear" w:pos="0"/>
          <w:tab w:val="left" w:pos="1276"/>
          <w:tab w:val="left" w:leader="dot" w:pos="9356"/>
        </w:tabs>
        <w:ind w:left="993"/>
        <w:rPr>
          <w:i/>
          <w:sz w:val="22"/>
          <w:szCs w:val="26"/>
          <w:lang w:val="ro-RO"/>
        </w:rPr>
      </w:pPr>
      <w:r w:rsidRPr="001A2301">
        <w:rPr>
          <w:i/>
          <w:sz w:val="22"/>
          <w:szCs w:val="26"/>
          <w:lang w:val="ro-RO"/>
        </w:rPr>
        <w:lastRenderedPageBreak/>
        <w:t xml:space="preserve">Zone afectate de procese naturale  </w:t>
      </w:r>
      <w:r>
        <w:rPr>
          <w:i/>
          <w:sz w:val="22"/>
          <w:szCs w:val="26"/>
          <w:lang w:val="ro-RO"/>
        </w:rPr>
        <w:t>..........................................................................................</w:t>
      </w:r>
      <w:r>
        <w:rPr>
          <w:sz w:val="22"/>
          <w:szCs w:val="26"/>
          <w:lang w:val="ro-RO"/>
        </w:rPr>
        <w:t xml:space="preserve"> </w:t>
      </w:r>
      <w:r w:rsidRPr="00F37C20">
        <w:rPr>
          <w:sz w:val="26"/>
          <w:szCs w:val="26"/>
          <w:lang w:val="ro-RO"/>
        </w:rPr>
        <w:t>5</w:t>
      </w:r>
      <w:r>
        <w:rPr>
          <w:sz w:val="26"/>
          <w:szCs w:val="26"/>
          <w:lang w:val="ro-RO"/>
        </w:rPr>
        <w:t>4</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Presiuni asupra stării de calitate a  solurilor   </w:t>
      </w:r>
      <w:r w:rsidRPr="001A2301">
        <w:rPr>
          <w:b/>
          <w:szCs w:val="26"/>
          <w:lang w:val="ro-RO"/>
        </w:rPr>
        <w:tab/>
      </w:r>
      <w:r w:rsidRPr="009D49A7">
        <w:rPr>
          <w:szCs w:val="26"/>
          <w:lang w:val="ro-RO"/>
        </w:rPr>
        <w:t xml:space="preserve"> </w:t>
      </w:r>
      <w:r w:rsidRPr="00F37C20">
        <w:rPr>
          <w:sz w:val="26"/>
          <w:szCs w:val="26"/>
          <w:lang w:val="ro-RO"/>
        </w:rPr>
        <w:t>5</w:t>
      </w:r>
      <w:r>
        <w:rPr>
          <w:sz w:val="26"/>
          <w:szCs w:val="26"/>
          <w:lang w:val="ro-RO"/>
        </w:rPr>
        <w:t>4</w:t>
      </w:r>
    </w:p>
    <w:p w:rsidR="00676E7B" w:rsidRPr="001A2301" w:rsidRDefault="00676E7B" w:rsidP="00676E7B">
      <w:pPr>
        <w:numPr>
          <w:ilvl w:val="2"/>
          <w:numId w:val="88"/>
        </w:numPr>
        <w:tabs>
          <w:tab w:val="clear" w:pos="0"/>
          <w:tab w:val="left" w:pos="1276"/>
          <w:tab w:val="left" w:leader="dot" w:pos="9356"/>
        </w:tabs>
        <w:ind w:left="993"/>
        <w:rPr>
          <w:i/>
          <w:sz w:val="22"/>
          <w:szCs w:val="26"/>
          <w:lang w:val="ro-RO"/>
        </w:rPr>
      </w:pPr>
      <w:r w:rsidRPr="001A2301">
        <w:rPr>
          <w:i/>
          <w:sz w:val="22"/>
          <w:szCs w:val="26"/>
          <w:lang w:val="ro-RO"/>
        </w:rPr>
        <w:t xml:space="preserve">Utilizare şi consumul de îngrăşăminte </w:t>
      </w:r>
      <w:r w:rsidRPr="001A2301">
        <w:rPr>
          <w:i/>
          <w:sz w:val="22"/>
          <w:szCs w:val="26"/>
          <w:lang w:val="ro-RO"/>
        </w:rPr>
        <w:tab/>
      </w:r>
      <w:r>
        <w:rPr>
          <w:sz w:val="22"/>
          <w:szCs w:val="26"/>
          <w:lang w:val="ro-RO"/>
        </w:rPr>
        <w:t xml:space="preserve"> </w:t>
      </w:r>
      <w:r w:rsidRPr="00F37C20">
        <w:rPr>
          <w:sz w:val="26"/>
          <w:szCs w:val="26"/>
          <w:lang w:val="ro-RO"/>
        </w:rPr>
        <w:t>5</w:t>
      </w:r>
      <w:r>
        <w:rPr>
          <w:sz w:val="26"/>
          <w:szCs w:val="26"/>
          <w:lang w:val="ro-RO"/>
        </w:rPr>
        <w:t>4</w:t>
      </w:r>
    </w:p>
    <w:p w:rsidR="00676E7B" w:rsidRPr="001A2301" w:rsidRDefault="00676E7B" w:rsidP="00676E7B">
      <w:pPr>
        <w:numPr>
          <w:ilvl w:val="2"/>
          <w:numId w:val="88"/>
        </w:numPr>
        <w:tabs>
          <w:tab w:val="clear" w:pos="0"/>
          <w:tab w:val="left" w:pos="1276"/>
          <w:tab w:val="left" w:leader="dot" w:pos="9356"/>
        </w:tabs>
        <w:ind w:left="993"/>
        <w:rPr>
          <w:i/>
          <w:sz w:val="22"/>
          <w:szCs w:val="26"/>
          <w:lang w:val="ro-RO"/>
        </w:rPr>
      </w:pPr>
      <w:r w:rsidRPr="001A2301">
        <w:rPr>
          <w:i/>
          <w:sz w:val="22"/>
          <w:szCs w:val="26"/>
          <w:lang w:val="ro-RO"/>
        </w:rPr>
        <w:t xml:space="preserve">Consumul de produse de protecţia plantelor  </w:t>
      </w:r>
      <w:r w:rsidRPr="001A2301">
        <w:rPr>
          <w:i/>
          <w:sz w:val="22"/>
          <w:szCs w:val="26"/>
          <w:lang w:val="ro-RO"/>
        </w:rPr>
        <w:tab/>
      </w:r>
      <w:r>
        <w:rPr>
          <w:sz w:val="22"/>
          <w:szCs w:val="26"/>
          <w:lang w:val="ro-RO"/>
        </w:rPr>
        <w:t xml:space="preserve"> </w:t>
      </w:r>
      <w:r w:rsidRPr="00F37C20">
        <w:rPr>
          <w:sz w:val="26"/>
          <w:szCs w:val="26"/>
          <w:lang w:val="ro-RO"/>
        </w:rPr>
        <w:t>5</w:t>
      </w:r>
      <w:r>
        <w:rPr>
          <w:sz w:val="26"/>
          <w:szCs w:val="26"/>
          <w:lang w:val="ro-RO"/>
        </w:rPr>
        <w:t>6</w:t>
      </w:r>
    </w:p>
    <w:p w:rsidR="00676E7B" w:rsidRPr="001A2301" w:rsidRDefault="00676E7B" w:rsidP="00676E7B">
      <w:pPr>
        <w:numPr>
          <w:ilvl w:val="2"/>
          <w:numId w:val="88"/>
        </w:numPr>
        <w:tabs>
          <w:tab w:val="clear" w:pos="0"/>
          <w:tab w:val="left" w:pos="1276"/>
          <w:tab w:val="left" w:leader="dot" w:pos="9356"/>
        </w:tabs>
        <w:ind w:left="993"/>
        <w:rPr>
          <w:i/>
          <w:sz w:val="22"/>
          <w:szCs w:val="26"/>
          <w:lang w:val="ro-RO"/>
        </w:rPr>
      </w:pPr>
      <w:r w:rsidRPr="001A2301">
        <w:rPr>
          <w:i/>
          <w:sz w:val="22"/>
          <w:szCs w:val="26"/>
          <w:lang w:val="ro-RO"/>
        </w:rPr>
        <w:t xml:space="preserve">Evoluţia suprafeţelor de îmbunătățiri funciare </w:t>
      </w:r>
      <w:r w:rsidRPr="001A2301">
        <w:rPr>
          <w:i/>
          <w:sz w:val="22"/>
          <w:szCs w:val="26"/>
          <w:lang w:val="ro-RO"/>
        </w:rPr>
        <w:tab/>
      </w:r>
      <w:r>
        <w:rPr>
          <w:i/>
          <w:sz w:val="22"/>
          <w:szCs w:val="26"/>
          <w:lang w:val="ro-RO"/>
        </w:rPr>
        <w:t xml:space="preserve"> </w:t>
      </w:r>
      <w:r w:rsidRPr="00F37C20">
        <w:rPr>
          <w:sz w:val="26"/>
          <w:szCs w:val="26"/>
          <w:lang w:val="ro-RO"/>
        </w:rPr>
        <w:t>5</w:t>
      </w:r>
      <w:r>
        <w:rPr>
          <w:sz w:val="26"/>
          <w:szCs w:val="26"/>
          <w:lang w:val="ro-RO"/>
        </w:rPr>
        <w:t>8</w:t>
      </w:r>
    </w:p>
    <w:p w:rsidR="00676E7B" w:rsidRPr="001A2301" w:rsidRDefault="00676E7B" w:rsidP="00676E7B">
      <w:pPr>
        <w:numPr>
          <w:ilvl w:val="1"/>
          <w:numId w:val="88"/>
        </w:numPr>
        <w:tabs>
          <w:tab w:val="left" w:leader="dot" w:pos="9356"/>
        </w:tabs>
        <w:ind w:left="851" w:hanging="482"/>
        <w:rPr>
          <w:b/>
          <w:szCs w:val="26"/>
          <w:lang w:val="ro-RO"/>
        </w:rPr>
      </w:pPr>
      <w:r w:rsidRPr="001A2301">
        <w:rPr>
          <w:b/>
          <w:szCs w:val="26"/>
          <w:lang w:val="ro-RO"/>
        </w:rPr>
        <w:t xml:space="preserve">Prognoze și acțiuni întreprinse pentru ameliorarea stării de calitate a solurilor </w:t>
      </w:r>
      <w:r w:rsidRPr="001A2301">
        <w:rPr>
          <w:b/>
          <w:szCs w:val="26"/>
          <w:lang w:val="ro-RO"/>
        </w:rPr>
        <w:tab/>
      </w:r>
      <w:r>
        <w:rPr>
          <w:b/>
          <w:szCs w:val="26"/>
          <w:lang w:val="ro-RO"/>
        </w:rPr>
        <w:t xml:space="preserve"> </w:t>
      </w:r>
      <w:r>
        <w:rPr>
          <w:sz w:val="26"/>
          <w:szCs w:val="26"/>
          <w:lang w:val="ro-RO"/>
        </w:rPr>
        <w:t>59</w:t>
      </w:r>
    </w:p>
    <w:p w:rsidR="00676E7B" w:rsidRPr="00CA7542" w:rsidRDefault="00676E7B" w:rsidP="00676E7B">
      <w:pPr>
        <w:numPr>
          <w:ilvl w:val="0"/>
          <w:numId w:val="88"/>
        </w:numPr>
        <w:tabs>
          <w:tab w:val="left" w:pos="540"/>
          <w:tab w:val="left" w:leader="dot" w:pos="9356"/>
        </w:tabs>
        <w:spacing w:line="360" w:lineRule="auto"/>
        <w:ind w:left="784" w:hanging="784"/>
        <w:rPr>
          <w:b/>
          <w:sz w:val="26"/>
          <w:szCs w:val="26"/>
          <w:lang w:val="ro-RO"/>
        </w:rPr>
      </w:pPr>
      <w:r w:rsidRPr="00CA7542">
        <w:rPr>
          <w:b/>
          <w:sz w:val="26"/>
          <w:szCs w:val="26"/>
          <w:lang w:val="ro-RO"/>
        </w:rPr>
        <w:t xml:space="preserve">UTILIZAREA TERENURILOR </w:t>
      </w:r>
      <w:r w:rsidRPr="00CA7542">
        <w:rPr>
          <w:b/>
          <w:sz w:val="26"/>
          <w:szCs w:val="26"/>
          <w:lang w:val="ro-RO"/>
        </w:rPr>
        <w:tab/>
        <w:t xml:space="preserve"> </w:t>
      </w:r>
      <w:r>
        <w:rPr>
          <w:sz w:val="26"/>
          <w:szCs w:val="26"/>
          <w:lang w:val="ro-RO"/>
        </w:rPr>
        <w:t>62</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Stare şi tendinţe </w:t>
      </w:r>
      <w:r w:rsidRPr="00CA7542">
        <w:rPr>
          <w:b/>
          <w:szCs w:val="26"/>
          <w:lang w:val="ro-RO"/>
        </w:rPr>
        <w:tab/>
        <w:t xml:space="preserve"> </w:t>
      </w:r>
      <w:r>
        <w:rPr>
          <w:sz w:val="26"/>
          <w:szCs w:val="26"/>
          <w:lang w:val="ro-RO"/>
        </w:rPr>
        <w:t>62</w:t>
      </w:r>
    </w:p>
    <w:p w:rsidR="00676E7B" w:rsidRPr="00F37C20" w:rsidRDefault="00676E7B" w:rsidP="00676E7B">
      <w:pPr>
        <w:numPr>
          <w:ilvl w:val="2"/>
          <w:numId w:val="88"/>
        </w:numPr>
        <w:tabs>
          <w:tab w:val="clear" w:pos="0"/>
          <w:tab w:val="left" w:pos="1276"/>
          <w:tab w:val="left" w:leader="dot" w:pos="9356"/>
        </w:tabs>
        <w:ind w:left="993"/>
        <w:rPr>
          <w:i/>
          <w:sz w:val="26"/>
          <w:szCs w:val="26"/>
          <w:lang w:val="ro-RO"/>
        </w:rPr>
      </w:pPr>
      <w:r w:rsidRPr="00CA7542">
        <w:rPr>
          <w:i/>
          <w:sz w:val="22"/>
          <w:szCs w:val="26"/>
          <w:lang w:val="ro-RO"/>
        </w:rPr>
        <w:t xml:space="preserve">Repartiţia terenurilor pe categorii de acoperire/utilizare </w:t>
      </w:r>
      <w:r w:rsidRPr="00CA7542">
        <w:rPr>
          <w:i/>
          <w:sz w:val="22"/>
          <w:szCs w:val="26"/>
          <w:lang w:val="ro-RO"/>
        </w:rPr>
        <w:tab/>
        <w:t xml:space="preserve"> </w:t>
      </w:r>
      <w:r>
        <w:rPr>
          <w:sz w:val="26"/>
          <w:szCs w:val="26"/>
          <w:lang w:val="ro-RO"/>
        </w:rPr>
        <w:t>62</w:t>
      </w:r>
    </w:p>
    <w:p w:rsidR="00676E7B" w:rsidRPr="00F37C20" w:rsidRDefault="00676E7B" w:rsidP="00676E7B">
      <w:pPr>
        <w:numPr>
          <w:ilvl w:val="2"/>
          <w:numId w:val="88"/>
        </w:numPr>
        <w:tabs>
          <w:tab w:val="clear" w:pos="0"/>
          <w:tab w:val="left" w:pos="1276"/>
          <w:tab w:val="left" w:leader="dot" w:pos="9356"/>
        </w:tabs>
        <w:ind w:left="993"/>
        <w:rPr>
          <w:i/>
          <w:sz w:val="26"/>
          <w:szCs w:val="26"/>
          <w:lang w:val="ro-RO"/>
        </w:rPr>
      </w:pPr>
      <w:r w:rsidRPr="00CA7542">
        <w:rPr>
          <w:i/>
          <w:sz w:val="22"/>
          <w:szCs w:val="26"/>
          <w:lang w:val="ro-RO"/>
        </w:rPr>
        <w:t xml:space="preserve">Tendinţe privind schimbarea destinaţiei utilizării terenurilor </w:t>
      </w:r>
      <w:r w:rsidRPr="00CA7542">
        <w:rPr>
          <w:i/>
          <w:sz w:val="22"/>
          <w:szCs w:val="26"/>
          <w:lang w:val="ro-RO"/>
        </w:rPr>
        <w:tab/>
        <w:t xml:space="preserve"> </w:t>
      </w:r>
      <w:r w:rsidRPr="00F37C20">
        <w:rPr>
          <w:sz w:val="26"/>
          <w:szCs w:val="26"/>
          <w:lang w:val="ro-RO"/>
        </w:rPr>
        <w:t>6</w:t>
      </w:r>
      <w:r>
        <w:rPr>
          <w:sz w:val="26"/>
          <w:szCs w:val="26"/>
          <w:lang w:val="ro-RO"/>
        </w:rPr>
        <w:t>4</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Impactul schimbării utilizării terenurilor asupra mediului   </w:t>
      </w:r>
      <w:r w:rsidRPr="00CA7542">
        <w:rPr>
          <w:b/>
          <w:szCs w:val="26"/>
          <w:lang w:val="ro-RO"/>
        </w:rPr>
        <w:tab/>
        <w:t xml:space="preserve"> </w:t>
      </w:r>
      <w:r w:rsidRPr="00F37C20">
        <w:rPr>
          <w:sz w:val="26"/>
          <w:szCs w:val="26"/>
          <w:lang w:val="ro-RO"/>
        </w:rPr>
        <w:t>6</w:t>
      </w:r>
      <w:r>
        <w:rPr>
          <w:sz w:val="26"/>
          <w:szCs w:val="26"/>
          <w:lang w:val="ro-RO"/>
        </w:rPr>
        <w:t>8</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Impactul schimbării utilizării terenurilor asupra terenurilor agricole </w:t>
      </w:r>
      <w:r w:rsidRPr="00CA7542">
        <w:rPr>
          <w:i/>
          <w:sz w:val="22"/>
          <w:szCs w:val="26"/>
          <w:lang w:val="ro-RO"/>
        </w:rPr>
        <w:tab/>
        <w:t xml:space="preserve"> </w:t>
      </w:r>
      <w:r w:rsidRPr="00F37C20">
        <w:rPr>
          <w:sz w:val="26"/>
          <w:szCs w:val="26"/>
          <w:lang w:val="ro-RO"/>
        </w:rPr>
        <w:t>6</w:t>
      </w:r>
      <w:r>
        <w:rPr>
          <w:sz w:val="26"/>
          <w:szCs w:val="26"/>
          <w:lang w:val="ro-RO"/>
        </w:rPr>
        <w:t>8</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Impactul schimbării utilizării terenurilor asupra habitatelor </w:t>
      </w:r>
      <w:r w:rsidRPr="00CA7542">
        <w:rPr>
          <w:i/>
          <w:sz w:val="22"/>
          <w:szCs w:val="26"/>
          <w:lang w:val="ro-RO"/>
        </w:rPr>
        <w:tab/>
        <w:t xml:space="preserve"> </w:t>
      </w:r>
      <w:r>
        <w:rPr>
          <w:sz w:val="26"/>
          <w:szCs w:val="26"/>
          <w:lang w:val="ro-RO"/>
        </w:rPr>
        <w:t>69</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Factorii determinanţi ai schimbării utilizării terenurilor </w:t>
      </w:r>
      <w:r w:rsidRPr="00CA7542">
        <w:rPr>
          <w:b/>
          <w:szCs w:val="26"/>
          <w:lang w:val="ro-RO"/>
        </w:rPr>
        <w:tab/>
        <w:t xml:space="preserve"> </w:t>
      </w:r>
      <w:r>
        <w:rPr>
          <w:sz w:val="26"/>
          <w:szCs w:val="26"/>
          <w:lang w:val="ro-RO"/>
        </w:rPr>
        <w:t>70</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Modificarea densităţii populaţiei </w:t>
      </w:r>
      <w:r w:rsidRPr="00CA7542">
        <w:rPr>
          <w:i/>
          <w:sz w:val="22"/>
          <w:szCs w:val="26"/>
          <w:lang w:val="ro-RO"/>
        </w:rPr>
        <w:tab/>
        <w:t xml:space="preserve"> </w:t>
      </w:r>
      <w:r>
        <w:rPr>
          <w:sz w:val="26"/>
          <w:szCs w:val="26"/>
          <w:lang w:val="ro-RO"/>
        </w:rPr>
        <w:t>70</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Expansiunea urbană </w:t>
      </w:r>
      <w:r w:rsidRPr="00CA7542">
        <w:rPr>
          <w:i/>
          <w:sz w:val="22"/>
          <w:szCs w:val="26"/>
          <w:lang w:val="ro-RO"/>
        </w:rPr>
        <w:tab/>
      </w:r>
      <w:r w:rsidRPr="00F37C20">
        <w:rPr>
          <w:i/>
          <w:sz w:val="26"/>
          <w:szCs w:val="26"/>
          <w:lang w:val="ro-RO"/>
        </w:rPr>
        <w:t xml:space="preserve"> </w:t>
      </w:r>
      <w:r>
        <w:rPr>
          <w:sz w:val="26"/>
          <w:szCs w:val="26"/>
          <w:lang w:val="ro-RO"/>
        </w:rPr>
        <w:t>71</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 Prognoze și acțiuni întreprinse privind utilizarea terenurilor </w:t>
      </w:r>
      <w:r w:rsidRPr="00CA7542">
        <w:rPr>
          <w:b/>
          <w:szCs w:val="26"/>
          <w:lang w:val="ro-RO"/>
        </w:rPr>
        <w:tab/>
        <w:t xml:space="preserve"> </w:t>
      </w:r>
      <w:r>
        <w:rPr>
          <w:sz w:val="26"/>
          <w:szCs w:val="26"/>
          <w:lang w:val="ro-RO"/>
        </w:rPr>
        <w:t>73</w:t>
      </w:r>
    </w:p>
    <w:p w:rsidR="00676E7B" w:rsidRPr="001A2301" w:rsidRDefault="00676E7B" w:rsidP="00676E7B">
      <w:pPr>
        <w:tabs>
          <w:tab w:val="left" w:pos="540"/>
          <w:tab w:val="left" w:leader="dot" w:pos="8789"/>
          <w:tab w:val="left" w:leader="dot" w:pos="9356"/>
        </w:tabs>
        <w:rPr>
          <w:b/>
          <w:color w:val="FF0000"/>
          <w:spacing w:val="-3"/>
          <w:sz w:val="16"/>
          <w:szCs w:val="26"/>
          <w:lang w:val="ro-RO"/>
        </w:rPr>
      </w:pPr>
    </w:p>
    <w:p w:rsidR="00676E7B" w:rsidRPr="001A2301" w:rsidRDefault="00676E7B" w:rsidP="00676E7B">
      <w:pPr>
        <w:numPr>
          <w:ilvl w:val="0"/>
          <w:numId w:val="88"/>
        </w:numPr>
        <w:tabs>
          <w:tab w:val="left" w:pos="540"/>
          <w:tab w:val="left" w:pos="9356"/>
        </w:tabs>
        <w:spacing w:line="360" w:lineRule="auto"/>
        <w:rPr>
          <w:b/>
          <w:color w:val="FF0000"/>
          <w:sz w:val="26"/>
          <w:szCs w:val="26"/>
          <w:lang w:val="ro-RO"/>
        </w:rPr>
      </w:pPr>
      <w:r w:rsidRPr="00CA7542">
        <w:rPr>
          <w:b/>
          <w:sz w:val="26"/>
          <w:szCs w:val="26"/>
          <w:lang w:val="ro-RO"/>
        </w:rPr>
        <w:t xml:space="preserve">PROTECŢIA NATURII ŞI BIODIVERSITATEA </w:t>
      </w:r>
      <w:r>
        <w:rPr>
          <w:b/>
          <w:sz w:val="26"/>
          <w:szCs w:val="26"/>
          <w:lang w:val="ro-RO"/>
        </w:rPr>
        <w:t xml:space="preserve">............................................... </w:t>
      </w:r>
      <w:r w:rsidR="008003DD">
        <w:rPr>
          <w:b/>
          <w:sz w:val="26"/>
          <w:szCs w:val="26"/>
          <w:lang w:val="ro-RO"/>
        </w:rPr>
        <w:t xml:space="preserve"> </w:t>
      </w:r>
      <w:r>
        <w:rPr>
          <w:b/>
          <w:sz w:val="26"/>
          <w:szCs w:val="26"/>
          <w:lang w:val="ro-RO"/>
        </w:rPr>
        <w:t xml:space="preserve"> </w:t>
      </w:r>
      <w:r>
        <w:rPr>
          <w:sz w:val="26"/>
          <w:szCs w:val="26"/>
          <w:lang w:val="ro-RO"/>
        </w:rPr>
        <w:t>73</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Ameninţări pentru biodiversitate şi presiuni exercitate asupra biodiversităţii </w:t>
      </w:r>
      <w:r w:rsidRPr="00CA7542">
        <w:rPr>
          <w:b/>
          <w:szCs w:val="26"/>
          <w:lang w:val="ro-RO"/>
        </w:rPr>
        <w:tab/>
        <w:t xml:space="preserve"> </w:t>
      </w:r>
      <w:r>
        <w:rPr>
          <w:sz w:val="26"/>
          <w:szCs w:val="26"/>
          <w:lang w:val="ro-RO"/>
        </w:rPr>
        <w:t>80</w:t>
      </w:r>
    </w:p>
    <w:p w:rsidR="00676E7B" w:rsidRPr="00CA7542" w:rsidRDefault="00676E7B" w:rsidP="00676E7B">
      <w:pPr>
        <w:numPr>
          <w:ilvl w:val="2"/>
          <w:numId w:val="88"/>
        </w:numPr>
        <w:tabs>
          <w:tab w:val="clear" w:pos="0"/>
          <w:tab w:val="left" w:pos="1176"/>
          <w:tab w:val="left" w:leader="dot" w:pos="9356"/>
        </w:tabs>
        <w:ind w:left="993"/>
        <w:rPr>
          <w:i/>
          <w:sz w:val="22"/>
          <w:szCs w:val="26"/>
          <w:lang w:val="ro-RO"/>
        </w:rPr>
      </w:pPr>
      <w:r w:rsidRPr="00CA7542">
        <w:rPr>
          <w:i/>
          <w:sz w:val="22"/>
          <w:szCs w:val="26"/>
          <w:lang w:val="ro-RO"/>
        </w:rPr>
        <w:t xml:space="preserve">Speciile invazive </w:t>
      </w:r>
      <w:r w:rsidRPr="00CA7542">
        <w:rPr>
          <w:i/>
          <w:sz w:val="22"/>
          <w:szCs w:val="26"/>
          <w:lang w:val="ro-RO"/>
        </w:rPr>
        <w:tab/>
      </w:r>
      <w:r w:rsidRPr="00F37C20">
        <w:rPr>
          <w:i/>
          <w:sz w:val="26"/>
          <w:szCs w:val="26"/>
          <w:lang w:val="ro-RO"/>
        </w:rPr>
        <w:t xml:space="preserve"> </w:t>
      </w:r>
      <w:r>
        <w:rPr>
          <w:sz w:val="26"/>
          <w:szCs w:val="26"/>
          <w:lang w:val="ro-RO"/>
        </w:rPr>
        <w:t>80</w:t>
      </w:r>
    </w:p>
    <w:p w:rsidR="00676E7B" w:rsidRPr="00CA7542" w:rsidRDefault="00676E7B" w:rsidP="00676E7B">
      <w:pPr>
        <w:numPr>
          <w:ilvl w:val="2"/>
          <w:numId w:val="88"/>
        </w:numPr>
        <w:tabs>
          <w:tab w:val="clear" w:pos="0"/>
          <w:tab w:val="left" w:pos="1176"/>
          <w:tab w:val="left" w:leader="dot" w:pos="9356"/>
        </w:tabs>
        <w:ind w:left="993"/>
        <w:rPr>
          <w:i/>
          <w:sz w:val="22"/>
          <w:szCs w:val="26"/>
          <w:lang w:val="ro-RO"/>
        </w:rPr>
      </w:pPr>
      <w:r w:rsidRPr="00CA7542">
        <w:rPr>
          <w:i/>
          <w:sz w:val="22"/>
          <w:szCs w:val="26"/>
          <w:lang w:val="ro-RO"/>
        </w:rPr>
        <w:t xml:space="preserve">Poluarea şi încărcarea cu nutrienţi </w:t>
      </w:r>
      <w:r w:rsidRPr="00CA7542">
        <w:rPr>
          <w:i/>
          <w:sz w:val="22"/>
          <w:szCs w:val="26"/>
          <w:lang w:val="ro-RO"/>
        </w:rPr>
        <w:tab/>
        <w:t xml:space="preserve"> </w:t>
      </w:r>
      <w:r>
        <w:rPr>
          <w:sz w:val="26"/>
          <w:szCs w:val="26"/>
          <w:lang w:val="ro-RO"/>
        </w:rPr>
        <w:t>81</w:t>
      </w:r>
    </w:p>
    <w:p w:rsidR="00676E7B" w:rsidRPr="00CA7542" w:rsidRDefault="00676E7B" w:rsidP="00676E7B">
      <w:pPr>
        <w:numPr>
          <w:ilvl w:val="2"/>
          <w:numId w:val="88"/>
        </w:numPr>
        <w:tabs>
          <w:tab w:val="clear" w:pos="0"/>
          <w:tab w:val="left" w:pos="1176"/>
          <w:tab w:val="left" w:leader="dot" w:pos="9356"/>
        </w:tabs>
        <w:ind w:left="993"/>
        <w:rPr>
          <w:i/>
          <w:sz w:val="22"/>
          <w:szCs w:val="26"/>
          <w:lang w:val="ro-RO"/>
        </w:rPr>
      </w:pPr>
      <w:r w:rsidRPr="00CA7542">
        <w:rPr>
          <w:i/>
          <w:sz w:val="22"/>
          <w:szCs w:val="26"/>
          <w:lang w:val="ro-RO"/>
        </w:rPr>
        <w:t xml:space="preserve">Schimbările climatice </w:t>
      </w:r>
      <w:r w:rsidRPr="00CA7542">
        <w:rPr>
          <w:i/>
          <w:sz w:val="22"/>
          <w:szCs w:val="26"/>
          <w:lang w:val="ro-RO"/>
        </w:rPr>
        <w:tab/>
        <w:t xml:space="preserve"> </w:t>
      </w:r>
      <w:r>
        <w:rPr>
          <w:sz w:val="26"/>
          <w:szCs w:val="26"/>
          <w:lang w:val="ro-RO"/>
        </w:rPr>
        <w:t>81</w:t>
      </w:r>
    </w:p>
    <w:p w:rsidR="00676E7B" w:rsidRPr="00CA7542" w:rsidRDefault="00676E7B" w:rsidP="00676E7B">
      <w:pPr>
        <w:numPr>
          <w:ilvl w:val="2"/>
          <w:numId w:val="88"/>
        </w:numPr>
        <w:tabs>
          <w:tab w:val="clear" w:pos="0"/>
          <w:tab w:val="left" w:pos="1176"/>
          <w:tab w:val="left" w:leader="dot" w:pos="9356"/>
        </w:tabs>
        <w:ind w:left="993"/>
        <w:rPr>
          <w:i/>
          <w:sz w:val="22"/>
          <w:szCs w:val="26"/>
          <w:lang w:val="ro-RO"/>
        </w:rPr>
      </w:pPr>
      <w:r w:rsidRPr="00CA7542">
        <w:rPr>
          <w:i/>
          <w:sz w:val="22"/>
          <w:szCs w:val="26"/>
          <w:lang w:val="ro-RO"/>
        </w:rPr>
        <w:t xml:space="preserve">Modificarea habitatelor </w:t>
      </w:r>
      <w:r w:rsidRPr="00CA7542">
        <w:rPr>
          <w:i/>
          <w:sz w:val="22"/>
          <w:szCs w:val="26"/>
          <w:lang w:val="ro-RO"/>
        </w:rPr>
        <w:tab/>
        <w:t xml:space="preserve"> </w:t>
      </w:r>
      <w:r>
        <w:rPr>
          <w:sz w:val="26"/>
          <w:szCs w:val="26"/>
          <w:lang w:val="ro-RO"/>
        </w:rPr>
        <w:t>82</w:t>
      </w:r>
    </w:p>
    <w:p w:rsidR="00676E7B" w:rsidRPr="00CA7542" w:rsidRDefault="00676E7B" w:rsidP="00676E7B">
      <w:pPr>
        <w:numPr>
          <w:ilvl w:val="3"/>
          <w:numId w:val="88"/>
        </w:numPr>
        <w:tabs>
          <w:tab w:val="left" w:leader="dot" w:pos="9356"/>
        </w:tabs>
        <w:ind w:left="1498" w:hanging="718"/>
        <w:rPr>
          <w:sz w:val="20"/>
          <w:szCs w:val="26"/>
          <w:lang w:val="ro-RO"/>
        </w:rPr>
      </w:pPr>
      <w:r w:rsidRPr="00CA7542">
        <w:rPr>
          <w:sz w:val="20"/>
          <w:szCs w:val="26"/>
          <w:lang w:val="ro-RO"/>
        </w:rPr>
        <w:t xml:space="preserve">Fragmentarea ecosistemelor  </w:t>
      </w:r>
      <w:r w:rsidRPr="00CA7542">
        <w:rPr>
          <w:sz w:val="20"/>
          <w:szCs w:val="26"/>
          <w:lang w:val="ro-RO"/>
        </w:rPr>
        <w:tab/>
      </w:r>
      <w:r w:rsidRPr="00F37C20">
        <w:rPr>
          <w:sz w:val="26"/>
          <w:szCs w:val="26"/>
          <w:lang w:val="ro-RO"/>
        </w:rPr>
        <w:t xml:space="preserve"> </w:t>
      </w:r>
      <w:r>
        <w:rPr>
          <w:sz w:val="26"/>
          <w:szCs w:val="26"/>
          <w:lang w:val="ro-RO"/>
        </w:rPr>
        <w:t>82</w:t>
      </w:r>
    </w:p>
    <w:p w:rsidR="00676E7B" w:rsidRPr="00CA7542" w:rsidRDefault="00676E7B" w:rsidP="00676E7B">
      <w:pPr>
        <w:numPr>
          <w:ilvl w:val="3"/>
          <w:numId w:val="88"/>
        </w:numPr>
        <w:tabs>
          <w:tab w:val="left" w:leader="dot" w:pos="9356"/>
        </w:tabs>
        <w:ind w:left="1498" w:hanging="718"/>
        <w:rPr>
          <w:sz w:val="20"/>
          <w:szCs w:val="26"/>
          <w:lang w:val="ro-RO"/>
        </w:rPr>
      </w:pPr>
      <w:r w:rsidRPr="00CA7542">
        <w:rPr>
          <w:sz w:val="20"/>
          <w:szCs w:val="26"/>
          <w:lang w:val="ro-RO"/>
        </w:rPr>
        <w:t xml:space="preserve">Reducerea habitatelor naturale şi semi-naturale </w:t>
      </w:r>
      <w:r w:rsidRPr="00CA7542">
        <w:rPr>
          <w:sz w:val="20"/>
          <w:szCs w:val="26"/>
          <w:lang w:val="ro-RO"/>
        </w:rPr>
        <w:tab/>
      </w:r>
      <w:r>
        <w:rPr>
          <w:sz w:val="20"/>
          <w:szCs w:val="26"/>
          <w:lang w:val="ro-RO"/>
        </w:rPr>
        <w:t xml:space="preserve"> </w:t>
      </w:r>
      <w:r>
        <w:rPr>
          <w:sz w:val="26"/>
          <w:szCs w:val="26"/>
          <w:lang w:val="ro-RO"/>
        </w:rPr>
        <w:t>83</w:t>
      </w:r>
    </w:p>
    <w:p w:rsidR="00676E7B" w:rsidRPr="00CA7542" w:rsidRDefault="00676E7B" w:rsidP="00676E7B">
      <w:pPr>
        <w:numPr>
          <w:ilvl w:val="2"/>
          <w:numId w:val="88"/>
        </w:numPr>
        <w:tabs>
          <w:tab w:val="clear" w:pos="0"/>
          <w:tab w:val="left" w:pos="1176"/>
          <w:tab w:val="left" w:leader="dot" w:pos="9356"/>
        </w:tabs>
        <w:ind w:left="993"/>
        <w:rPr>
          <w:i/>
          <w:sz w:val="22"/>
          <w:szCs w:val="26"/>
          <w:lang w:val="ro-RO"/>
        </w:rPr>
      </w:pPr>
      <w:r w:rsidRPr="00CA7542">
        <w:rPr>
          <w:i/>
          <w:sz w:val="22"/>
          <w:szCs w:val="26"/>
          <w:lang w:val="ro-RO"/>
        </w:rPr>
        <w:t xml:space="preserve">Exploatarea excesivă a resurselor naturale </w:t>
      </w:r>
      <w:r w:rsidRPr="00CA7542">
        <w:rPr>
          <w:i/>
          <w:sz w:val="22"/>
          <w:szCs w:val="26"/>
          <w:lang w:val="ro-RO"/>
        </w:rPr>
        <w:tab/>
        <w:t xml:space="preserve"> </w:t>
      </w:r>
      <w:r>
        <w:rPr>
          <w:sz w:val="26"/>
          <w:szCs w:val="26"/>
          <w:lang w:val="ro-RO"/>
        </w:rPr>
        <w:t>83</w:t>
      </w:r>
    </w:p>
    <w:p w:rsidR="00676E7B" w:rsidRPr="00CA7542" w:rsidRDefault="00676E7B" w:rsidP="00676E7B">
      <w:pPr>
        <w:numPr>
          <w:ilvl w:val="3"/>
          <w:numId w:val="88"/>
        </w:numPr>
        <w:tabs>
          <w:tab w:val="left" w:leader="dot" w:pos="9356"/>
        </w:tabs>
        <w:ind w:left="1498" w:hanging="718"/>
        <w:rPr>
          <w:sz w:val="20"/>
          <w:szCs w:val="26"/>
          <w:lang w:val="ro-RO"/>
        </w:rPr>
      </w:pPr>
      <w:r w:rsidRPr="00CA7542">
        <w:rPr>
          <w:sz w:val="20"/>
          <w:szCs w:val="26"/>
          <w:lang w:val="ro-RO"/>
        </w:rPr>
        <w:t xml:space="preserve">Exploatarea forestieră </w:t>
      </w:r>
      <w:r w:rsidRPr="00CA7542">
        <w:rPr>
          <w:sz w:val="20"/>
          <w:szCs w:val="26"/>
          <w:lang w:val="ro-RO"/>
        </w:rPr>
        <w:tab/>
        <w:t xml:space="preserve"> </w:t>
      </w:r>
      <w:r w:rsidRPr="00F37C20">
        <w:rPr>
          <w:sz w:val="26"/>
          <w:szCs w:val="26"/>
          <w:lang w:val="ro-RO"/>
        </w:rPr>
        <w:t>8</w:t>
      </w:r>
      <w:r>
        <w:rPr>
          <w:sz w:val="26"/>
          <w:szCs w:val="26"/>
          <w:lang w:val="ro-RO"/>
        </w:rPr>
        <w:t>4</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Protecţia naturii şi biodiversitatea: prognoze şi acţiuni întreprinse </w:t>
      </w:r>
      <w:r w:rsidRPr="00CA7542">
        <w:rPr>
          <w:b/>
          <w:szCs w:val="26"/>
          <w:lang w:val="ro-RO"/>
        </w:rPr>
        <w:tab/>
      </w:r>
      <w:r>
        <w:rPr>
          <w:szCs w:val="26"/>
          <w:lang w:val="ro-RO"/>
        </w:rPr>
        <w:t xml:space="preserve"> </w:t>
      </w:r>
      <w:r w:rsidRPr="00F37C20">
        <w:rPr>
          <w:sz w:val="26"/>
          <w:szCs w:val="26"/>
          <w:lang w:val="ro-RO"/>
        </w:rPr>
        <w:t>8</w:t>
      </w:r>
      <w:r>
        <w:rPr>
          <w:sz w:val="26"/>
          <w:szCs w:val="26"/>
          <w:lang w:val="ro-RO"/>
        </w:rPr>
        <w:t>5</w:t>
      </w:r>
    </w:p>
    <w:p w:rsidR="00676E7B" w:rsidRPr="00CA7542" w:rsidRDefault="00676E7B" w:rsidP="00676E7B">
      <w:pPr>
        <w:numPr>
          <w:ilvl w:val="2"/>
          <w:numId w:val="88"/>
        </w:numPr>
        <w:tabs>
          <w:tab w:val="clear" w:pos="0"/>
          <w:tab w:val="left" w:pos="1204"/>
          <w:tab w:val="left" w:leader="dot" w:pos="9356"/>
        </w:tabs>
        <w:ind w:left="993"/>
        <w:rPr>
          <w:i/>
          <w:sz w:val="22"/>
          <w:szCs w:val="26"/>
          <w:lang w:val="ro-RO"/>
        </w:rPr>
      </w:pPr>
      <w:r w:rsidRPr="00CA7542">
        <w:rPr>
          <w:i/>
          <w:sz w:val="22"/>
          <w:szCs w:val="26"/>
          <w:lang w:val="ro-RO"/>
        </w:rPr>
        <w:t xml:space="preserve">Reţeaua de arii protejate </w:t>
      </w:r>
      <w:r w:rsidRPr="00CA7542">
        <w:rPr>
          <w:i/>
          <w:sz w:val="22"/>
          <w:szCs w:val="26"/>
          <w:lang w:val="ro-RO"/>
        </w:rPr>
        <w:tab/>
      </w:r>
      <w:r>
        <w:rPr>
          <w:i/>
          <w:sz w:val="22"/>
          <w:szCs w:val="26"/>
          <w:lang w:val="ro-RO"/>
        </w:rPr>
        <w:t xml:space="preserve"> </w:t>
      </w:r>
      <w:r w:rsidRPr="00F37C20">
        <w:rPr>
          <w:sz w:val="26"/>
          <w:szCs w:val="26"/>
          <w:lang w:val="ro-RO"/>
        </w:rPr>
        <w:t>8</w:t>
      </w:r>
      <w:r>
        <w:rPr>
          <w:sz w:val="26"/>
          <w:szCs w:val="26"/>
          <w:lang w:val="ro-RO"/>
        </w:rPr>
        <w:t>5</w:t>
      </w:r>
    </w:p>
    <w:p w:rsidR="00676E7B" w:rsidRPr="00CA7542" w:rsidRDefault="00676E7B" w:rsidP="00676E7B">
      <w:pPr>
        <w:numPr>
          <w:ilvl w:val="0"/>
          <w:numId w:val="88"/>
        </w:numPr>
        <w:tabs>
          <w:tab w:val="left" w:pos="540"/>
          <w:tab w:val="left" w:leader="dot" w:pos="9356"/>
        </w:tabs>
        <w:spacing w:line="360" w:lineRule="auto"/>
        <w:rPr>
          <w:b/>
          <w:sz w:val="26"/>
          <w:szCs w:val="26"/>
          <w:lang w:val="ro-RO"/>
        </w:rPr>
      </w:pPr>
      <w:r w:rsidRPr="00CA7542">
        <w:rPr>
          <w:b/>
          <w:sz w:val="26"/>
          <w:szCs w:val="26"/>
          <w:lang w:val="ro-RO"/>
        </w:rPr>
        <w:t xml:space="preserve">PĂDURILE </w:t>
      </w:r>
      <w:r w:rsidRPr="00CA7542">
        <w:rPr>
          <w:b/>
          <w:sz w:val="26"/>
          <w:szCs w:val="26"/>
          <w:lang w:val="ro-RO"/>
        </w:rPr>
        <w:tab/>
      </w:r>
      <w:r>
        <w:rPr>
          <w:sz w:val="26"/>
          <w:szCs w:val="26"/>
          <w:lang w:val="ro-RO"/>
        </w:rPr>
        <w:t>100</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Fondul forestier naţional: stare şi consecinţe  </w:t>
      </w:r>
      <w:r w:rsidRPr="00CA7542">
        <w:rPr>
          <w:b/>
          <w:szCs w:val="26"/>
          <w:lang w:val="ro-RO"/>
        </w:rPr>
        <w:tab/>
      </w:r>
      <w:r>
        <w:rPr>
          <w:sz w:val="26"/>
          <w:szCs w:val="26"/>
          <w:lang w:val="ro-RO"/>
        </w:rPr>
        <w:t>100</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Evoluţia suprafeţei fondului forestier </w:t>
      </w:r>
      <w:r w:rsidRPr="00CA7542">
        <w:rPr>
          <w:i/>
          <w:sz w:val="22"/>
          <w:szCs w:val="26"/>
          <w:lang w:val="ro-RO"/>
        </w:rPr>
        <w:tab/>
      </w:r>
      <w:r>
        <w:rPr>
          <w:sz w:val="26"/>
          <w:szCs w:val="26"/>
          <w:lang w:val="ro-RO"/>
        </w:rPr>
        <w:t>100</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Distribuţia pădurilor după principalele forme de relief  </w:t>
      </w:r>
      <w:r w:rsidRPr="00CA7542">
        <w:rPr>
          <w:i/>
          <w:sz w:val="22"/>
          <w:szCs w:val="26"/>
          <w:lang w:val="ro-RO"/>
        </w:rPr>
        <w:tab/>
      </w:r>
      <w:r>
        <w:rPr>
          <w:sz w:val="26"/>
          <w:szCs w:val="26"/>
          <w:lang w:val="ro-RO"/>
        </w:rPr>
        <w:t>103</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Starea de sănătate a pădurilor  </w:t>
      </w:r>
      <w:r>
        <w:rPr>
          <w:i/>
          <w:sz w:val="22"/>
          <w:szCs w:val="26"/>
          <w:lang w:val="ro-RO"/>
        </w:rPr>
        <w:t>...............................................................................................</w:t>
      </w:r>
      <w:r>
        <w:rPr>
          <w:sz w:val="26"/>
          <w:szCs w:val="26"/>
          <w:lang w:val="ro-RO"/>
        </w:rPr>
        <w:t>104</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Suprafeţe de păduri regenerate  </w:t>
      </w:r>
      <w:r>
        <w:rPr>
          <w:i/>
          <w:sz w:val="22"/>
          <w:szCs w:val="26"/>
          <w:lang w:val="ro-RO"/>
        </w:rPr>
        <w:t>..............................................................................................</w:t>
      </w:r>
      <w:r>
        <w:rPr>
          <w:sz w:val="26"/>
          <w:szCs w:val="26"/>
          <w:lang w:val="ro-RO"/>
        </w:rPr>
        <w:t>105</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Zone cu deficit de vegetaţie forestieră şi disponibilităţi de împădurire  </w:t>
      </w:r>
      <w:r>
        <w:rPr>
          <w:i/>
          <w:sz w:val="22"/>
          <w:szCs w:val="26"/>
          <w:lang w:val="ro-RO"/>
        </w:rPr>
        <w:t>.................................</w:t>
      </w:r>
      <w:r>
        <w:rPr>
          <w:sz w:val="26"/>
          <w:szCs w:val="26"/>
          <w:lang w:val="ro-RO"/>
        </w:rPr>
        <w:t>105</w:t>
      </w:r>
    </w:p>
    <w:p w:rsidR="00676E7B" w:rsidRPr="00CA7542" w:rsidRDefault="00676E7B" w:rsidP="00676E7B">
      <w:pPr>
        <w:numPr>
          <w:ilvl w:val="1"/>
          <w:numId w:val="88"/>
        </w:numPr>
        <w:tabs>
          <w:tab w:val="left" w:leader="dot" w:pos="9356"/>
        </w:tabs>
        <w:ind w:left="851" w:hanging="482"/>
        <w:rPr>
          <w:b/>
          <w:szCs w:val="26"/>
          <w:lang w:val="ro-RO"/>
        </w:rPr>
      </w:pPr>
      <w:r w:rsidRPr="00CA7542">
        <w:rPr>
          <w:b/>
          <w:szCs w:val="26"/>
          <w:lang w:val="ro-RO"/>
        </w:rPr>
        <w:t xml:space="preserve">Ameninţări şi presiuni exercitate asupra pădurilor </w:t>
      </w:r>
      <w:r>
        <w:rPr>
          <w:b/>
          <w:szCs w:val="26"/>
          <w:lang w:val="ro-RO"/>
        </w:rPr>
        <w:t xml:space="preserve">...................................................   </w:t>
      </w:r>
      <w:r w:rsidRPr="00567AA5">
        <w:rPr>
          <w:sz w:val="26"/>
          <w:szCs w:val="26"/>
          <w:lang w:val="ro-RO"/>
        </w:rPr>
        <w:t>10</w:t>
      </w:r>
      <w:r>
        <w:rPr>
          <w:sz w:val="26"/>
          <w:szCs w:val="26"/>
          <w:lang w:val="ro-RO"/>
        </w:rPr>
        <w:t>6</w:t>
      </w:r>
    </w:p>
    <w:p w:rsidR="00676E7B" w:rsidRPr="00CA7542" w:rsidRDefault="00676E7B" w:rsidP="00676E7B">
      <w:pPr>
        <w:numPr>
          <w:ilvl w:val="2"/>
          <w:numId w:val="88"/>
        </w:numPr>
        <w:tabs>
          <w:tab w:val="clear" w:pos="0"/>
          <w:tab w:val="left" w:pos="1176"/>
          <w:tab w:val="left" w:leader="dot" w:pos="9356"/>
        </w:tabs>
        <w:ind w:left="993"/>
        <w:rPr>
          <w:i/>
          <w:sz w:val="22"/>
          <w:szCs w:val="26"/>
          <w:lang w:val="ro-RO"/>
        </w:rPr>
      </w:pPr>
      <w:r w:rsidRPr="00CA7542">
        <w:rPr>
          <w:i/>
          <w:sz w:val="22"/>
          <w:szCs w:val="26"/>
          <w:lang w:val="ro-RO"/>
        </w:rPr>
        <w:t xml:space="preserve">Suprafeţe de pădure parcurse cu tăieri </w:t>
      </w:r>
      <w:r>
        <w:rPr>
          <w:i/>
          <w:sz w:val="22"/>
          <w:szCs w:val="26"/>
          <w:lang w:val="ro-RO"/>
        </w:rPr>
        <w:t>.....................................................................................</w:t>
      </w:r>
      <w:r>
        <w:rPr>
          <w:sz w:val="26"/>
          <w:szCs w:val="26"/>
          <w:lang w:val="ro-RO"/>
        </w:rPr>
        <w:t>106</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 xml:space="preserve">Schimbarea utilizării terenurilor </w:t>
      </w:r>
      <w:r>
        <w:rPr>
          <w:i/>
          <w:sz w:val="22"/>
          <w:szCs w:val="26"/>
          <w:lang w:val="ro-RO"/>
        </w:rPr>
        <w:t>.............................................................................................</w:t>
      </w:r>
      <w:r>
        <w:rPr>
          <w:sz w:val="26"/>
          <w:szCs w:val="26"/>
          <w:lang w:val="ro-RO"/>
        </w:rPr>
        <w:t>107</w:t>
      </w:r>
    </w:p>
    <w:p w:rsidR="00676E7B" w:rsidRPr="00CA7542" w:rsidRDefault="00676E7B" w:rsidP="00676E7B">
      <w:pPr>
        <w:numPr>
          <w:ilvl w:val="3"/>
          <w:numId w:val="88"/>
        </w:numPr>
        <w:tabs>
          <w:tab w:val="left" w:leader="dot" w:pos="9356"/>
        </w:tabs>
        <w:ind w:left="1560" w:hanging="780"/>
        <w:rPr>
          <w:sz w:val="20"/>
          <w:szCs w:val="26"/>
          <w:lang w:val="ro-RO"/>
        </w:rPr>
      </w:pPr>
      <w:r w:rsidRPr="00CA7542">
        <w:rPr>
          <w:sz w:val="20"/>
          <w:szCs w:val="26"/>
          <w:lang w:val="ro-RO"/>
        </w:rPr>
        <w:t xml:space="preserve">Fragmentarea ecosistemelor </w:t>
      </w:r>
      <w:r>
        <w:rPr>
          <w:sz w:val="20"/>
          <w:szCs w:val="26"/>
          <w:lang w:val="ro-RO"/>
        </w:rPr>
        <w:t xml:space="preserve">...........................................................................................................    </w:t>
      </w:r>
      <w:r w:rsidRPr="00567AA5">
        <w:rPr>
          <w:sz w:val="26"/>
          <w:szCs w:val="26"/>
          <w:lang w:val="ro-RO"/>
        </w:rPr>
        <w:t>10</w:t>
      </w:r>
      <w:r>
        <w:rPr>
          <w:sz w:val="26"/>
          <w:szCs w:val="26"/>
          <w:lang w:val="ro-RO"/>
        </w:rPr>
        <w:t>7</w:t>
      </w:r>
    </w:p>
    <w:p w:rsidR="00676E7B" w:rsidRPr="00CA7542" w:rsidRDefault="00676E7B" w:rsidP="00676E7B">
      <w:pPr>
        <w:numPr>
          <w:ilvl w:val="2"/>
          <w:numId w:val="88"/>
        </w:numPr>
        <w:tabs>
          <w:tab w:val="clear" w:pos="0"/>
          <w:tab w:val="left" w:pos="1276"/>
          <w:tab w:val="left" w:leader="dot" w:pos="9356"/>
        </w:tabs>
        <w:ind w:left="993"/>
        <w:rPr>
          <w:i/>
          <w:sz w:val="22"/>
          <w:szCs w:val="26"/>
          <w:lang w:val="ro-RO"/>
        </w:rPr>
      </w:pPr>
      <w:r w:rsidRPr="00CA7542">
        <w:rPr>
          <w:i/>
          <w:sz w:val="22"/>
          <w:szCs w:val="26"/>
          <w:lang w:val="ro-RO"/>
        </w:rPr>
        <w:t>Schimbările climatice</w:t>
      </w:r>
      <w:r>
        <w:rPr>
          <w:i/>
          <w:sz w:val="22"/>
          <w:szCs w:val="26"/>
          <w:lang w:val="ro-RO"/>
        </w:rPr>
        <w:t>................................................................................................................</w:t>
      </w:r>
      <w:r w:rsidRPr="00567AA5">
        <w:rPr>
          <w:sz w:val="26"/>
          <w:szCs w:val="26"/>
          <w:lang w:val="ro-RO"/>
        </w:rPr>
        <w:t>10</w:t>
      </w:r>
      <w:r>
        <w:rPr>
          <w:sz w:val="26"/>
          <w:szCs w:val="26"/>
          <w:lang w:val="ro-RO"/>
        </w:rPr>
        <w:t>7</w:t>
      </w:r>
    </w:p>
    <w:p w:rsidR="00676E7B" w:rsidRPr="00CA7542" w:rsidRDefault="00676E7B" w:rsidP="00676E7B">
      <w:pPr>
        <w:numPr>
          <w:ilvl w:val="0"/>
          <w:numId w:val="88"/>
        </w:numPr>
        <w:tabs>
          <w:tab w:val="left" w:pos="540"/>
          <w:tab w:val="left" w:leader="dot" w:pos="9356"/>
        </w:tabs>
        <w:spacing w:line="360" w:lineRule="auto"/>
        <w:rPr>
          <w:b/>
          <w:sz w:val="26"/>
          <w:szCs w:val="26"/>
          <w:lang w:val="ro-RO"/>
        </w:rPr>
      </w:pPr>
      <w:r w:rsidRPr="00CA7542">
        <w:rPr>
          <w:b/>
          <w:sz w:val="26"/>
          <w:szCs w:val="26"/>
          <w:lang w:val="ro-RO"/>
        </w:rPr>
        <w:t xml:space="preserve">RESURSELE MATERIALE ŞI DEŞEURILE </w:t>
      </w:r>
      <w:r w:rsidRPr="00CA7542">
        <w:rPr>
          <w:b/>
          <w:sz w:val="26"/>
          <w:szCs w:val="26"/>
          <w:lang w:val="ro-RO"/>
        </w:rPr>
        <w:tab/>
      </w:r>
      <w:r>
        <w:rPr>
          <w:sz w:val="26"/>
          <w:szCs w:val="26"/>
          <w:lang w:val="ro-RO"/>
        </w:rPr>
        <w:t>108</w:t>
      </w:r>
    </w:p>
    <w:p w:rsidR="00676E7B" w:rsidRPr="004D7F1D" w:rsidRDefault="00676E7B" w:rsidP="00676E7B">
      <w:pPr>
        <w:numPr>
          <w:ilvl w:val="1"/>
          <w:numId w:val="88"/>
        </w:numPr>
        <w:tabs>
          <w:tab w:val="left" w:leader="dot" w:pos="9356"/>
        </w:tabs>
        <w:ind w:left="851" w:hanging="482"/>
        <w:rPr>
          <w:b/>
          <w:sz w:val="26"/>
          <w:szCs w:val="26"/>
          <w:lang w:val="ro-RO"/>
        </w:rPr>
      </w:pPr>
      <w:r w:rsidRPr="00CA7542">
        <w:rPr>
          <w:b/>
          <w:szCs w:val="26"/>
          <w:lang w:val="ro-RO"/>
        </w:rPr>
        <w:t>Generarea şi gestionarea deşeurilor: tendinţe</w:t>
      </w:r>
      <w:r>
        <w:rPr>
          <w:b/>
          <w:szCs w:val="26"/>
          <w:lang w:val="ro-RO"/>
        </w:rPr>
        <w:t>, impacturi şi prognoze .....................</w:t>
      </w:r>
      <w:r w:rsidRPr="00CA7542">
        <w:rPr>
          <w:b/>
          <w:szCs w:val="26"/>
          <w:lang w:val="ro-RO"/>
        </w:rPr>
        <w:t xml:space="preserve"> </w:t>
      </w:r>
      <w:r>
        <w:rPr>
          <w:b/>
          <w:szCs w:val="26"/>
          <w:lang w:val="ro-RO"/>
        </w:rPr>
        <w:t xml:space="preserve"> </w:t>
      </w:r>
      <w:r w:rsidRPr="004D7F1D">
        <w:rPr>
          <w:sz w:val="26"/>
          <w:szCs w:val="26"/>
          <w:lang w:val="ro-RO"/>
        </w:rPr>
        <w:t>10</w:t>
      </w:r>
      <w:r>
        <w:rPr>
          <w:sz w:val="26"/>
          <w:szCs w:val="26"/>
          <w:lang w:val="ro-RO"/>
        </w:rPr>
        <w:t>8</w:t>
      </w:r>
    </w:p>
    <w:p w:rsidR="00676E7B" w:rsidRPr="00CA7542" w:rsidRDefault="00676E7B" w:rsidP="00676E7B">
      <w:pPr>
        <w:numPr>
          <w:ilvl w:val="2"/>
          <w:numId w:val="88"/>
        </w:numPr>
        <w:tabs>
          <w:tab w:val="clear" w:pos="0"/>
          <w:tab w:val="left" w:pos="1358"/>
          <w:tab w:val="left" w:leader="dot" w:pos="9356"/>
        </w:tabs>
        <w:ind w:left="993"/>
        <w:rPr>
          <w:i/>
          <w:sz w:val="22"/>
          <w:szCs w:val="26"/>
          <w:lang w:val="ro-RO"/>
        </w:rPr>
      </w:pPr>
      <w:r w:rsidRPr="00CA7542">
        <w:rPr>
          <w:i/>
          <w:sz w:val="22"/>
          <w:szCs w:val="26"/>
          <w:lang w:val="ro-RO"/>
        </w:rPr>
        <w:t>Generarea şi gestionarea deşeurilor municipale</w:t>
      </w:r>
      <w:r>
        <w:rPr>
          <w:i/>
          <w:sz w:val="22"/>
          <w:szCs w:val="26"/>
          <w:lang w:val="ro-RO"/>
        </w:rPr>
        <w:t xml:space="preserve">................................................................... </w:t>
      </w:r>
      <w:r w:rsidRPr="004D7F1D">
        <w:rPr>
          <w:sz w:val="26"/>
          <w:szCs w:val="26"/>
          <w:lang w:val="ro-RO"/>
        </w:rPr>
        <w:t>10</w:t>
      </w:r>
      <w:r>
        <w:rPr>
          <w:sz w:val="26"/>
          <w:szCs w:val="26"/>
          <w:lang w:val="ro-RO"/>
        </w:rPr>
        <w:t>8</w:t>
      </w:r>
    </w:p>
    <w:p w:rsidR="00676E7B" w:rsidRPr="00CA7542" w:rsidRDefault="00676E7B" w:rsidP="00676E7B">
      <w:pPr>
        <w:numPr>
          <w:ilvl w:val="2"/>
          <w:numId w:val="88"/>
        </w:numPr>
        <w:tabs>
          <w:tab w:val="clear" w:pos="0"/>
          <w:tab w:val="left" w:pos="1358"/>
          <w:tab w:val="left" w:leader="dot" w:pos="9356"/>
        </w:tabs>
        <w:ind w:left="993"/>
        <w:rPr>
          <w:i/>
          <w:sz w:val="22"/>
          <w:szCs w:val="26"/>
          <w:lang w:val="ro-RO"/>
        </w:rPr>
      </w:pPr>
      <w:r w:rsidRPr="00CA7542">
        <w:rPr>
          <w:i/>
          <w:sz w:val="22"/>
          <w:szCs w:val="26"/>
          <w:lang w:val="ro-RO"/>
        </w:rPr>
        <w:t>Generarea şi gestionarea deşeurilor industriale</w:t>
      </w:r>
      <w:r w:rsidRPr="00CA7542">
        <w:rPr>
          <w:i/>
          <w:sz w:val="22"/>
          <w:szCs w:val="26"/>
          <w:lang w:val="ro-RO"/>
        </w:rPr>
        <w:tab/>
      </w:r>
      <w:r w:rsidRPr="004D7F1D">
        <w:rPr>
          <w:sz w:val="26"/>
          <w:szCs w:val="26"/>
          <w:lang w:val="ro-RO"/>
        </w:rPr>
        <w:t>11</w:t>
      </w:r>
      <w:r>
        <w:rPr>
          <w:sz w:val="26"/>
          <w:szCs w:val="26"/>
          <w:lang w:val="ro-RO"/>
        </w:rPr>
        <w:t>8</w:t>
      </w:r>
      <w:r w:rsidRPr="00CA7542">
        <w:rPr>
          <w:i/>
          <w:sz w:val="22"/>
          <w:szCs w:val="26"/>
          <w:lang w:val="ro-RO"/>
        </w:rPr>
        <w:t xml:space="preserve"> </w:t>
      </w:r>
    </w:p>
    <w:p w:rsidR="00676E7B" w:rsidRPr="00CA7542" w:rsidRDefault="00676E7B" w:rsidP="00676E7B">
      <w:pPr>
        <w:numPr>
          <w:ilvl w:val="2"/>
          <w:numId w:val="88"/>
        </w:numPr>
        <w:tabs>
          <w:tab w:val="clear" w:pos="0"/>
          <w:tab w:val="left" w:pos="1358"/>
          <w:tab w:val="left" w:leader="dot" w:pos="9356"/>
        </w:tabs>
        <w:ind w:left="993"/>
        <w:rPr>
          <w:i/>
          <w:sz w:val="22"/>
          <w:szCs w:val="26"/>
          <w:lang w:val="ro-RO"/>
        </w:rPr>
      </w:pPr>
      <w:r>
        <w:rPr>
          <w:i/>
          <w:sz w:val="22"/>
          <w:szCs w:val="26"/>
          <w:lang w:val="ro-RO"/>
        </w:rPr>
        <w:lastRenderedPageBreak/>
        <w:t>Fluxuri speciale de deşeuri....................................................................................................</w:t>
      </w:r>
      <w:r w:rsidRPr="00CA7542">
        <w:rPr>
          <w:i/>
          <w:sz w:val="22"/>
          <w:szCs w:val="26"/>
          <w:lang w:val="ro-RO"/>
        </w:rPr>
        <w:t xml:space="preserve"> </w:t>
      </w:r>
      <w:r w:rsidRPr="004D7F1D">
        <w:rPr>
          <w:sz w:val="26"/>
          <w:szCs w:val="26"/>
          <w:lang w:val="ro-RO"/>
        </w:rPr>
        <w:t>1</w:t>
      </w:r>
      <w:r>
        <w:rPr>
          <w:sz w:val="26"/>
          <w:szCs w:val="26"/>
          <w:lang w:val="ro-RO"/>
        </w:rPr>
        <w:t>20</w:t>
      </w:r>
    </w:p>
    <w:p w:rsidR="00676E7B" w:rsidRPr="00CA7542" w:rsidRDefault="00676E7B" w:rsidP="00676E7B">
      <w:pPr>
        <w:numPr>
          <w:ilvl w:val="3"/>
          <w:numId w:val="88"/>
        </w:numPr>
        <w:tabs>
          <w:tab w:val="left" w:leader="dot" w:pos="9356"/>
        </w:tabs>
        <w:ind w:left="1624" w:hanging="844"/>
        <w:rPr>
          <w:sz w:val="20"/>
          <w:szCs w:val="26"/>
          <w:lang w:val="ro-RO"/>
        </w:rPr>
      </w:pPr>
      <w:r w:rsidRPr="00CA7542">
        <w:rPr>
          <w:sz w:val="20"/>
          <w:szCs w:val="26"/>
          <w:lang w:val="ro-RO"/>
        </w:rPr>
        <w:t xml:space="preserve">Deşeuri de echipamente electrice şi electronice (DEEE) </w:t>
      </w:r>
      <w:r w:rsidRPr="00CA7542">
        <w:rPr>
          <w:sz w:val="20"/>
          <w:szCs w:val="26"/>
          <w:lang w:val="ro-RO"/>
        </w:rPr>
        <w:tab/>
      </w:r>
      <w:r w:rsidRPr="004D7F1D">
        <w:rPr>
          <w:sz w:val="26"/>
          <w:szCs w:val="26"/>
          <w:lang w:val="ro-RO"/>
        </w:rPr>
        <w:t>1</w:t>
      </w:r>
      <w:r>
        <w:rPr>
          <w:sz w:val="26"/>
          <w:szCs w:val="26"/>
          <w:lang w:val="ro-RO"/>
        </w:rPr>
        <w:t>20</w:t>
      </w:r>
    </w:p>
    <w:p w:rsidR="00676E7B" w:rsidRPr="00CA7542" w:rsidRDefault="00676E7B" w:rsidP="00676E7B">
      <w:pPr>
        <w:numPr>
          <w:ilvl w:val="3"/>
          <w:numId w:val="88"/>
        </w:numPr>
        <w:tabs>
          <w:tab w:val="left" w:leader="dot" w:pos="9356"/>
        </w:tabs>
        <w:ind w:left="1624" w:hanging="844"/>
        <w:rPr>
          <w:sz w:val="20"/>
          <w:szCs w:val="26"/>
          <w:lang w:val="ro-RO"/>
        </w:rPr>
      </w:pPr>
      <w:r w:rsidRPr="00CA7542">
        <w:rPr>
          <w:sz w:val="20"/>
          <w:szCs w:val="26"/>
          <w:lang w:val="ro-RO"/>
        </w:rPr>
        <w:t xml:space="preserve">Deşeuri de ambalaje </w:t>
      </w:r>
      <w:r w:rsidRPr="00CA7542">
        <w:rPr>
          <w:sz w:val="20"/>
          <w:szCs w:val="26"/>
          <w:lang w:val="ro-RO"/>
        </w:rPr>
        <w:tab/>
      </w:r>
      <w:r w:rsidRPr="004D7F1D">
        <w:rPr>
          <w:sz w:val="26"/>
          <w:szCs w:val="26"/>
          <w:lang w:val="ro-RO"/>
        </w:rPr>
        <w:t>1</w:t>
      </w:r>
      <w:r>
        <w:rPr>
          <w:sz w:val="26"/>
          <w:szCs w:val="26"/>
          <w:lang w:val="ro-RO"/>
        </w:rPr>
        <w:t>23</w:t>
      </w:r>
    </w:p>
    <w:p w:rsidR="00676E7B" w:rsidRPr="00CA7542" w:rsidRDefault="00676E7B" w:rsidP="00676E7B">
      <w:pPr>
        <w:numPr>
          <w:ilvl w:val="3"/>
          <w:numId w:val="88"/>
        </w:numPr>
        <w:tabs>
          <w:tab w:val="left" w:leader="dot" w:pos="9356"/>
        </w:tabs>
        <w:ind w:left="1624" w:hanging="844"/>
        <w:rPr>
          <w:sz w:val="20"/>
          <w:szCs w:val="26"/>
          <w:lang w:val="ro-RO"/>
        </w:rPr>
      </w:pPr>
      <w:r w:rsidRPr="00CA7542">
        <w:rPr>
          <w:sz w:val="20"/>
          <w:szCs w:val="26"/>
          <w:lang w:val="ro-RO"/>
        </w:rPr>
        <w:t xml:space="preserve">Vehicule scoase din uz (VSU) </w:t>
      </w:r>
      <w:r w:rsidRPr="00CA7542">
        <w:rPr>
          <w:sz w:val="20"/>
          <w:szCs w:val="26"/>
          <w:lang w:val="ro-RO"/>
        </w:rPr>
        <w:tab/>
      </w:r>
      <w:r w:rsidRPr="004D7F1D">
        <w:rPr>
          <w:sz w:val="26"/>
          <w:szCs w:val="26"/>
          <w:lang w:val="ro-RO"/>
        </w:rPr>
        <w:t>12</w:t>
      </w:r>
      <w:r>
        <w:rPr>
          <w:sz w:val="26"/>
          <w:szCs w:val="26"/>
          <w:lang w:val="ro-RO"/>
        </w:rPr>
        <w:t>5</w:t>
      </w:r>
    </w:p>
    <w:p w:rsidR="00676E7B" w:rsidRPr="00CA7542" w:rsidRDefault="00676E7B" w:rsidP="00676E7B">
      <w:pPr>
        <w:numPr>
          <w:ilvl w:val="2"/>
          <w:numId w:val="88"/>
        </w:numPr>
        <w:tabs>
          <w:tab w:val="clear" w:pos="0"/>
          <w:tab w:val="left" w:pos="1358"/>
          <w:tab w:val="left" w:leader="dot" w:pos="9356"/>
        </w:tabs>
        <w:ind w:left="993"/>
        <w:rPr>
          <w:i/>
          <w:sz w:val="22"/>
          <w:szCs w:val="26"/>
          <w:lang w:val="ro-RO"/>
        </w:rPr>
      </w:pPr>
      <w:r w:rsidRPr="00CA7542">
        <w:rPr>
          <w:i/>
          <w:sz w:val="22"/>
          <w:szCs w:val="26"/>
          <w:lang w:val="ro-RO"/>
        </w:rPr>
        <w:t>Impacturi şi presiuni privind deşeurile</w:t>
      </w:r>
      <w:r w:rsidRPr="00CA7542">
        <w:rPr>
          <w:i/>
          <w:sz w:val="22"/>
          <w:szCs w:val="26"/>
          <w:lang w:val="ro-RO"/>
        </w:rPr>
        <w:tab/>
      </w:r>
      <w:r w:rsidRPr="004D7F1D">
        <w:rPr>
          <w:sz w:val="26"/>
          <w:szCs w:val="26"/>
          <w:lang w:val="ro-RO"/>
        </w:rPr>
        <w:t>12</w:t>
      </w:r>
      <w:r>
        <w:rPr>
          <w:sz w:val="26"/>
          <w:szCs w:val="26"/>
          <w:lang w:val="ro-RO"/>
        </w:rPr>
        <w:t>7</w:t>
      </w:r>
      <w:r w:rsidRPr="00CA7542">
        <w:rPr>
          <w:i/>
          <w:sz w:val="22"/>
          <w:szCs w:val="26"/>
          <w:lang w:val="ro-RO"/>
        </w:rPr>
        <w:t xml:space="preserve"> </w:t>
      </w:r>
    </w:p>
    <w:p w:rsidR="00676E7B" w:rsidRPr="00CA7542" w:rsidRDefault="00676E7B" w:rsidP="00676E7B">
      <w:pPr>
        <w:numPr>
          <w:ilvl w:val="2"/>
          <w:numId w:val="88"/>
        </w:numPr>
        <w:tabs>
          <w:tab w:val="clear" w:pos="0"/>
          <w:tab w:val="left" w:pos="1358"/>
          <w:tab w:val="left" w:leader="dot" w:pos="9356"/>
        </w:tabs>
        <w:ind w:left="993"/>
        <w:rPr>
          <w:i/>
          <w:sz w:val="22"/>
          <w:szCs w:val="26"/>
          <w:lang w:val="ro-RO"/>
        </w:rPr>
      </w:pPr>
      <w:r w:rsidRPr="00CA7542">
        <w:rPr>
          <w:i/>
          <w:sz w:val="22"/>
          <w:szCs w:val="26"/>
          <w:lang w:val="ro-RO"/>
        </w:rPr>
        <w:t>Tendinţe şi prognoze privind generarea deşeurilor</w:t>
      </w:r>
      <w:r>
        <w:rPr>
          <w:i/>
          <w:sz w:val="22"/>
          <w:szCs w:val="26"/>
          <w:lang w:val="ro-RO"/>
        </w:rPr>
        <w:t>...............................................................</w:t>
      </w:r>
      <w:r w:rsidRPr="004D7F1D">
        <w:rPr>
          <w:sz w:val="26"/>
          <w:szCs w:val="26"/>
          <w:lang w:val="ro-RO"/>
        </w:rPr>
        <w:t xml:space="preserve"> 1</w:t>
      </w:r>
      <w:r>
        <w:rPr>
          <w:sz w:val="26"/>
          <w:szCs w:val="26"/>
          <w:lang w:val="ro-RO"/>
        </w:rPr>
        <w:t>30</w:t>
      </w:r>
    </w:p>
    <w:p w:rsidR="00676E7B" w:rsidRPr="004D7F1D" w:rsidRDefault="00676E7B" w:rsidP="00676E7B">
      <w:pPr>
        <w:tabs>
          <w:tab w:val="left" w:pos="540"/>
          <w:tab w:val="left" w:leader="dot" w:pos="9356"/>
        </w:tabs>
        <w:spacing w:line="360" w:lineRule="auto"/>
        <w:rPr>
          <w:sz w:val="26"/>
          <w:szCs w:val="26"/>
          <w:lang w:val="ro-RO"/>
        </w:rPr>
      </w:pPr>
      <w:r>
        <w:rPr>
          <w:b/>
          <w:sz w:val="26"/>
          <w:szCs w:val="26"/>
          <w:lang w:val="ro-RO"/>
        </w:rPr>
        <w:t xml:space="preserve">IX. </w:t>
      </w:r>
      <w:r w:rsidRPr="00CA7542">
        <w:rPr>
          <w:b/>
          <w:sz w:val="26"/>
          <w:szCs w:val="26"/>
          <w:lang w:val="ro-RO"/>
        </w:rPr>
        <w:t xml:space="preserve">MEDIUL URBAN, SĂNĂTATEA ŞI CALITATEA VIEŢII </w:t>
      </w:r>
      <w:r w:rsidRPr="00CA7542">
        <w:rPr>
          <w:b/>
          <w:sz w:val="26"/>
          <w:szCs w:val="26"/>
          <w:lang w:val="ro-RO"/>
        </w:rPr>
        <w:tab/>
      </w:r>
      <w:r>
        <w:rPr>
          <w:sz w:val="26"/>
          <w:szCs w:val="26"/>
          <w:lang w:val="ro-RO"/>
        </w:rPr>
        <w:t>131</w:t>
      </w:r>
    </w:p>
    <w:p w:rsidR="00676E7B" w:rsidRPr="004D7F1D" w:rsidRDefault="00676E7B" w:rsidP="00676E7B">
      <w:pPr>
        <w:tabs>
          <w:tab w:val="left" w:leader="dot" w:pos="9356"/>
        </w:tabs>
        <w:ind w:left="567"/>
        <w:rPr>
          <w:szCs w:val="26"/>
          <w:lang w:val="ro-RO"/>
        </w:rPr>
      </w:pPr>
      <w:r>
        <w:rPr>
          <w:b/>
          <w:szCs w:val="26"/>
          <w:lang w:val="ro-RO"/>
        </w:rPr>
        <w:t>IX.1</w:t>
      </w:r>
      <w:r w:rsidRPr="00CA7542">
        <w:rPr>
          <w:b/>
          <w:szCs w:val="26"/>
          <w:lang w:val="ro-RO"/>
        </w:rPr>
        <w:t xml:space="preserve">Mediul urban şi calitatea vieţii: stare şi consecinţe   </w:t>
      </w:r>
      <w:r w:rsidRPr="00CA7542">
        <w:rPr>
          <w:b/>
          <w:szCs w:val="26"/>
          <w:lang w:val="ro-RO"/>
        </w:rPr>
        <w:tab/>
      </w:r>
      <w:r w:rsidRPr="004D7F1D">
        <w:rPr>
          <w:sz w:val="26"/>
          <w:szCs w:val="26"/>
          <w:lang w:val="ro-RO"/>
        </w:rPr>
        <w:t>1</w:t>
      </w:r>
      <w:r>
        <w:rPr>
          <w:sz w:val="26"/>
          <w:szCs w:val="26"/>
          <w:lang w:val="ro-RO"/>
        </w:rPr>
        <w:t>31</w:t>
      </w:r>
    </w:p>
    <w:p w:rsidR="00676E7B" w:rsidRPr="004D7F1D" w:rsidRDefault="00676E7B" w:rsidP="00676E7B">
      <w:pPr>
        <w:tabs>
          <w:tab w:val="left" w:pos="1276"/>
          <w:tab w:val="left" w:leader="dot" w:pos="9356"/>
        </w:tabs>
        <w:ind w:left="993"/>
        <w:rPr>
          <w:sz w:val="22"/>
          <w:szCs w:val="22"/>
          <w:lang w:val="ro-RO"/>
        </w:rPr>
      </w:pPr>
      <w:r w:rsidRPr="00F2462C">
        <w:rPr>
          <w:i/>
          <w:sz w:val="22"/>
          <w:szCs w:val="22"/>
          <w:lang w:val="ro-RO"/>
        </w:rPr>
        <w:t>IX.1.1.Calitatea aerului din aglomerările urbane şi efectele asupra sănătăţii</w:t>
      </w:r>
      <w:r>
        <w:rPr>
          <w:i/>
          <w:sz w:val="22"/>
          <w:szCs w:val="22"/>
          <w:lang w:val="ro-RO"/>
        </w:rPr>
        <w:t>.............................</w:t>
      </w:r>
      <w:r w:rsidRPr="004D7F1D">
        <w:rPr>
          <w:sz w:val="26"/>
          <w:szCs w:val="26"/>
          <w:lang w:val="ro-RO"/>
        </w:rPr>
        <w:t>1</w:t>
      </w:r>
      <w:r>
        <w:rPr>
          <w:sz w:val="26"/>
          <w:szCs w:val="26"/>
          <w:lang w:val="ro-RO"/>
        </w:rPr>
        <w:t>31</w:t>
      </w:r>
    </w:p>
    <w:p w:rsidR="00676E7B" w:rsidRPr="00F2462C" w:rsidRDefault="00676E7B" w:rsidP="00676E7B">
      <w:pPr>
        <w:tabs>
          <w:tab w:val="left" w:leader="dot" w:pos="9356"/>
        </w:tabs>
        <w:ind w:left="1135"/>
        <w:rPr>
          <w:sz w:val="22"/>
          <w:szCs w:val="22"/>
          <w:lang w:val="ro-RO"/>
        </w:rPr>
      </w:pPr>
      <w:r w:rsidRPr="00F2462C">
        <w:rPr>
          <w:sz w:val="22"/>
          <w:szCs w:val="22"/>
          <w:lang w:val="ro-RO"/>
        </w:rPr>
        <w:t xml:space="preserve">IX.1.1.1.Depăşiri ale concentraţiei medii anuale de PM10, NO2, SO2 şi O3 </w:t>
      </w:r>
    </w:p>
    <w:p w:rsidR="00676E7B" w:rsidRPr="008169D8" w:rsidRDefault="00676E7B" w:rsidP="00676E7B">
      <w:pPr>
        <w:tabs>
          <w:tab w:val="left" w:leader="dot" w:pos="9356"/>
        </w:tabs>
        <w:ind w:left="1135"/>
        <w:rPr>
          <w:sz w:val="22"/>
          <w:szCs w:val="22"/>
          <w:lang w:val="ro-RO"/>
        </w:rPr>
      </w:pPr>
      <w:r w:rsidRPr="00F2462C">
        <w:rPr>
          <w:sz w:val="22"/>
          <w:szCs w:val="22"/>
          <w:lang w:val="ro-RO"/>
        </w:rPr>
        <w:t>în anumite aglomerări urbane</w:t>
      </w:r>
      <w:r w:rsidRPr="00F2462C">
        <w:rPr>
          <w:i/>
          <w:sz w:val="22"/>
          <w:szCs w:val="22"/>
          <w:lang w:val="ro-RO"/>
        </w:rPr>
        <w:t xml:space="preserve"> </w:t>
      </w:r>
      <w:r w:rsidRPr="00F2462C">
        <w:rPr>
          <w:i/>
          <w:sz w:val="22"/>
          <w:szCs w:val="22"/>
          <w:lang w:val="ro-RO"/>
        </w:rPr>
        <w:tab/>
      </w:r>
      <w:r w:rsidRPr="004D7F1D">
        <w:rPr>
          <w:sz w:val="26"/>
          <w:szCs w:val="26"/>
          <w:lang w:val="ro-RO"/>
        </w:rPr>
        <w:t>1</w:t>
      </w:r>
      <w:r>
        <w:rPr>
          <w:sz w:val="26"/>
          <w:szCs w:val="26"/>
          <w:lang w:val="ro-RO"/>
        </w:rPr>
        <w:t>31</w:t>
      </w:r>
    </w:p>
    <w:p w:rsidR="00676E7B" w:rsidRPr="00B94E00" w:rsidRDefault="00676E7B" w:rsidP="00676E7B">
      <w:pPr>
        <w:tabs>
          <w:tab w:val="left" w:pos="1276"/>
          <w:tab w:val="left" w:leader="dot" w:pos="9356"/>
        </w:tabs>
        <w:ind w:left="993"/>
        <w:rPr>
          <w:sz w:val="22"/>
          <w:szCs w:val="22"/>
          <w:lang w:val="ro-RO"/>
        </w:rPr>
      </w:pPr>
      <w:r w:rsidRPr="00F2462C">
        <w:rPr>
          <w:i/>
          <w:sz w:val="22"/>
          <w:szCs w:val="22"/>
          <w:lang w:val="ro-RO"/>
        </w:rPr>
        <w:t>IX.1.2. Poluarea fonică şi efectele asupr</w:t>
      </w:r>
      <w:r>
        <w:rPr>
          <w:i/>
          <w:sz w:val="22"/>
          <w:szCs w:val="22"/>
          <w:lang w:val="ro-RO"/>
        </w:rPr>
        <w:t>a sănătăţii şi calităţii vieţii..........................................</w:t>
      </w:r>
      <w:r w:rsidRPr="00F2462C">
        <w:rPr>
          <w:i/>
          <w:sz w:val="22"/>
          <w:szCs w:val="22"/>
          <w:lang w:val="ro-RO"/>
        </w:rPr>
        <w:t xml:space="preserve"> </w:t>
      </w:r>
      <w:r>
        <w:rPr>
          <w:i/>
          <w:sz w:val="22"/>
          <w:szCs w:val="22"/>
          <w:lang w:val="ro-RO"/>
        </w:rPr>
        <w:t xml:space="preserve"> </w:t>
      </w:r>
      <w:r w:rsidRPr="004D7F1D">
        <w:rPr>
          <w:sz w:val="26"/>
          <w:szCs w:val="26"/>
          <w:lang w:val="ro-RO"/>
        </w:rPr>
        <w:t>13</w:t>
      </w:r>
      <w:r>
        <w:rPr>
          <w:sz w:val="26"/>
          <w:szCs w:val="26"/>
          <w:lang w:val="ro-RO"/>
        </w:rPr>
        <w:t>5</w:t>
      </w:r>
    </w:p>
    <w:p w:rsidR="00676E7B" w:rsidRPr="00B94E00" w:rsidRDefault="00676E7B" w:rsidP="00676E7B">
      <w:pPr>
        <w:tabs>
          <w:tab w:val="left" w:leader="dot" w:pos="9356"/>
        </w:tabs>
        <w:rPr>
          <w:sz w:val="22"/>
          <w:szCs w:val="22"/>
          <w:lang w:val="ro-RO"/>
        </w:rPr>
      </w:pPr>
      <w:r w:rsidRPr="00F2462C">
        <w:rPr>
          <w:i/>
          <w:sz w:val="22"/>
          <w:szCs w:val="22"/>
          <w:lang w:val="ro-RO"/>
        </w:rPr>
        <w:t xml:space="preserve">                    IX.1.2.1.Expunerea la poluarea sonoră a aglomerărilor urbane cu peste 250.000 locuitori </w:t>
      </w:r>
      <w:r>
        <w:rPr>
          <w:i/>
          <w:sz w:val="22"/>
          <w:szCs w:val="22"/>
          <w:lang w:val="ro-RO"/>
        </w:rPr>
        <w:t xml:space="preserve">..  </w:t>
      </w:r>
      <w:r w:rsidRPr="004D7F1D">
        <w:rPr>
          <w:sz w:val="26"/>
          <w:szCs w:val="26"/>
          <w:lang w:val="ro-RO"/>
        </w:rPr>
        <w:t>13</w:t>
      </w:r>
      <w:r>
        <w:rPr>
          <w:sz w:val="26"/>
          <w:szCs w:val="26"/>
          <w:lang w:val="ro-RO"/>
        </w:rPr>
        <w:t>5</w:t>
      </w:r>
    </w:p>
    <w:p w:rsidR="00676E7B" w:rsidRPr="00B94E00" w:rsidRDefault="00676E7B" w:rsidP="00676E7B">
      <w:pPr>
        <w:tabs>
          <w:tab w:val="left" w:pos="1276"/>
          <w:tab w:val="left" w:leader="dot" w:pos="9356"/>
        </w:tabs>
        <w:ind w:left="170"/>
        <w:rPr>
          <w:sz w:val="22"/>
          <w:szCs w:val="22"/>
          <w:lang w:val="ro-RO"/>
        </w:rPr>
      </w:pPr>
      <w:r w:rsidRPr="00F2462C">
        <w:rPr>
          <w:i/>
          <w:sz w:val="22"/>
          <w:szCs w:val="22"/>
          <w:lang w:val="ro-RO"/>
        </w:rPr>
        <w:t xml:space="preserve">               IX.1.3.Calitatea apei potabi</w:t>
      </w:r>
      <w:r>
        <w:rPr>
          <w:i/>
          <w:sz w:val="22"/>
          <w:szCs w:val="22"/>
          <w:lang w:val="ro-RO"/>
        </w:rPr>
        <w:t>le şi efectele asupra sănătăţii..........................................................</w:t>
      </w:r>
      <w:r w:rsidRPr="00F2462C">
        <w:rPr>
          <w:i/>
          <w:sz w:val="22"/>
          <w:szCs w:val="22"/>
          <w:lang w:val="ro-RO"/>
        </w:rPr>
        <w:t xml:space="preserve"> </w:t>
      </w:r>
      <w:r>
        <w:rPr>
          <w:i/>
          <w:sz w:val="22"/>
          <w:szCs w:val="22"/>
          <w:lang w:val="ro-RO"/>
        </w:rPr>
        <w:t xml:space="preserve"> </w:t>
      </w:r>
      <w:r w:rsidRPr="004D7F1D">
        <w:rPr>
          <w:sz w:val="26"/>
          <w:szCs w:val="26"/>
          <w:lang w:val="ro-RO"/>
        </w:rPr>
        <w:t>1</w:t>
      </w:r>
      <w:r>
        <w:rPr>
          <w:sz w:val="26"/>
          <w:szCs w:val="26"/>
          <w:lang w:val="ro-RO"/>
        </w:rPr>
        <w:t>41</w:t>
      </w:r>
    </w:p>
    <w:p w:rsidR="00676E7B" w:rsidRPr="00A02537" w:rsidRDefault="00676E7B" w:rsidP="00676E7B">
      <w:pPr>
        <w:tabs>
          <w:tab w:val="left" w:pos="1276"/>
          <w:tab w:val="left" w:leader="dot" w:pos="9356"/>
        </w:tabs>
        <w:ind w:left="170"/>
        <w:rPr>
          <w:sz w:val="22"/>
          <w:szCs w:val="22"/>
          <w:lang w:val="ro-RO"/>
        </w:rPr>
      </w:pPr>
      <w:r w:rsidRPr="00F2462C">
        <w:rPr>
          <w:i/>
          <w:sz w:val="22"/>
          <w:szCs w:val="22"/>
          <w:lang w:val="ro-RO"/>
        </w:rPr>
        <w:t xml:space="preserve">              IX.1.4. Spaţiile verzi şi efectele asupra sănătăţii şi calităţii vieţii</w:t>
      </w:r>
      <w:r w:rsidRPr="00F2462C">
        <w:rPr>
          <w:i/>
          <w:sz w:val="22"/>
          <w:szCs w:val="22"/>
          <w:lang w:val="ro-RO"/>
        </w:rPr>
        <w:tab/>
      </w:r>
      <w:r w:rsidRPr="004D7F1D">
        <w:rPr>
          <w:sz w:val="26"/>
          <w:szCs w:val="26"/>
          <w:lang w:val="ro-RO"/>
        </w:rPr>
        <w:t>1</w:t>
      </w:r>
      <w:r>
        <w:rPr>
          <w:sz w:val="26"/>
          <w:szCs w:val="26"/>
          <w:lang w:val="ro-RO"/>
        </w:rPr>
        <w:t>43</w:t>
      </w:r>
    </w:p>
    <w:p w:rsidR="00676E7B" w:rsidRPr="00F2462C" w:rsidRDefault="00676E7B" w:rsidP="00676E7B">
      <w:pPr>
        <w:tabs>
          <w:tab w:val="left" w:leader="dot" w:pos="9356"/>
        </w:tabs>
        <w:rPr>
          <w:sz w:val="22"/>
          <w:szCs w:val="22"/>
          <w:lang w:val="fr-BE"/>
        </w:rPr>
      </w:pPr>
      <w:r w:rsidRPr="00F2462C">
        <w:rPr>
          <w:sz w:val="22"/>
          <w:szCs w:val="22"/>
          <w:lang w:val="ro-RO"/>
        </w:rPr>
        <w:t xml:space="preserve">                     </w:t>
      </w:r>
      <w:r w:rsidRPr="00F2462C">
        <w:rPr>
          <w:sz w:val="22"/>
          <w:szCs w:val="22"/>
          <w:lang w:val="fr-BE"/>
        </w:rPr>
        <w:t xml:space="preserve">IX.1.4.1.Suprafaţa ocupată de spaţiile verzi în aglomerările urbane </w:t>
      </w:r>
      <w:r>
        <w:rPr>
          <w:sz w:val="22"/>
          <w:szCs w:val="22"/>
          <w:lang w:val="fr-BE"/>
        </w:rPr>
        <w:t>…………………………</w:t>
      </w:r>
      <w:r w:rsidRPr="004D7F1D">
        <w:rPr>
          <w:sz w:val="26"/>
          <w:szCs w:val="26"/>
          <w:lang w:val="fr-BE"/>
        </w:rPr>
        <w:t xml:space="preserve"> 1</w:t>
      </w:r>
      <w:r>
        <w:rPr>
          <w:sz w:val="26"/>
          <w:szCs w:val="26"/>
          <w:lang w:val="fr-BE"/>
        </w:rPr>
        <w:t>43</w:t>
      </w:r>
    </w:p>
    <w:p w:rsidR="00676E7B" w:rsidRPr="00A02537" w:rsidRDefault="00676E7B" w:rsidP="00676E7B">
      <w:pPr>
        <w:tabs>
          <w:tab w:val="left" w:pos="1276"/>
          <w:tab w:val="left" w:leader="dot" w:pos="9356"/>
        </w:tabs>
        <w:ind w:left="170"/>
        <w:rPr>
          <w:sz w:val="22"/>
          <w:szCs w:val="22"/>
          <w:lang w:val="ro-RO"/>
        </w:rPr>
      </w:pPr>
      <w:r w:rsidRPr="00F2462C">
        <w:rPr>
          <w:i/>
          <w:sz w:val="22"/>
          <w:szCs w:val="22"/>
          <w:lang w:val="fr-BE"/>
        </w:rPr>
        <w:t xml:space="preserve">            </w:t>
      </w:r>
      <w:r>
        <w:rPr>
          <w:i/>
          <w:sz w:val="22"/>
          <w:szCs w:val="22"/>
          <w:lang w:val="ro-RO"/>
        </w:rPr>
        <w:t xml:space="preserve"> </w:t>
      </w:r>
      <w:r w:rsidRPr="00F2462C">
        <w:rPr>
          <w:i/>
          <w:sz w:val="22"/>
          <w:szCs w:val="22"/>
          <w:lang w:val="ro-RO"/>
        </w:rPr>
        <w:t>IX.1.5.Schimbările climatice şi efectele asupra mediului urban, sănătăţii şi calităţii vieţii</w:t>
      </w:r>
      <w:r w:rsidRPr="00F2462C">
        <w:rPr>
          <w:i/>
          <w:sz w:val="22"/>
          <w:szCs w:val="22"/>
          <w:lang w:val="ro-RO"/>
        </w:rPr>
        <w:tab/>
      </w:r>
      <w:r w:rsidRPr="004D7F1D">
        <w:rPr>
          <w:sz w:val="26"/>
          <w:szCs w:val="26"/>
          <w:lang w:val="ro-RO"/>
        </w:rPr>
        <w:t>1</w:t>
      </w:r>
      <w:r>
        <w:rPr>
          <w:sz w:val="26"/>
          <w:szCs w:val="26"/>
          <w:lang w:val="ro-RO"/>
        </w:rPr>
        <w:t>50</w:t>
      </w:r>
      <w:r w:rsidRPr="00F2462C">
        <w:rPr>
          <w:i/>
          <w:sz w:val="22"/>
          <w:szCs w:val="22"/>
          <w:lang w:val="ro-RO"/>
        </w:rPr>
        <w:t xml:space="preserve"> </w:t>
      </w:r>
    </w:p>
    <w:p w:rsidR="00676E7B" w:rsidRPr="00F2462C" w:rsidRDefault="00676E7B" w:rsidP="00676E7B">
      <w:pPr>
        <w:tabs>
          <w:tab w:val="left" w:leader="dot" w:pos="9356"/>
        </w:tabs>
        <w:ind w:left="1135"/>
        <w:rPr>
          <w:sz w:val="22"/>
          <w:szCs w:val="22"/>
          <w:lang w:val="ro-RO"/>
        </w:rPr>
      </w:pPr>
      <w:r w:rsidRPr="00F2462C">
        <w:rPr>
          <w:sz w:val="22"/>
          <w:szCs w:val="22"/>
          <w:lang w:val="ro-RO"/>
        </w:rPr>
        <w:t xml:space="preserve">IX.1.5.1.Rata de mortalitate în aglomerările urbane ca urmare a </w:t>
      </w:r>
    </w:p>
    <w:p w:rsidR="00676E7B" w:rsidRPr="00F2462C" w:rsidRDefault="00676E7B" w:rsidP="00676E7B">
      <w:pPr>
        <w:tabs>
          <w:tab w:val="left" w:leader="dot" w:pos="9356"/>
        </w:tabs>
        <w:ind w:left="1418"/>
        <w:rPr>
          <w:sz w:val="22"/>
          <w:szCs w:val="22"/>
          <w:lang w:val="ro-RO"/>
        </w:rPr>
      </w:pPr>
      <w:r w:rsidRPr="00F2462C">
        <w:rPr>
          <w:sz w:val="22"/>
          <w:szCs w:val="22"/>
          <w:lang w:val="ro-RO"/>
        </w:rPr>
        <w:t xml:space="preserve">            temperaturilor extreme în perioada de vară</w:t>
      </w:r>
      <w:r>
        <w:rPr>
          <w:sz w:val="22"/>
          <w:szCs w:val="22"/>
          <w:lang w:val="ro-RO"/>
        </w:rPr>
        <w:t xml:space="preserve"> </w:t>
      </w:r>
      <w:r>
        <w:rPr>
          <w:sz w:val="22"/>
          <w:szCs w:val="22"/>
          <w:lang w:val="ro-RO"/>
        </w:rPr>
        <w:tab/>
      </w:r>
      <w:r w:rsidRPr="004D7F1D">
        <w:rPr>
          <w:sz w:val="26"/>
          <w:szCs w:val="26"/>
          <w:lang w:val="ro-RO"/>
        </w:rPr>
        <w:t>1</w:t>
      </w:r>
      <w:r>
        <w:rPr>
          <w:sz w:val="26"/>
          <w:szCs w:val="26"/>
          <w:lang w:val="ro-RO"/>
        </w:rPr>
        <w:t>51</w:t>
      </w:r>
    </w:p>
    <w:p w:rsidR="00676E7B" w:rsidRPr="00F2462C" w:rsidRDefault="00676E7B" w:rsidP="00676E7B">
      <w:pPr>
        <w:tabs>
          <w:tab w:val="left" w:leader="dot" w:pos="9356"/>
        </w:tabs>
        <w:ind w:left="1135"/>
        <w:rPr>
          <w:sz w:val="22"/>
          <w:szCs w:val="22"/>
          <w:lang w:val="ro-RO"/>
        </w:rPr>
      </w:pPr>
      <w:r w:rsidRPr="00F2462C">
        <w:rPr>
          <w:sz w:val="22"/>
          <w:szCs w:val="22"/>
          <w:lang w:val="ro-RO"/>
        </w:rPr>
        <w:t xml:space="preserve">IX.1.5.2.Expunerea populaţiei din aglomerările urbane la riscul de inundaţii </w:t>
      </w:r>
      <w:r w:rsidRPr="00F2462C">
        <w:rPr>
          <w:sz w:val="22"/>
          <w:szCs w:val="22"/>
          <w:lang w:val="ro-RO"/>
        </w:rPr>
        <w:tab/>
      </w:r>
      <w:r w:rsidRPr="004D7F1D">
        <w:rPr>
          <w:sz w:val="26"/>
          <w:szCs w:val="26"/>
          <w:lang w:val="ro-RO"/>
        </w:rPr>
        <w:t>1</w:t>
      </w:r>
      <w:r>
        <w:rPr>
          <w:sz w:val="26"/>
          <w:szCs w:val="26"/>
          <w:lang w:val="ro-RO"/>
        </w:rPr>
        <w:t>51</w:t>
      </w:r>
      <w:r w:rsidRPr="00F2462C">
        <w:rPr>
          <w:sz w:val="22"/>
          <w:szCs w:val="22"/>
          <w:lang w:val="ro-RO"/>
        </w:rPr>
        <w:t xml:space="preserve"> </w:t>
      </w:r>
    </w:p>
    <w:p w:rsidR="00676E7B" w:rsidRPr="004D7F1D" w:rsidRDefault="00676E7B" w:rsidP="00676E7B">
      <w:pPr>
        <w:tabs>
          <w:tab w:val="left" w:pos="540"/>
          <w:tab w:val="left" w:leader="dot" w:pos="9356"/>
        </w:tabs>
        <w:spacing w:line="360" w:lineRule="auto"/>
        <w:rPr>
          <w:color w:val="000000" w:themeColor="text1"/>
          <w:sz w:val="26"/>
          <w:szCs w:val="26"/>
          <w:lang w:val="ro-RO"/>
        </w:rPr>
      </w:pPr>
      <w:r w:rsidRPr="00F2462C">
        <w:rPr>
          <w:b/>
          <w:color w:val="000000" w:themeColor="text1"/>
          <w:sz w:val="26"/>
          <w:szCs w:val="26"/>
          <w:lang w:val="ro-RO"/>
        </w:rPr>
        <w:t>X.</w:t>
      </w:r>
      <w:r>
        <w:rPr>
          <w:b/>
          <w:color w:val="000000" w:themeColor="text1"/>
          <w:sz w:val="26"/>
          <w:szCs w:val="26"/>
          <w:lang w:val="ro-RO"/>
        </w:rPr>
        <w:t>RADIOACTIVITATEA MEDIULUI .........................................................................</w:t>
      </w:r>
      <w:r w:rsidRPr="00F2462C">
        <w:rPr>
          <w:b/>
          <w:color w:val="000000" w:themeColor="text1"/>
          <w:sz w:val="26"/>
          <w:szCs w:val="26"/>
          <w:lang w:val="ro-RO"/>
        </w:rPr>
        <w:t xml:space="preserve"> </w:t>
      </w:r>
      <w:r>
        <w:rPr>
          <w:b/>
          <w:color w:val="000000" w:themeColor="text1"/>
          <w:sz w:val="26"/>
          <w:szCs w:val="26"/>
          <w:lang w:val="ro-RO"/>
        </w:rPr>
        <w:t xml:space="preserve">  </w:t>
      </w:r>
      <w:r>
        <w:rPr>
          <w:color w:val="000000" w:themeColor="text1"/>
          <w:sz w:val="26"/>
          <w:szCs w:val="26"/>
          <w:lang w:val="ro-RO"/>
        </w:rPr>
        <w:t>152</w:t>
      </w:r>
    </w:p>
    <w:p w:rsidR="00676E7B" w:rsidRPr="00A02537" w:rsidRDefault="00676E7B" w:rsidP="00676E7B">
      <w:pPr>
        <w:tabs>
          <w:tab w:val="left" w:leader="dot" w:pos="9356"/>
        </w:tabs>
        <w:ind w:left="567"/>
        <w:rPr>
          <w:color w:val="000000" w:themeColor="text1"/>
          <w:szCs w:val="26"/>
          <w:lang w:val="ro-RO"/>
        </w:rPr>
      </w:pPr>
      <w:r>
        <w:rPr>
          <w:b/>
          <w:color w:val="000000" w:themeColor="text1"/>
          <w:szCs w:val="26"/>
          <w:lang w:val="ro-RO"/>
        </w:rPr>
        <w:t>X.1.</w:t>
      </w:r>
      <w:r w:rsidRPr="009C010E">
        <w:rPr>
          <w:b/>
          <w:color w:val="000000" w:themeColor="text1"/>
          <w:szCs w:val="26"/>
          <w:lang w:val="ro-RO"/>
        </w:rPr>
        <w:t xml:space="preserve">Monitorizarea radioactivităţii factorilor de mediu </w:t>
      </w:r>
      <w:r w:rsidRPr="009C010E">
        <w:rPr>
          <w:b/>
          <w:color w:val="000000" w:themeColor="text1"/>
          <w:szCs w:val="26"/>
          <w:lang w:val="ro-RO"/>
        </w:rPr>
        <w:tab/>
      </w:r>
      <w:r w:rsidRPr="006841BB">
        <w:rPr>
          <w:color w:val="000000" w:themeColor="text1"/>
          <w:sz w:val="26"/>
          <w:szCs w:val="26"/>
          <w:lang w:val="ro-RO"/>
        </w:rPr>
        <w:t>1</w:t>
      </w:r>
      <w:r>
        <w:rPr>
          <w:color w:val="000000" w:themeColor="text1"/>
          <w:sz w:val="26"/>
          <w:szCs w:val="26"/>
          <w:lang w:val="ro-RO"/>
        </w:rPr>
        <w:t>52</w:t>
      </w:r>
    </w:p>
    <w:p w:rsidR="00676E7B" w:rsidRPr="00A02537" w:rsidRDefault="00676E7B" w:rsidP="00676E7B">
      <w:pPr>
        <w:tabs>
          <w:tab w:val="left" w:pos="1276"/>
          <w:tab w:val="left" w:leader="dot" w:pos="9356"/>
        </w:tabs>
        <w:ind w:left="993"/>
        <w:rPr>
          <w:color w:val="000000" w:themeColor="text1"/>
          <w:sz w:val="22"/>
          <w:szCs w:val="26"/>
          <w:lang w:val="ro-RO"/>
        </w:rPr>
      </w:pPr>
      <w:r>
        <w:rPr>
          <w:i/>
          <w:color w:val="000000" w:themeColor="text1"/>
          <w:sz w:val="22"/>
          <w:szCs w:val="26"/>
          <w:lang w:val="ro-RO"/>
        </w:rPr>
        <w:t>X.1.1.</w:t>
      </w:r>
      <w:r w:rsidRPr="009C010E">
        <w:rPr>
          <w:i/>
          <w:color w:val="000000" w:themeColor="text1"/>
          <w:sz w:val="22"/>
          <w:szCs w:val="26"/>
          <w:lang w:val="ro-RO"/>
        </w:rPr>
        <w:t xml:space="preserve">Radioactivitatea aerului  </w:t>
      </w:r>
      <w:r w:rsidRPr="009C010E">
        <w:rPr>
          <w:i/>
          <w:color w:val="000000" w:themeColor="text1"/>
          <w:sz w:val="22"/>
          <w:szCs w:val="26"/>
          <w:lang w:val="ro-RO"/>
        </w:rPr>
        <w:tab/>
      </w:r>
      <w:r w:rsidRPr="006841BB">
        <w:rPr>
          <w:color w:val="000000" w:themeColor="text1"/>
          <w:sz w:val="26"/>
          <w:szCs w:val="26"/>
          <w:lang w:val="ro-RO"/>
        </w:rPr>
        <w:t>1</w:t>
      </w:r>
      <w:r>
        <w:rPr>
          <w:color w:val="000000" w:themeColor="text1"/>
          <w:sz w:val="26"/>
          <w:szCs w:val="26"/>
          <w:lang w:val="ro-RO"/>
        </w:rPr>
        <w:t>52</w:t>
      </w:r>
    </w:p>
    <w:p w:rsidR="00676E7B" w:rsidRPr="00A02537" w:rsidRDefault="00676E7B" w:rsidP="00676E7B">
      <w:pPr>
        <w:tabs>
          <w:tab w:val="left" w:pos="540"/>
          <w:tab w:val="left" w:leader="dot" w:pos="9356"/>
        </w:tabs>
        <w:spacing w:line="360" w:lineRule="auto"/>
        <w:rPr>
          <w:sz w:val="26"/>
          <w:szCs w:val="26"/>
          <w:lang w:val="ro-RO"/>
        </w:rPr>
      </w:pPr>
      <w:r w:rsidRPr="0064579B">
        <w:rPr>
          <w:b/>
          <w:sz w:val="26"/>
          <w:szCs w:val="26"/>
          <w:lang w:val="ro-RO"/>
        </w:rPr>
        <w:t xml:space="preserve">XI.CONSUMUL ŞI MEDIUL ÎNCONJURĂTOR </w:t>
      </w:r>
      <w:r w:rsidRPr="0064579B">
        <w:rPr>
          <w:b/>
          <w:sz w:val="26"/>
          <w:szCs w:val="26"/>
          <w:lang w:val="ro-RO"/>
        </w:rPr>
        <w:tab/>
      </w:r>
      <w:r>
        <w:rPr>
          <w:sz w:val="26"/>
          <w:szCs w:val="26"/>
          <w:lang w:val="ro-RO"/>
        </w:rPr>
        <w:t>153</w:t>
      </w:r>
    </w:p>
    <w:p w:rsidR="00676E7B" w:rsidRPr="00A02537" w:rsidRDefault="00676E7B" w:rsidP="00676E7B">
      <w:pPr>
        <w:tabs>
          <w:tab w:val="left" w:leader="dot" w:pos="9356"/>
        </w:tabs>
        <w:ind w:left="567"/>
        <w:rPr>
          <w:szCs w:val="26"/>
          <w:lang w:val="ro-RO"/>
        </w:rPr>
      </w:pPr>
      <w:r>
        <w:rPr>
          <w:b/>
          <w:szCs w:val="26"/>
          <w:lang w:val="ro-RO"/>
        </w:rPr>
        <w:t>XI.1.</w:t>
      </w:r>
      <w:r w:rsidRPr="00CA7542">
        <w:rPr>
          <w:b/>
          <w:szCs w:val="26"/>
          <w:lang w:val="ro-RO"/>
        </w:rPr>
        <w:t xml:space="preserve">Tendinţe în consum   </w:t>
      </w:r>
      <w:r w:rsidRPr="00CA7542">
        <w:rPr>
          <w:b/>
          <w:szCs w:val="26"/>
          <w:lang w:val="ro-RO"/>
        </w:rPr>
        <w:tab/>
      </w:r>
      <w:r w:rsidRPr="003751EB">
        <w:rPr>
          <w:sz w:val="26"/>
          <w:szCs w:val="26"/>
          <w:lang w:val="ro-RO"/>
        </w:rPr>
        <w:t>1</w:t>
      </w:r>
      <w:r>
        <w:rPr>
          <w:sz w:val="26"/>
          <w:szCs w:val="26"/>
          <w:lang w:val="ro-RO"/>
        </w:rPr>
        <w:t>53</w:t>
      </w:r>
      <w:r w:rsidRPr="003751EB">
        <w:rPr>
          <w:b/>
          <w:sz w:val="26"/>
          <w:szCs w:val="26"/>
          <w:lang w:val="ro-RO"/>
        </w:rPr>
        <w:t xml:space="preserve"> </w:t>
      </w:r>
    </w:p>
    <w:p w:rsidR="00676E7B" w:rsidRPr="00A02537" w:rsidRDefault="00676E7B" w:rsidP="00676E7B">
      <w:pPr>
        <w:tabs>
          <w:tab w:val="left" w:pos="1276"/>
          <w:tab w:val="left" w:leader="dot" w:pos="9356"/>
        </w:tabs>
        <w:ind w:left="170"/>
        <w:rPr>
          <w:sz w:val="22"/>
          <w:szCs w:val="26"/>
          <w:lang w:val="ro-RO"/>
        </w:rPr>
      </w:pPr>
      <w:r>
        <w:rPr>
          <w:i/>
          <w:sz w:val="22"/>
          <w:szCs w:val="26"/>
          <w:lang w:val="ro-RO"/>
        </w:rPr>
        <w:t xml:space="preserve">           XI.1.1.</w:t>
      </w:r>
      <w:r w:rsidRPr="00CA7542">
        <w:rPr>
          <w:i/>
          <w:sz w:val="22"/>
          <w:szCs w:val="26"/>
          <w:lang w:val="ro-RO"/>
        </w:rPr>
        <w:t xml:space="preserve">Alimente şi băuturi </w:t>
      </w:r>
      <w:r w:rsidRPr="00CA7542">
        <w:rPr>
          <w:i/>
          <w:sz w:val="22"/>
          <w:szCs w:val="26"/>
          <w:lang w:val="ro-RO"/>
        </w:rPr>
        <w:tab/>
      </w:r>
      <w:r w:rsidRPr="00E51869">
        <w:rPr>
          <w:sz w:val="26"/>
          <w:szCs w:val="26"/>
          <w:lang w:val="ro-RO"/>
        </w:rPr>
        <w:t>1</w:t>
      </w:r>
      <w:r>
        <w:rPr>
          <w:sz w:val="26"/>
          <w:szCs w:val="26"/>
          <w:lang w:val="ro-RO"/>
        </w:rPr>
        <w:t>53</w:t>
      </w:r>
    </w:p>
    <w:p w:rsidR="00676E7B" w:rsidRPr="008169D8" w:rsidRDefault="00676E7B" w:rsidP="00676E7B">
      <w:pPr>
        <w:tabs>
          <w:tab w:val="left" w:pos="1276"/>
          <w:tab w:val="left" w:leader="dot" w:pos="9356"/>
        </w:tabs>
        <w:ind w:left="170"/>
        <w:rPr>
          <w:sz w:val="22"/>
          <w:szCs w:val="26"/>
          <w:lang w:val="ro-RO"/>
        </w:rPr>
      </w:pPr>
      <w:r>
        <w:rPr>
          <w:i/>
          <w:sz w:val="22"/>
          <w:szCs w:val="26"/>
          <w:lang w:val="ro-RO"/>
        </w:rPr>
        <w:t xml:space="preserve">          XI.1.2.</w:t>
      </w:r>
      <w:r w:rsidRPr="00CA7542">
        <w:rPr>
          <w:i/>
          <w:sz w:val="22"/>
          <w:szCs w:val="26"/>
          <w:lang w:val="ro-RO"/>
        </w:rPr>
        <w:t xml:space="preserve">Locuinţe </w:t>
      </w:r>
      <w:r w:rsidRPr="00CA7542">
        <w:rPr>
          <w:i/>
          <w:sz w:val="22"/>
          <w:szCs w:val="26"/>
          <w:lang w:val="ro-RO"/>
        </w:rPr>
        <w:tab/>
      </w:r>
      <w:r w:rsidRPr="00E51869">
        <w:rPr>
          <w:sz w:val="26"/>
          <w:szCs w:val="26"/>
          <w:lang w:val="ro-RO"/>
        </w:rPr>
        <w:t>15</w:t>
      </w:r>
      <w:r>
        <w:rPr>
          <w:sz w:val="26"/>
          <w:szCs w:val="26"/>
          <w:lang w:val="ro-RO"/>
        </w:rPr>
        <w:t>4</w:t>
      </w:r>
    </w:p>
    <w:p w:rsidR="00676E7B" w:rsidRPr="00A02537" w:rsidRDefault="00676E7B" w:rsidP="00676E7B">
      <w:pPr>
        <w:tabs>
          <w:tab w:val="left" w:pos="1276"/>
          <w:tab w:val="left" w:leader="dot" w:pos="9356"/>
        </w:tabs>
        <w:ind w:left="170"/>
        <w:rPr>
          <w:sz w:val="22"/>
          <w:szCs w:val="26"/>
          <w:lang w:val="ro-RO"/>
        </w:rPr>
      </w:pPr>
      <w:r>
        <w:rPr>
          <w:i/>
          <w:sz w:val="22"/>
          <w:szCs w:val="26"/>
          <w:lang w:val="ro-RO"/>
        </w:rPr>
        <w:t xml:space="preserve">         XI.1.3.</w:t>
      </w:r>
      <w:r w:rsidRPr="00CA7542">
        <w:rPr>
          <w:i/>
          <w:sz w:val="22"/>
          <w:szCs w:val="26"/>
          <w:lang w:val="ro-RO"/>
        </w:rPr>
        <w:t xml:space="preserve">Mobilitate </w:t>
      </w:r>
      <w:r w:rsidRPr="00CA7542">
        <w:rPr>
          <w:i/>
          <w:sz w:val="22"/>
          <w:szCs w:val="26"/>
          <w:lang w:val="ro-RO"/>
        </w:rPr>
        <w:tab/>
      </w:r>
      <w:r>
        <w:rPr>
          <w:sz w:val="26"/>
          <w:szCs w:val="26"/>
          <w:lang w:val="ro-RO"/>
        </w:rPr>
        <w:t>155</w:t>
      </w:r>
      <w:r w:rsidRPr="00E51869">
        <w:rPr>
          <w:sz w:val="26"/>
          <w:szCs w:val="26"/>
          <w:lang w:val="ro-RO"/>
        </w:rPr>
        <w:t xml:space="preserve"> </w:t>
      </w:r>
    </w:p>
    <w:p w:rsidR="00676E7B" w:rsidRPr="00CA7542" w:rsidRDefault="00676E7B" w:rsidP="00676E7B">
      <w:pPr>
        <w:tabs>
          <w:tab w:val="left" w:leader="dot" w:pos="9356"/>
        </w:tabs>
        <w:ind w:left="1135"/>
        <w:rPr>
          <w:sz w:val="20"/>
          <w:szCs w:val="26"/>
          <w:lang w:val="ro-RO"/>
        </w:rPr>
      </w:pPr>
      <w:r>
        <w:rPr>
          <w:sz w:val="20"/>
          <w:szCs w:val="26"/>
          <w:lang w:val="ro-RO"/>
        </w:rPr>
        <w:t>XI.1.3.1.</w:t>
      </w:r>
      <w:r w:rsidRPr="00CA7542">
        <w:rPr>
          <w:sz w:val="20"/>
          <w:szCs w:val="26"/>
          <w:lang w:val="ro-RO"/>
        </w:rPr>
        <w:t xml:space="preserve">Transportul de pasageri </w:t>
      </w:r>
      <w:r w:rsidRPr="00CA7542">
        <w:rPr>
          <w:sz w:val="20"/>
          <w:szCs w:val="26"/>
          <w:lang w:val="ro-RO"/>
        </w:rPr>
        <w:tab/>
      </w:r>
      <w:r w:rsidRPr="00E51869">
        <w:rPr>
          <w:sz w:val="26"/>
          <w:szCs w:val="26"/>
          <w:lang w:val="ro-RO"/>
        </w:rPr>
        <w:t>15</w:t>
      </w:r>
      <w:r>
        <w:rPr>
          <w:sz w:val="26"/>
          <w:szCs w:val="26"/>
          <w:lang w:val="ro-RO"/>
        </w:rPr>
        <w:t>5</w:t>
      </w:r>
    </w:p>
    <w:p w:rsidR="00676E7B" w:rsidRPr="00CA7542" w:rsidRDefault="00676E7B" w:rsidP="00676E7B">
      <w:pPr>
        <w:tabs>
          <w:tab w:val="left" w:leader="dot" w:pos="9356"/>
        </w:tabs>
        <w:ind w:left="1135"/>
        <w:rPr>
          <w:sz w:val="20"/>
          <w:szCs w:val="26"/>
          <w:lang w:val="ro-RO"/>
        </w:rPr>
      </w:pPr>
      <w:r>
        <w:rPr>
          <w:sz w:val="20"/>
          <w:szCs w:val="26"/>
          <w:lang w:val="ro-RO"/>
        </w:rPr>
        <w:t>XI.1.3.2.Transportul de mărfuri ................................................................................................................</w:t>
      </w:r>
      <w:r w:rsidRPr="00CA7542">
        <w:rPr>
          <w:sz w:val="20"/>
          <w:szCs w:val="26"/>
          <w:lang w:val="ro-RO"/>
        </w:rPr>
        <w:t xml:space="preserve"> </w:t>
      </w:r>
      <w:r w:rsidRPr="00E51869">
        <w:rPr>
          <w:sz w:val="26"/>
          <w:szCs w:val="26"/>
          <w:lang w:val="ro-RO"/>
        </w:rPr>
        <w:t>15</w:t>
      </w:r>
      <w:r>
        <w:rPr>
          <w:sz w:val="26"/>
          <w:szCs w:val="26"/>
          <w:lang w:val="ro-RO"/>
        </w:rPr>
        <w:t>7</w:t>
      </w:r>
    </w:p>
    <w:p w:rsidR="00676E7B" w:rsidRPr="00E51869" w:rsidRDefault="00676E7B" w:rsidP="00676E7B">
      <w:pPr>
        <w:tabs>
          <w:tab w:val="left" w:leader="dot" w:pos="9356"/>
        </w:tabs>
        <w:ind w:left="567"/>
        <w:rPr>
          <w:sz w:val="26"/>
          <w:szCs w:val="26"/>
          <w:lang w:val="ro-RO"/>
        </w:rPr>
      </w:pPr>
      <w:r>
        <w:rPr>
          <w:b/>
          <w:szCs w:val="26"/>
          <w:lang w:val="ro-RO"/>
        </w:rPr>
        <w:t>XI.2.</w:t>
      </w:r>
      <w:r w:rsidRPr="00CA7542">
        <w:rPr>
          <w:b/>
          <w:szCs w:val="26"/>
          <w:lang w:val="ro-RO"/>
        </w:rPr>
        <w:t xml:space="preserve">Factori care influenţează consumul </w:t>
      </w:r>
      <w:r>
        <w:rPr>
          <w:b/>
          <w:szCs w:val="26"/>
          <w:lang w:val="ro-RO"/>
        </w:rPr>
        <w:t>............................................................................</w:t>
      </w:r>
      <w:r w:rsidRPr="00E51869">
        <w:rPr>
          <w:sz w:val="26"/>
          <w:szCs w:val="26"/>
          <w:lang w:val="ro-RO"/>
        </w:rPr>
        <w:t xml:space="preserve"> </w:t>
      </w:r>
      <w:r>
        <w:rPr>
          <w:sz w:val="26"/>
          <w:szCs w:val="26"/>
          <w:lang w:val="ro-RO"/>
        </w:rPr>
        <w:t>157</w:t>
      </w:r>
    </w:p>
    <w:p w:rsidR="00676E7B" w:rsidRPr="008169D8" w:rsidRDefault="00676E7B" w:rsidP="00676E7B">
      <w:pPr>
        <w:tabs>
          <w:tab w:val="left" w:leader="dot" w:pos="9356"/>
        </w:tabs>
        <w:ind w:left="567"/>
        <w:rPr>
          <w:szCs w:val="26"/>
          <w:lang w:val="ro-RO"/>
        </w:rPr>
      </w:pPr>
      <w:r>
        <w:rPr>
          <w:b/>
          <w:szCs w:val="26"/>
          <w:lang w:val="ro-RO"/>
        </w:rPr>
        <w:t>XI.3.</w:t>
      </w:r>
      <w:r w:rsidRPr="00CA7542">
        <w:rPr>
          <w:b/>
          <w:szCs w:val="26"/>
          <w:lang w:val="ro-RO"/>
        </w:rPr>
        <w:t xml:space="preserve">Presiunile asupra mediului cauzate de consum </w:t>
      </w:r>
      <w:r w:rsidRPr="00CA7542">
        <w:rPr>
          <w:b/>
          <w:szCs w:val="26"/>
          <w:lang w:val="ro-RO"/>
        </w:rPr>
        <w:tab/>
      </w:r>
      <w:r w:rsidRPr="00E51869">
        <w:rPr>
          <w:sz w:val="26"/>
          <w:szCs w:val="26"/>
          <w:lang w:val="ro-RO"/>
        </w:rPr>
        <w:t>1</w:t>
      </w:r>
      <w:r>
        <w:rPr>
          <w:sz w:val="26"/>
          <w:szCs w:val="26"/>
          <w:lang w:val="ro-RO"/>
        </w:rPr>
        <w:t>59</w:t>
      </w:r>
    </w:p>
    <w:p w:rsidR="00676E7B" w:rsidRPr="008169D8" w:rsidRDefault="00676E7B" w:rsidP="00676E7B">
      <w:pPr>
        <w:tabs>
          <w:tab w:val="left" w:pos="1276"/>
          <w:tab w:val="left" w:leader="dot" w:pos="9356"/>
        </w:tabs>
        <w:ind w:left="170"/>
        <w:rPr>
          <w:sz w:val="22"/>
          <w:szCs w:val="26"/>
          <w:lang w:val="ro-RO"/>
        </w:rPr>
      </w:pPr>
      <w:r>
        <w:rPr>
          <w:i/>
          <w:sz w:val="22"/>
          <w:szCs w:val="26"/>
          <w:lang w:val="ro-RO"/>
        </w:rPr>
        <w:t xml:space="preserve">         XI.3.1.</w:t>
      </w:r>
      <w:r w:rsidRPr="00CA7542">
        <w:rPr>
          <w:i/>
          <w:sz w:val="22"/>
          <w:szCs w:val="26"/>
          <w:lang w:val="ro-RO"/>
        </w:rPr>
        <w:t xml:space="preserve">Emisii de gaze cu efect de seră din sectorul rezidenţial </w:t>
      </w:r>
      <w:r w:rsidRPr="00CA7542">
        <w:rPr>
          <w:i/>
          <w:sz w:val="22"/>
          <w:szCs w:val="26"/>
          <w:lang w:val="ro-RO"/>
        </w:rPr>
        <w:tab/>
      </w:r>
      <w:r w:rsidRPr="006C57BD">
        <w:rPr>
          <w:sz w:val="26"/>
          <w:szCs w:val="26"/>
          <w:lang w:val="ro-RO"/>
        </w:rPr>
        <w:t>1</w:t>
      </w:r>
      <w:r>
        <w:rPr>
          <w:sz w:val="26"/>
          <w:szCs w:val="26"/>
          <w:lang w:val="ro-RO"/>
        </w:rPr>
        <w:t>59</w:t>
      </w:r>
    </w:p>
    <w:p w:rsidR="00676E7B" w:rsidRPr="008169D8" w:rsidRDefault="00676E7B" w:rsidP="00676E7B">
      <w:pPr>
        <w:tabs>
          <w:tab w:val="left" w:pos="1276"/>
          <w:tab w:val="left" w:leader="dot" w:pos="9356"/>
        </w:tabs>
        <w:ind w:left="170"/>
        <w:rPr>
          <w:sz w:val="22"/>
          <w:szCs w:val="26"/>
          <w:lang w:val="ro-RO"/>
        </w:rPr>
      </w:pPr>
      <w:r>
        <w:rPr>
          <w:i/>
          <w:sz w:val="22"/>
          <w:szCs w:val="26"/>
          <w:lang w:val="ro-RO"/>
        </w:rPr>
        <w:t xml:space="preserve">        XI.3.2.</w:t>
      </w:r>
      <w:r w:rsidRPr="00CA7542">
        <w:rPr>
          <w:i/>
          <w:sz w:val="22"/>
          <w:szCs w:val="26"/>
          <w:lang w:val="ro-RO"/>
        </w:rPr>
        <w:t xml:space="preserve">Consumul de energie pe locuitor </w:t>
      </w:r>
      <w:r>
        <w:rPr>
          <w:i/>
          <w:sz w:val="22"/>
          <w:szCs w:val="26"/>
          <w:lang w:val="ro-RO"/>
        </w:rPr>
        <w:t>..............................................................................................</w:t>
      </w:r>
      <w:r w:rsidRPr="006C57BD">
        <w:rPr>
          <w:sz w:val="26"/>
          <w:szCs w:val="26"/>
          <w:lang w:val="ro-RO"/>
        </w:rPr>
        <w:t xml:space="preserve"> 1</w:t>
      </w:r>
      <w:r>
        <w:rPr>
          <w:sz w:val="26"/>
          <w:szCs w:val="26"/>
          <w:lang w:val="ro-RO"/>
        </w:rPr>
        <w:t>59</w:t>
      </w:r>
    </w:p>
    <w:p w:rsidR="00676E7B" w:rsidRPr="008169D8" w:rsidRDefault="00676E7B" w:rsidP="00676E7B">
      <w:pPr>
        <w:tabs>
          <w:tab w:val="left" w:pos="1276"/>
          <w:tab w:val="left" w:leader="dot" w:pos="9356"/>
        </w:tabs>
        <w:ind w:left="170"/>
        <w:rPr>
          <w:sz w:val="22"/>
          <w:szCs w:val="26"/>
          <w:lang w:val="ro-RO"/>
        </w:rPr>
      </w:pPr>
      <w:r>
        <w:rPr>
          <w:i/>
          <w:sz w:val="22"/>
          <w:szCs w:val="26"/>
          <w:lang w:val="ro-RO"/>
        </w:rPr>
        <w:t xml:space="preserve">       XI.3.3</w:t>
      </w:r>
      <w:r w:rsidRPr="00CA7542">
        <w:rPr>
          <w:i/>
          <w:sz w:val="22"/>
          <w:szCs w:val="26"/>
          <w:lang w:val="ro-RO"/>
        </w:rPr>
        <w:t xml:space="preserve">Utilizarea materialelor </w:t>
      </w:r>
      <w:r w:rsidRPr="00CA7542">
        <w:rPr>
          <w:i/>
          <w:sz w:val="22"/>
          <w:szCs w:val="26"/>
          <w:lang w:val="ro-RO"/>
        </w:rPr>
        <w:tab/>
      </w:r>
      <w:r w:rsidRPr="006C57BD">
        <w:rPr>
          <w:sz w:val="26"/>
          <w:szCs w:val="26"/>
          <w:lang w:val="ro-RO"/>
        </w:rPr>
        <w:t>1</w:t>
      </w:r>
      <w:r>
        <w:rPr>
          <w:sz w:val="26"/>
          <w:szCs w:val="26"/>
          <w:lang w:val="ro-RO"/>
        </w:rPr>
        <w:t>59</w:t>
      </w:r>
    </w:p>
    <w:p w:rsidR="00676E7B" w:rsidRPr="008169D8" w:rsidRDefault="00676E7B" w:rsidP="00676E7B">
      <w:pPr>
        <w:tabs>
          <w:tab w:val="left" w:leader="dot" w:pos="9356"/>
        </w:tabs>
        <w:ind w:left="567"/>
        <w:rPr>
          <w:szCs w:val="26"/>
          <w:lang w:val="ro-RO"/>
        </w:rPr>
      </w:pPr>
      <w:r>
        <w:rPr>
          <w:b/>
          <w:szCs w:val="26"/>
          <w:lang w:val="ro-RO"/>
        </w:rPr>
        <w:t>XI.4.</w:t>
      </w:r>
      <w:r w:rsidRPr="00CA7542">
        <w:rPr>
          <w:b/>
          <w:szCs w:val="26"/>
          <w:lang w:val="ro-RO"/>
        </w:rPr>
        <w:t xml:space="preserve">Prognoze, politici şi măsuri privind consumul şi mediul  </w:t>
      </w:r>
      <w:r>
        <w:rPr>
          <w:b/>
          <w:szCs w:val="26"/>
          <w:lang w:val="ro-RO"/>
        </w:rPr>
        <w:t>........................................</w:t>
      </w:r>
      <w:r w:rsidRPr="006C57BD">
        <w:rPr>
          <w:sz w:val="26"/>
          <w:szCs w:val="26"/>
          <w:lang w:val="ro-RO"/>
        </w:rPr>
        <w:t xml:space="preserve"> </w:t>
      </w:r>
      <w:r>
        <w:rPr>
          <w:sz w:val="26"/>
          <w:szCs w:val="26"/>
          <w:lang w:val="ro-RO"/>
        </w:rPr>
        <w:t xml:space="preserve"> </w:t>
      </w:r>
      <w:r w:rsidRPr="006C57BD">
        <w:rPr>
          <w:sz w:val="26"/>
          <w:szCs w:val="26"/>
          <w:lang w:val="ro-RO"/>
        </w:rPr>
        <w:t>1</w:t>
      </w:r>
      <w:r>
        <w:rPr>
          <w:sz w:val="26"/>
          <w:szCs w:val="26"/>
          <w:lang w:val="ro-RO"/>
        </w:rPr>
        <w:t>60</w:t>
      </w:r>
    </w:p>
    <w:p w:rsidR="006C6BC9" w:rsidRDefault="006C6BC9">
      <w:pPr>
        <w:rPr>
          <w:rFonts w:ascii="Arial" w:eastAsia="Times New Roman" w:hAnsi="Arial" w:cs="Arial"/>
          <w:color w:val="000000"/>
          <w:lang w:val="ro-RO" w:eastAsia="ro-RO"/>
        </w:rPr>
      </w:pPr>
    </w:p>
    <w:p w:rsidR="00135413" w:rsidRPr="00135413" w:rsidRDefault="006C6BC9" w:rsidP="00006606">
      <w:pPr>
        <w:rPr>
          <w:rFonts w:ascii="Arial" w:eastAsia="Times New Roman" w:hAnsi="Arial" w:cs="Arial"/>
          <w:color w:val="000000"/>
          <w:lang w:val="ro-RO" w:eastAsia="ro-RO"/>
        </w:rPr>
      </w:pPr>
      <w:r>
        <w:rPr>
          <w:rFonts w:ascii="Arial" w:eastAsia="Times New Roman" w:hAnsi="Arial" w:cs="Arial"/>
          <w:color w:val="000000"/>
          <w:lang w:val="ro-RO" w:eastAsia="ro-RO"/>
        </w:rPr>
        <w:br w:type="page"/>
      </w:r>
    </w:p>
    <w:p w:rsidR="008C1788" w:rsidRPr="00CE70F2" w:rsidRDefault="008C1788" w:rsidP="008C1788">
      <w:pPr>
        <w:autoSpaceDE w:val="0"/>
        <w:autoSpaceDN w:val="0"/>
        <w:adjustRightInd w:val="0"/>
        <w:rPr>
          <w:rFonts w:ascii="Arial" w:eastAsia="Times New Roman" w:hAnsi="Arial" w:cs="Arial"/>
          <w:lang w:val="ro-RO" w:eastAsia="ro-RO"/>
        </w:rPr>
      </w:pPr>
      <w:r w:rsidRPr="00CE70F2">
        <w:rPr>
          <w:rFonts w:ascii="Arial" w:eastAsia="Times New Roman" w:hAnsi="Arial" w:cs="Arial"/>
          <w:b/>
          <w:bCs/>
          <w:lang w:val="ro-RO" w:eastAsia="ro-RO"/>
        </w:rPr>
        <w:lastRenderedPageBreak/>
        <w:t xml:space="preserve">I. CALITATEA ŞI POLUAREA AERULUI ÎNCONJURĂTOR </w:t>
      </w:r>
    </w:p>
    <w:p w:rsidR="00DA046B" w:rsidRDefault="00DA046B" w:rsidP="008C1788">
      <w:pPr>
        <w:autoSpaceDE w:val="0"/>
        <w:autoSpaceDN w:val="0"/>
        <w:adjustRightInd w:val="0"/>
        <w:rPr>
          <w:rFonts w:ascii="Arial" w:eastAsia="Times New Roman" w:hAnsi="Arial" w:cs="Arial"/>
          <w:b/>
          <w:bCs/>
          <w:lang w:val="ro-RO" w:eastAsia="ro-RO"/>
        </w:rPr>
      </w:pPr>
      <w:r>
        <w:rPr>
          <w:rFonts w:ascii="Arial" w:eastAsia="Times New Roman" w:hAnsi="Arial" w:cs="Arial"/>
          <w:b/>
          <w:bCs/>
          <w:lang w:val="ro-RO" w:eastAsia="ro-RO"/>
        </w:rPr>
        <w:t xml:space="preserve">  </w:t>
      </w:r>
    </w:p>
    <w:p w:rsidR="008C1788" w:rsidRPr="00CE70F2" w:rsidRDefault="008C1788" w:rsidP="008C1788">
      <w:pPr>
        <w:autoSpaceDE w:val="0"/>
        <w:autoSpaceDN w:val="0"/>
        <w:adjustRightInd w:val="0"/>
        <w:rPr>
          <w:rFonts w:ascii="Arial" w:eastAsia="Times New Roman" w:hAnsi="Arial" w:cs="Arial"/>
          <w:lang w:val="ro-RO" w:eastAsia="ro-RO"/>
        </w:rPr>
      </w:pPr>
      <w:r w:rsidRPr="00CE70F2">
        <w:rPr>
          <w:rFonts w:ascii="Arial" w:eastAsia="Times New Roman" w:hAnsi="Arial" w:cs="Arial"/>
          <w:b/>
          <w:bCs/>
          <w:lang w:val="ro-RO" w:eastAsia="ro-RO"/>
        </w:rPr>
        <w:t xml:space="preserve">I.1. Calitatea aerului înconjurător: stare şi consecinţe </w:t>
      </w:r>
    </w:p>
    <w:p w:rsidR="003B4A73" w:rsidRDefault="003B4A73" w:rsidP="008C1788">
      <w:pPr>
        <w:autoSpaceDE w:val="0"/>
        <w:autoSpaceDN w:val="0"/>
        <w:adjustRightInd w:val="0"/>
        <w:rPr>
          <w:rFonts w:ascii="Arial" w:eastAsia="Times New Roman" w:hAnsi="Arial" w:cs="Arial"/>
          <w:b/>
          <w:lang w:val="ro-RO" w:eastAsia="ro-RO"/>
        </w:rPr>
      </w:pPr>
    </w:p>
    <w:p w:rsidR="008C1788" w:rsidRPr="003B4A73" w:rsidRDefault="008C1788" w:rsidP="00DA046B">
      <w:pPr>
        <w:autoSpaceDE w:val="0"/>
        <w:autoSpaceDN w:val="0"/>
        <w:adjustRightInd w:val="0"/>
        <w:ind w:firstLine="737"/>
        <w:rPr>
          <w:rFonts w:ascii="Arial" w:eastAsia="Times New Roman" w:hAnsi="Arial" w:cs="Arial"/>
          <w:b/>
          <w:lang w:val="ro-RO" w:eastAsia="ro-RO"/>
        </w:rPr>
      </w:pPr>
      <w:r w:rsidRPr="003B4A73">
        <w:rPr>
          <w:rFonts w:ascii="Arial" w:eastAsia="Times New Roman" w:hAnsi="Arial" w:cs="Arial"/>
          <w:b/>
          <w:lang w:val="ro-RO" w:eastAsia="ro-RO"/>
        </w:rPr>
        <w:t xml:space="preserve">I.1.1. Starea de calitate a aerului înconjurător </w:t>
      </w:r>
    </w:p>
    <w:p w:rsidR="00CE70F2" w:rsidRDefault="00CE70F2" w:rsidP="00261E9E">
      <w:pPr>
        <w:tabs>
          <w:tab w:val="left" w:pos="1260"/>
          <w:tab w:val="left" w:leader="dot" w:pos="8820"/>
        </w:tabs>
        <w:ind w:left="720" w:right="31"/>
        <w:rPr>
          <w:rFonts w:ascii="Arial" w:hAnsi="Arial" w:cs="Arial"/>
          <w:b/>
          <w:lang w:val="ro-RO"/>
        </w:rPr>
      </w:pPr>
    </w:p>
    <w:p w:rsidR="002974F6" w:rsidRPr="002974F6" w:rsidRDefault="002974F6" w:rsidP="002974F6">
      <w:pPr>
        <w:pStyle w:val="Implicit"/>
        <w:spacing w:after="0" w:line="240" w:lineRule="auto"/>
        <w:jc w:val="both"/>
        <w:rPr>
          <w:rFonts w:ascii="Arial" w:hAnsi="Arial" w:cs="Arial"/>
          <w:color w:val="auto"/>
        </w:rPr>
      </w:pPr>
      <w:r w:rsidRPr="002974F6">
        <w:rPr>
          <w:rFonts w:ascii="Arial" w:hAnsi="Arial" w:cs="Arial"/>
          <w:color w:val="auto"/>
        </w:rPr>
        <w:t>Calitatea aerului în judeţul Brăila este monitorizată prin măsurători continue în cinci staţii automate amplasate în zone reprezentative pentru tipurile de staţii existente.</w:t>
      </w:r>
    </w:p>
    <w:p w:rsidR="002974F6" w:rsidRPr="002974F6" w:rsidRDefault="002974F6" w:rsidP="002974F6">
      <w:pPr>
        <w:pStyle w:val="Implicit"/>
        <w:spacing w:after="0" w:line="240" w:lineRule="auto"/>
        <w:jc w:val="both"/>
        <w:rPr>
          <w:rFonts w:ascii="Arial" w:hAnsi="Arial" w:cs="Arial"/>
          <w:color w:val="auto"/>
        </w:rPr>
      </w:pPr>
      <w:r w:rsidRPr="002974F6">
        <w:rPr>
          <w:rFonts w:ascii="Arial" w:hAnsi="Arial" w:cs="Arial"/>
          <w:color w:val="auto"/>
        </w:rPr>
        <w:t>Poluanţii monitorizaţi, metodele de măsurare, valorile limită, pragurile de alertă şi de informare şi criteriile de amplasare a punctelor de monitorizare sunt stabilite de legislaţia naţională privind protecţia atmosferei şi sunt conforme cerinţelor prevăzute de reglementările europene.Rezultatele înregistrate sunt raportate la valorile limită prevăzute Legii 104/2011.</w:t>
      </w:r>
    </w:p>
    <w:p w:rsidR="00261E9E" w:rsidRPr="00896327" w:rsidRDefault="00261E9E" w:rsidP="00D320BB">
      <w:pPr>
        <w:jc w:val="both"/>
        <w:rPr>
          <w:rFonts w:ascii="Arial" w:hAnsi="Arial" w:cs="Arial"/>
        </w:rPr>
      </w:pPr>
      <w:r w:rsidRPr="00896327">
        <w:rPr>
          <w:rFonts w:ascii="Arial" w:hAnsi="Arial" w:cs="Arial"/>
        </w:rPr>
        <w:t>În anul 201</w:t>
      </w:r>
      <w:r w:rsidR="00C15FCE">
        <w:rPr>
          <w:rFonts w:ascii="Arial" w:hAnsi="Arial" w:cs="Arial"/>
        </w:rPr>
        <w:t>4</w:t>
      </w:r>
      <w:r w:rsidRPr="00896327">
        <w:rPr>
          <w:rFonts w:ascii="Arial" w:hAnsi="Arial" w:cs="Arial"/>
        </w:rPr>
        <w:t>, calitatea aerului ambiental a fost monitorizată prin reţeaua automată formată din 5 puncte de prelevare a probelor, amplasate după cum urmează:</w:t>
      </w:r>
    </w:p>
    <w:p w:rsidR="00D93B07" w:rsidRPr="00D93B07" w:rsidRDefault="00D93B07" w:rsidP="005E6B2E">
      <w:pPr>
        <w:pStyle w:val="Implicit"/>
        <w:numPr>
          <w:ilvl w:val="0"/>
          <w:numId w:val="6"/>
        </w:numPr>
        <w:spacing w:after="0" w:line="240" w:lineRule="auto"/>
        <w:jc w:val="both"/>
        <w:rPr>
          <w:rFonts w:ascii="Arial" w:hAnsi="Arial" w:cs="Arial"/>
          <w:color w:val="auto"/>
        </w:rPr>
      </w:pPr>
      <w:r w:rsidRPr="00D93B07">
        <w:rPr>
          <w:rFonts w:ascii="Arial" w:hAnsi="Arial" w:cs="Arial"/>
          <w:b/>
          <w:color w:val="auto"/>
        </w:rPr>
        <w:t xml:space="preserve">Staţia Brăila 1- </w:t>
      </w:r>
      <w:r w:rsidRPr="00D93B07">
        <w:rPr>
          <w:rFonts w:ascii="Arial" w:hAnsi="Arial" w:cs="Arial"/>
          <w:b/>
          <w:bCs/>
          <w:i/>
          <w:iCs/>
          <w:color w:val="auto"/>
        </w:rPr>
        <w:t>Staţia de trafic</w:t>
      </w:r>
      <w:r w:rsidRPr="00D93B07">
        <w:rPr>
          <w:rFonts w:ascii="Arial" w:hAnsi="Arial" w:cs="Arial"/>
          <w:bCs/>
          <w:color w:val="auto"/>
        </w:rPr>
        <w:t xml:space="preserve"> este amplasată pe Calea Galaţi nr. 53 şi monitorizează nivelele de poluare generate preponderent de emisiile din traficul, cu fluxuri medii şi ridicate, de pe străzile limitrofe.</w:t>
      </w:r>
      <w:r w:rsidRPr="00D93B07">
        <w:rPr>
          <w:rFonts w:ascii="Arial" w:hAnsi="Arial" w:cs="Arial"/>
          <w:b/>
          <w:bCs/>
          <w:color w:val="auto"/>
        </w:rPr>
        <w:t xml:space="preserve"> </w:t>
      </w:r>
      <w:r w:rsidRPr="00D93B07">
        <w:rPr>
          <w:rFonts w:ascii="Arial" w:hAnsi="Arial" w:cs="Arial"/>
          <w:bCs/>
          <w:color w:val="auto"/>
        </w:rPr>
        <w:t>Poluanţii monitorizaţi sunt: SO</w:t>
      </w:r>
      <w:r w:rsidRPr="00D93B07">
        <w:rPr>
          <w:rFonts w:ascii="Arial" w:hAnsi="Arial" w:cs="Arial"/>
          <w:bCs/>
          <w:color w:val="auto"/>
          <w:vertAlign w:val="subscript"/>
        </w:rPr>
        <w:t>2</w:t>
      </w:r>
      <w:r w:rsidRPr="00D93B07">
        <w:rPr>
          <w:rFonts w:ascii="Arial" w:hAnsi="Arial" w:cs="Arial"/>
          <w:bCs/>
          <w:color w:val="auto"/>
        </w:rPr>
        <w:t>; NOx; CO; Pb; PM10; benzen; toluen; o,m,p-xilen; etilbenzen.</w:t>
      </w:r>
    </w:p>
    <w:p w:rsidR="00D93B07" w:rsidRPr="00D93B07" w:rsidRDefault="00D93B07" w:rsidP="005E6B2E">
      <w:pPr>
        <w:pStyle w:val="Implicit"/>
        <w:numPr>
          <w:ilvl w:val="0"/>
          <w:numId w:val="6"/>
        </w:numPr>
        <w:spacing w:after="0" w:line="240" w:lineRule="auto"/>
        <w:jc w:val="both"/>
        <w:rPr>
          <w:rFonts w:ascii="Arial" w:hAnsi="Arial" w:cs="Arial"/>
          <w:color w:val="auto"/>
        </w:rPr>
      </w:pPr>
      <w:r w:rsidRPr="00D93B07">
        <w:rPr>
          <w:rFonts w:ascii="Arial" w:hAnsi="Arial" w:cs="Arial"/>
          <w:b/>
          <w:color w:val="auto"/>
        </w:rPr>
        <w:t xml:space="preserve">Staţia Brăila 2 - </w:t>
      </w:r>
      <w:r w:rsidRPr="00D93B07">
        <w:rPr>
          <w:rFonts w:ascii="Arial" w:hAnsi="Arial" w:cs="Arial"/>
          <w:color w:val="auto"/>
        </w:rPr>
        <w:t xml:space="preserve">Este amplasată în Piaţa Independenţei nr. 1, la distanţă de trafic şi de zone industriale sau surse punctuale mari. Monitorizează nivelele medii de poluare din </w:t>
      </w:r>
      <w:r w:rsidRPr="00D93B07">
        <w:rPr>
          <w:rFonts w:ascii="Arial" w:hAnsi="Arial" w:cs="Arial"/>
          <w:b/>
          <w:bCs/>
          <w:i/>
          <w:iCs/>
          <w:color w:val="auto"/>
        </w:rPr>
        <w:t>zona urbană</w:t>
      </w:r>
      <w:r w:rsidRPr="00D93B07">
        <w:rPr>
          <w:rFonts w:ascii="Arial" w:hAnsi="Arial" w:cs="Arial"/>
          <w:color w:val="auto"/>
        </w:rPr>
        <w:t xml:space="preserve"> datorate emisiilor din interiorul oraşului precum şi contribuţiile posibil semnificative datorate unor fenomene de transport a poluanţilor atmosferici proveniţi din exteriorul oraşului.</w:t>
      </w:r>
      <w:r w:rsidRPr="00D93B07">
        <w:rPr>
          <w:rFonts w:ascii="Arial" w:hAnsi="Arial" w:cs="Arial"/>
          <w:bCs/>
          <w:color w:val="auto"/>
        </w:rPr>
        <w:t xml:space="preserve"> Poluanţii monitorizaţi sunt: SO</w:t>
      </w:r>
      <w:r w:rsidRPr="00D93B07">
        <w:rPr>
          <w:rFonts w:ascii="Arial" w:hAnsi="Arial" w:cs="Arial"/>
          <w:bCs/>
          <w:color w:val="auto"/>
          <w:vertAlign w:val="subscript"/>
        </w:rPr>
        <w:t>2</w:t>
      </w:r>
      <w:r w:rsidRPr="00D93B07">
        <w:rPr>
          <w:rFonts w:ascii="Arial" w:hAnsi="Arial" w:cs="Arial"/>
          <w:bCs/>
          <w:color w:val="auto"/>
        </w:rPr>
        <w:t>; NOx; CO; Pb; PM2,5; benzen; toluen; o,m,p-xilen; etilbenzen.</w:t>
      </w:r>
    </w:p>
    <w:p w:rsidR="00D93B07" w:rsidRDefault="00D93B07" w:rsidP="005E6B2E">
      <w:pPr>
        <w:pStyle w:val="Implicit"/>
        <w:numPr>
          <w:ilvl w:val="0"/>
          <w:numId w:val="6"/>
        </w:numPr>
        <w:spacing w:after="0" w:line="240" w:lineRule="auto"/>
        <w:jc w:val="both"/>
        <w:rPr>
          <w:rFonts w:ascii="Arial" w:hAnsi="Arial" w:cs="Arial"/>
          <w:color w:val="auto"/>
        </w:rPr>
      </w:pPr>
      <w:r w:rsidRPr="00D93B07">
        <w:rPr>
          <w:rFonts w:ascii="Arial" w:hAnsi="Arial" w:cs="Arial"/>
          <w:b/>
          <w:color w:val="auto"/>
        </w:rPr>
        <w:t xml:space="preserve">Staţia Brăila 3 - </w:t>
      </w:r>
      <w:r w:rsidRPr="00D93B07">
        <w:rPr>
          <w:rFonts w:ascii="Arial" w:hAnsi="Arial" w:cs="Arial"/>
          <w:color w:val="auto"/>
        </w:rPr>
        <w:t xml:space="preserve">Staţia este situată în Comuna Cazasu şi monitorizează nivelele medii de poluare din interiorul </w:t>
      </w:r>
      <w:r w:rsidRPr="00D93B07">
        <w:rPr>
          <w:rFonts w:ascii="Arial" w:hAnsi="Arial" w:cs="Arial"/>
          <w:b/>
          <w:bCs/>
          <w:i/>
          <w:iCs/>
          <w:color w:val="auto"/>
        </w:rPr>
        <w:t>zonei suburbane</w:t>
      </w:r>
      <w:r w:rsidRPr="00D93B07">
        <w:rPr>
          <w:rFonts w:ascii="Arial" w:hAnsi="Arial" w:cs="Arial"/>
          <w:color w:val="auto"/>
        </w:rPr>
        <w:t xml:space="preserve"> datorate unor fenomene de transport a poluanţilor ce provin din municipiul Brăila. Monitorizarea se realizează în vederea evaluării expunerii populaţiei şi a vegetaţiei din localităţile de la marginea zonei urbane, localităţi unde pot apărea fenomene de poluare fotochimică.</w:t>
      </w:r>
    </w:p>
    <w:p w:rsidR="00D93B07" w:rsidRPr="00D93B07" w:rsidRDefault="00C8009A" w:rsidP="005E6B2E">
      <w:pPr>
        <w:pStyle w:val="Implicit"/>
        <w:numPr>
          <w:ilvl w:val="0"/>
          <w:numId w:val="6"/>
        </w:numPr>
        <w:spacing w:after="0" w:line="240" w:lineRule="auto"/>
        <w:jc w:val="both"/>
        <w:rPr>
          <w:rFonts w:ascii="Arial" w:hAnsi="Arial" w:cs="Arial"/>
          <w:color w:val="auto"/>
        </w:rPr>
      </w:pPr>
      <w:r>
        <w:rPr>
          <w:rFonts w:ascii="Arial" w:hAnsi="Arial" w:cs="Arial"/>
          <w:b/>
          <w:color w:val="auto"/>
        </w:rPr>
        <w:t>S</w:t>
      </w:r>
      <w:r w:rsidR="00D93B07" w:rsidRPr="00D93B07">
        <w:rPr>
          <w:rFonts w:ascii="Arial" w:hAnsi="Arial" w:cs="Arial"/>
          <w:b/>
          <w:color w:val="auto"/>
        </w:rPr>
        <w:t xml:space="preserve">taţia Brăila 4 - </w:t>
      </w:r>
      <w:r w:rsidR="00D93B07" w:rsidRPr="00D93B07">
        <w:rPr>
          <w:rFonts w:ascii="Arial" w:hAnsi="Arial" w:cs="Arial"/>
          <w:color w:val="auto"/>
        </w:rPr>
        <w:t xml:space="preserve">Staţia este amplasată pe Şoseaua Baldovineşti în incinta Staţiei de pompare ape uzate a Companiei de Utilităţi Publice Dunărea - Brăila şi determină nivelul de poluare provenit de la </w:t>
      </w:r>
      <w:r w:rsidR="00D93B07" w:rsidRPr="00D93B07">
        <w:rPr>
          <w:rFonts w:ascii="Arial" w:hAnsi="Arial" w:cs="Arial"/>
          <w:b/>
          <w:bCs/>
          <w:i/>
          <w:iCs/>
          <w:color w:val="auto"/>
        </w:rPr>
        <w:t xml:space="preserve">sursele industriale </w:t>
      </w:r>
      <w:r w:rsidR="00D93B07" w:rsidRPr="00D93B07">
        <w:rPr>
          <w:rFonts w:ascii="Arial" w:hAnsi="Arial" w:cs="Arial"/>
          <w:color w:val="auto"/>
        </w:rPr>
        <w:t>din zonă sau din zonele limitrofe.</w:t>
      </w:r>
    </w:p>
    <w:p w:rsidR="00D93B07" w:rsidRPr="00D93B07" w:rsidRDefault="00D93B07" w:rsidP="00C8009A">
      <w:pPr>
        <w:pStyle w:val="Implicit"/>
        <w:spacing w:after="0" w:line="240" w:lineRule="auto"/>
        <w:ind w:left="709"/>
        <w:jc w:val="both"/>
        <w:rPr>
          <w:rFonts w:ascii="Arial" w:hAnsi="Arial" w:cs="Arial"/>
          <w:color w:val="auto"/>
        </w:rPr>
      </w:pPr>
      <w:r w:rsidRPr="00D93B07">
        <w:rPr>
          <w:rFonts w:ascii="Arial" w:hAnsi="Arial" w:cs="Arial"/>
          <w:b/>
          <w:color w:val="auto"/>
        </w:rPr>
        <w:tab/>
        <w:t xml:space="preserve">Staţia Brăila 5 - </w:t>
      </w:r>
      <w:r w:rsidRPr="00D93B07">
        <w:rPr>
          <w:rFonts w:ascii="Arial" w:hAnsi="Arial" w:cs="Arial"/>
          <w:color w:val="auto"/>
        </w:rPr>
        <w:t xml:space="preserve">Staţia este amplasată în Comuna Chiscani, în vecinătatea SC. </w:t>
      </w:r>
      <w:r w:rsidR="00C8009A">
        <w:rPr>
          <w:rFonts w:ascii="Arial" w:hAnsi="Arial" w:cs="Arial"/>
          <w:color w:val="auto"/>
        </w:rPr>
        <w:t xml:space="preserve"> </w:t>
      </w:r>
      <w:r w:rsidRPr="00D93B07">
        <w:rPr>
          <w:rFonts w:ascii="Arial" w:hAnsi="Arial" w:cs="Arial"/>
          <w:color w:val="auto"/>
        </w:rPr>
        <w:t xml:space="preserve">Termoelectrica S.A. şi monitorizează nivelul de poluare a aerului din zona învecinată emisiilor de pe </w:t>
      </w:r>
      <w:r w:rsidRPr="00D93B07">
        <w:rPr>
          <w:rFonts w:ascii="Arial" w:hAnsi="Arial" w:cs="Arial"/>
          <w:b/>
          <w:bCs/>
          <w:i/>
          <w:iCs/>
          <w:color w:val="auto"/>
        </w:rPr>
        <w:t>Platforma Industrială</w:t>
      </w:r>
      <w:r w:rsidRPr="00D93B07">
        <w:rPr>
          <w:rFonts w:ascii="Arial" w:hAnsi="Arial" w:cs="Arial"/>
          <w:color w:val="auto"/>
        </w:rPr>
        <w:t xml:space="preserve"> Chiscani.</w:t>
      </w:r>
    </w:p>
    <w:p w:rsidR="00261E9E" w:rsidRPr="00D93B07" w:rsidRDefault="00261E9E" w:rsidP="00D93B07">
      <w:pPr>
        <w:pStyle w:val="Title"/>
        <w:ind w:left="720"/>
        <w:jc w:val="both"/>
        <w:rPr>
          <w:rFonts w:ascii="Arial" w:hAnsi="Arial" w:cs="Arial"/>
          <w:iCs/>
          <w:spacing w:val="-6"/>
        </w:rPr>
      </w:pPr>
    </w:p>
    <w:p w:rsidR="00D5242D" w:rsidRDefault="00D5242D" w:rsidP="008C1788">
      <w:pPr>
        <w:autoSpaceDE w:val="0"/>
        <w:autoSpaceDN w:val="0"/>
        <w:adjustRightInd w:val="0"/>
        <w:rPr>
          <w:rFonts w:ascii="Arial" w:eastAsia="Times New Roman" w:hAnsi="Arial" w:cs="Arial"/>
          <w:b/>
          <w:iCs/>
          <w:lang w:val="ro-RO" w:eastAsia="ro-RO"/>
        </w:rPr>
      </w:pPr>
    </w:p>
    <w:p w:rsidR="008C1788" w:rsidRPr="003B4A73" w:rsidRDefault="008C1788" w:rsidP="008C1788">
      <w:pPr>
        <w:autoSpaceDE w:val="0"/>
        <w:autoSpaceDN w:val="0"/>
        <w:adjustRightInd w:val="0"/>
        <w:rPr>
          <w:rFonts w:ascii="Arial" w:eastAsia="Times New Roman" w:hAnsi="Arial" w:cs="Arial"/>
          <w:b/>
          <w:lang w:val="ro-RO" w:eastAsia="ro-RO"/>
        </w:rPr>
      </w:pPr>
      <w:r w:rsidRPr="003B4A73">
        <w:rPr>
          <w:rFonts w:ascii="Arial" w:eastAsia="Times New Roman" w:hAnsi="Arial" w:cs="Arial"/>
          <w:b/>
          <w:iCs/>
          <w:lang w:val="ro-RO" w:eastAsia="ro-RO"/>
        </w:rPr>
        <w:t>I.1.1.1. Nivelul concentraţiilor medii anuale ale poluanţilor atmosferici în aerul înconjurător</w:t>
      </w:r>
    </w:p>
    <w:p w:rsidR="008C1788" w:rsidRPr="00504ED5" w:rsidRDefault="008C1788" w:rsidP="00A50B64">
      <w:pPr>
        <w:tabs>
          <w:tab w:val="left" w:pos="1260"/>
          <w:tab w:val="left" w:leader="dot" w:pos="8820"/>
        </w:tabs>
        <w:ind w:right="31"/>
        <w:rPr>
          <w:rFonts w:ascii="Arial" w:hAnsi="Arial" w:cs="Arial"/>
          <w:lang w:val="ro-RO"/>
        </w:rPr>
      </w:pPr>
    </w:p>
    <w:p w:rsidR="00261E9E" w:rsidRDefault="00261E9E" w:rsidP="00757CB6">
      <w:pPr>
        <w:tabs>
          <w:tab w:val="left" w:pos="709"/>
        </w:tabs>
        <w:ind w:right="31"/>
        <w:rPr>
          <w:rFonts w:ascii="Arial" w:hAnsi="Arial" w:cs="Arial"/>
          <w:b/>
          <w:lang w:val="ro-RO"/>
        </w:rPr>
      </w:pPr>
      <w:r w:rsidRPr="00BF20E8">
        <w:rPr>
          <w:rFonts w:ascii="Arial" w:hAnsi="Arial" w:cs="Arial"/>
          <w:b/>
          <w:lang w:val="ro-RO"/>
        </w:rPr>
        <w:t>Dioxidul de azot</w:t>
      </w:r>
      <w:r w:rsidR="0064516C">
        <w:rPr>
          <w:rFonts w:ascii="Arial" w:hAnsi="Arial" w:cs="Arial"/>
          <w:b/>
          <w:lang w:val="ro-RO"/>
        </w:rPr>
        <w:t xml:space="preserve"> </w:t>
      </w:r>
    </w:p>
    <w:p w:rsidR="009717FC" w:rsidRPr="009717FC" w:rsidRDefault="009717FC" w:rsidP="00A1104F">
      <w:pPr>
        <w:tabs>
          <w:tab w:val="left" w:pos="709"/>
        </w:tabs>
        <w:ind w:right="31"/>
        <w:jc w:val="both"/>
        <w:rPr>
          <w:rFonts w:ascii="Arial" w:hAnsi="Arial" w:cs="Arial"/>
        </w:rPr>
      </w:pPr>
      <w:r w:rsidRPr="009717FC">
        <w:rPr>
          <w:rFonts w:ascii="Arial" w:hAnsi="Arial" w:cs="Arial"/>
        </w:rPr>
        <w:t>Oxizii de azot se formează la temperaturi înalte în procesul de ardere al combustibililor, cel mai adesea rezultând din traficul rutier şi activităţile de producere a energiei electrice şi termice din combustibili fosili. Oxizii de azot sunt gaze foarte reactive, care conţin azot şi oxigen în cantităţi variabile. În staţiile automate de monitorizare se măsoară concentraţia de monoxid de azot (NO), gaz incolor şi inodor, dioxid de azot (NO</w:t>
      </w:r>
      <w:r w:rsidRPr="009717FC">
        <w:rPr>
          <w:rFonts w:ascii="Arial" w:hAnsi="Arial" w:cs="Arial"/>
          <w:vertAlign w:val="subscript"/>
        </w:rPr>
        <w:t>2</w:t>
      </w:r>
      <w:r w:rsidRPr="009717FC">
        <w:rPr>
          <w:rFonts w:ascii="Arial" w:hAnsi="Arial" w:cs="Arial"/>
        </w:rPr>
        <w:t>), gaz de culoare brun-roşcat cu miros puternic înecăcios şi oxizi de azot (NOx).</w:t>
      </w:r>
    </w:p>
    <w:p w:rsidR="009717FC" w:rsidRPr="009717FC" w:rsidRDefault="009717FC" w:rsidP="00261E9E">
      <w:pPr>
        <w:tabs>
          <w:tab w:val="left" w:pos="709"/>
        </w:tabs>
        <w:ind w:left="720" w:right="31"/>
        <w:rPr>
          <w:rFonts w:ascii="Arial" w:hAnsi="Arial" w:cs="Arial"/>
          <w:b/>
          <w:lang w:val="ro-RO"/>
        </w:rPr>
      </w:pPr>
    </w:p>
    <w:p w:rsidR="00261E9E" w:rsidRDefault="008020AE" w:rsidP="00261E9E">
      <w:pPr>
        <w:tabs>
          <w:tab w:val="num" w:pos="0"/>
        </w:tabs>
        <w:ind w:firstLine="720"/>
        <w:jc w:val="center"/>
        <w:rPr>
          <w:rFonts w:ascii="Arial" w:hAnsi="Arial" w:cs="Arial"/>
        </w:rPr>
      </w:pPr>
      <w:r>
        <w:rPr>
          <w:rFonts w:ascii="Arial" w:hAnsi="Arial" w:cs="Arial"/>
          <w:noProof/>
          <w:lang w:val="ro-RO" w:eastAsia="ro-RO"/>
        </w:rPr>
        <w:lastRenderedPageBreak/>
        <w:drawing>
          <wp:inline distT="0" distB="0" distL="0" distR="0">
            <wp:extent cx="5524500" cy="2124075"/>
            <wp:effectExtent l="0" t="0" r="0" b="0"/>
            <wp:docPr id="1"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8"/>
              </a:graphicData>
            </a:graphic>
          </wp:inline>
        </w:drawing>
      </w:r>
    </w:p>
    <w:p w:rsidR="00261E9E" w:rsidRDefault="008C1788" w:rsidP="008C1788">
      <w:pPr>
        <w:tabs>
          <w:tab w:val="num" w:pos="0"/>
        </w:tabs>
        <w:ind w:firstLine="720"/>
        <w:jc w:val="center"/>
        <w:rPr>
          <w:rFonts w:ascii="Arial" w:hAnsi="Arial" w:cs="Arial"/>
        </w:rPr>
      </w:pPr>
      <w:r>
        <w:rPr>
          <w:rFonts w:ascii="Arial" w:hAnsi="Arial" w:cs="Arial"/>
        </w:rPr>
        <w:t xml:space="preserve">Fig. I.1.1.1.1. </w:t>
      </w:r>
      <w:r w:rsidR="00261E9E" w:rsidRPr="00654D79">
        <w:rPr>
          <w:rFonts w:ascii="Arial" w:hAnsi="Arial" w:cs="Arial"/>
        </w:rPr>
        <w:t>Concentraţia medie anuală a dioxidu</w:t>
      </w:r>
      <w:r w:rsidR="00261E9E">
        <w:rPr>
          <w:rFonts w:ascii="Arial" w:hAnsi="Arial" w:cs="Arial"/>
        </w:rPr>
        <w:t>lui de azot</w:t>
      </w:r>
      <w:r w:rsidR="00422169">
        <w:rPr>
          <w:rFonts w:ascii="Arial" w:hAnsi="Arial" w:cs="Arial"/>
        </w:rPr>
        <w:t xml:space="preserve"> </w:t>
      </w:r>
      <w:r w:rsidR="00261E9E">
        <w:rPr>
          <w:rFonts w:ascii="Arial" w:hAnsi="Arial" w:cs="Arial"/>
        </w:rPr>
        <w:t xml:space="preserve">în </w:t>
      </w:r>
      <w:r w:rsidR="00C15FCE">
        <w:rPr>
          <w:rFonts w:ascii="Arial" w:hAnsi="Arial" w:cs="Arial"/>
        </w:rPr>
        <w:t>2014</w:t>
      </w:r>
    </w:p>
    <w:p w:rsidR="000F4CE8" w:rsidRDefault="00261E9E" w:rsidP="000F4CE8">
      <w:pPr>
        <w:tabs>
          <w:tab w:val="num" w:pos="0"/>
        </w:tabs>
        <w:ind w:firstLine="720"/>
        <w:jc w:val="center"/>
        <w:rPr>
          <w:rFonts w:ascii="Arial" w:hAnsi="Arial" w:cs="Arial"/>
        </w:rPr>
      </w:pP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r>
      <w:r>
        <w:rPr>
          <w:rFonts w:ascii="Arial" w:hAnsi="Arial" w:cs="Arial"/>
        </w:rPr>
        <w:tab/>
        <w:t xml:space="preserve"> </w:t>
      </w:r>
    </w:p>
    <w:p w:rsidR="008C1788" w:rsidRPr="00654D79" w:rsidRDefault="000F4CE8" w:rsidP="000F4CE8">
      <w:pPr>
        <w:tabs>
          <w:tab w:val="num" w:pos="0"/>
        </w:tabs>
        <w:ind w:firstLine="720"/>
        <w:rPr>
          <w:rFonts w:ascii="Arial" w:hAnsi="Arial" w:cs="Arial"/>
        </w:rPr>
      </w:pPr>
      <w:r>
        <w:rPr>
          <w:rFonts w:ascii="Arial" w:hAnsi="Arial" w:cs="Arial"/>
        </w:rPr>
        <w:t xml:space="preserve">          </w:t>
      </w:r>
      <w:r w:rsidR="008C1788">
        <w:rPr>
          <w:rFonts w:ascii="Arial" w:hAnsi="Arial" w:cs="Arial"/>
        </w:rPr>
        <w:t>Tabel I.1.1.1.1.</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261E9E" w:rsidRPr="00654D79" w:rsidTr="00E01E3D">
        <w:trPr>
          <w:jc w:val="center"/>
        </w:trPr>
        <w:tc>
          <w:tcPr>
            <w:tcW w:w="2207" w:type="dxa"/>
            <w:shd w:val="clear" w:color="auto" w:fill="E6E6E6"/>
          </w:tcPr>
          <w:p w:rsidR="00261E9E" w:rsidRPr="00654D79" w:rsidRDefault="00261E9E" w:rsidP="00E01E3D">
            <w:pPr>
              <w:tabs>
                <w:tab w:val="num" w:pos="0"/>
              </w:tabs>
              <w:rPr>
                <w:rFonts w:ascii="Arial" w:hAnsi="Arial" w:cs="Arial"/>
              </w:rPr>
            </w:pPr>
            <w:r w:rsidRPr="00654D79">
              <w:rPr>
                <w:rFonts w:ascii="Arial" w:hAnsi="Arial" w:cs="Arial"/>
                <w:b/>
              </w:rPr>
              <w:t>NO</w:t>
            </w:r>
            <w:r w:rsidRPr="00654D79">
              <w:rPr>
                <w:rFonts w:ascii="Arial" w:hAnsi="Arial" w:cs="Arial"/>
                <w:b/>
                <w:vertAlign w:val="subscript"/>
              </w:rPr>
              <w:t>2</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1080" w:type="dxa"/>
            <w:shd w:val="clear" w:color="auto" w:fill="E6E6E6"/>
          </w:tcPr>
          <w:p w:rsidR="00261E9E" w:rsidRPr="00654D79" w:rsidRDefault="00261E9E" w:rsidP="00E01E3D">
            <w:pPr>
              <w:jc w:val="center"/>
              <w:rPr>
                <w:rFonts w:ascii="Arial" w:hAnsi="Arial" w:cs="Arial"/>
                <w:b/>
              </w:rPr>
            </w:pPr>
            <w:r w:rsidRPr="00654D79">
              <w:rPr>
                <w:rFonts w:ascii="Arial" w:hAnsi="Arial" w:cs="Arial"/>
                <w:b/>
              </w:rPr>
              <w:t>Br1</w:t>
            </w:r>
          </w:p>
        </w:tc>
        <w:tc>
          <w:tcPr>
            <w:tcW w:w="951" w:type="dxa"/>
            <w:shd w:val="clear" w:color="auto" w:fill="E6E6E6"/>
          </w:tcPr>
          <w:p w:rsidR="00261E9E" w:rsidRPr="00654D79" w:rsidRDefault="00261E9E" w:rsidP="00E01E3D">
            <w:pPr>
              <w:jc w:val="center"/>
              <w:rPr>
                <w:rFonts w:ascii="Arial" w:hAnsi="Arial" w:cs="Arial"/>
                <w:b/>
              </w:rPr>
            </w:pPr>
            <w:r w:rsidRPr="00654D79">
              <w:rPr>
                <w:rFonts w:ascii="Arial" w:hAnsi="Arial" w:cs="Arial"/>
                <w:b/>
              </w:rPr>
              <w:t>Br2</w:t>
            </w:r>
          </w:p>
        </w:tc>
        <w:tc>
          <w:tcPr>
            <w:tcW w:w="1007" w:type="dxa"/>
            <w:shd w:val="clear" w:color="auto" w:fill="E6E6E6"/>
          </w:tcPr>
          <w:p w:rsidR="00261E9E" w:rsidRPr="00654D79" w:rsidRDefault="00261E9E" w:rsidP="00E01E3D">
            <w:pPr>
              <w:jc w:val="center"/>
              <w:rPr>
                <w:rFonts w:ascii="Arial" w:hAnsi="Arial" w:cs="Arial"/>
                <w:b/>
              </w:rPr>
            </w:pPr>
            <w:r w:rsidRPr="00654D79">
              <w:rPr>
                <w:rFonts w:ascii="Arial" w:hAnsi="Arial" w:cs="Arial"/>
                <w:b/>
              </w:rPr>
              <w:t>Br3</w:t>
            </w:r>
          </w:p>
        </w:tc>
        <w:tc>
          <w:tcPr>
            <w:tcW w:w="951" w:type="dxa"/>
            <w:shd w:val="clear" w:color="auto" w:fill="E6E6E6"/>
          </w:tcPr>
          <w:p w:rsidR="00261E9E" w:rsidRPr="00654D79" w:rsidRDefault="00261E9E" w:rsidP="00E01E3D">
            <w:pPr>
              <w:jc w:val="center"/>
              <w:rPr>
                <w:rFonts w:ascii="Arial" w:hAnsi="Arial" w:cs="Arial"/>
                <w:b/>
              </w:rPr>
            </w:pPr>
            <w:r w:rsidRPr="00654D79">
              <w:rPr>
                <w:rFonts w:ascii="Arial" w:hAnsi="Arial" w:cs="Arial"/>
                <w:b/>
              </w:rPr>
              <w:t>Br4</w:t>
            </w:r>
          </w:p>
        </w:tc>
        <w:tc>
          <w:tcPr>
            <w:tcW w:w="951" w:type="dxa"/>
            <w:shd w:val="clear" w:color="auto" w:fill="E6E6E6"/>
          </w:tcPr>
          <w:p w:rsidR="00261E9E" w:rsidRPr="00654D79" w:rsidRDefault="00261E9E" w:rsidP="00E01E3D">
            <w:pPr>
              <w:jc w:val="center"/>
              <w:rPr>
                <w:rFonts w:ascii="Arial" w:hAnsi="Arial" w:cs="Arial"/>
                <w:b/>
              </w:rPr>
            </w:pPr>
            <w:r w:rsidRPr="00654D79">
              <w:rPr>
                <w:rFonts w:ascii="Arial" w:hAnsi="Arial" w:cs="Arial"/>
                <w:b/>
              </w:rPr>
              <w:t>Br5</w:t>
            </w:r>
          </w:p>
        </w:tc>
      </w:tr>
      <w:tr w:rsidR="00C15FCE" w:rsidRPr="00654D79" w:rsidTr="00E01E3D">
        <w:trPr>
          <w:jc w:val="center"/>
        </w:trPr>
        <w:tc>
          <w:tcPr>
            <w:tcW w:w="2207" w:type="dxa"/>
          </w:tcPr>
          <w:p w:rsidR="00C15FCE" w:rsidRDefault="00C15FCE" w:rsidP="00C15FCE">
            <w:pPr>
              <w:tabs>
                <w:tab w:val="num" w:pos="0"/>
              </w:tabs>
              <w:jc w:val="center"/>
              <w:rPr>
                <w:rFonts w:ascii="Arial" w:hAnsi="Arial" w:cs="Arial"/>
              </w:rPr>
            </w:pPr>
            <w:r>
              <w:rPr>
                <w:rFonts w:ascii="Arial" w:hAnsi="Arial" w:cs="Arial"/>
              </w:rPr>
              <w:t>2014 Medii anuale</w:t>
            </w:r>
          </w:p>
        </w:tc>
        <w:tc>
          <w:tcPr>
            <w:tcW w:w="1080" w:type="dxa"/>
          </w:tcPr>
          <w:p w:rsidR="00C15FCE" w:rsidRDefault="00555E92" w:rsidP="0031058F">
            <w:pPr>
              <w:jc w:val="center"/>
              <w:rPr>
                <w:rFonts w:ascii="Arial" w:hAnsi="Arial" w:cs="Arial"/>
              </w:rPr>
            </w:pPr>
            <w:r>
              <w:rPr>
                <w:rFonts w:ascii="Arial" w:hAnsi="Arial" w:cs="Arial"/>
              </w:rPr>
              <w:t>-</w:t>
            </w:r>
          </w:p>
        </w:tc>
        <w:tc>
          <w:tcPr>
            <w:tcW w:w="951" w:type="dxa"/>
          </w:tcPr>
          <w:p w:rsidR="00C15FCE" w:rsidRDefault="00555E92" w:rsidP="00E01E3D">
            <w:pPr>
              <w:jc w:val="center"/>
              <w:rPr>
                <w:rFonts w:ascii="Arial" w:hAnsi="Arial" w:cs="Arial"/>
              </w:rPr>
            </w:pPr>
            <w:r>
              <w:rPr>
                <w:rFonts w:ascii="Arial" w:hAnsi="Arial" w:cs="Arial"/>
              </w:rPr>
              <w:t>15,50</w:t>
            </w:r>
          </w:p>
        </w:tc>
        <w:tc>
          <w:tcPr>
            <w:tcW w:w="1007" w:type="dxa"/>
          </w:tcPr>
          <w:p w:rsidR="00C15FCE" w:rsidRDefault="00555E92" w:rsidP="00E01E3D">
            <w:pPr>
              <w:jc w:val="center"/>
              <w:rPr>
                <w:rFonts w:ascii="Arial" w:hAnsi="Arial" w:cs="Arial"/>
              </w:rPr>
            </w:pPr>
            <w:r>
              <w:rPr>
                <w:rFonts w:ascii="Arial" w:hAnsi="Arial" w:cs="Arial"/>
              </w:rPr>
              <w:t>7,41</w:t>
            </w:r>
          </w:p>
        </w:tc>
        <w:tc>
          <w:tcPr>
            <w:tcW w:w="951" w:type="dxa"/>
          </w:tcPr>
          <w:p w:rsidR="00C15FCE" w:rsidRDefault="00555E92" w:rsidP="005F170E">
            <w:pPr>
              <w:jc w:val="center"/>
              <w:rPr>
                <w:rFonts w:ascii="Arial" w:hAnsi="Arial" w:cs="Arial"/>
              </w:rPr>
            </w:pPr>
            <w:r>
              <w:rPr>
                <w:rFonts w:ascii="Arial" w:hAnsi="Arial" w:cs="Arial"/>
              </w:rPr>
              <w:t>-</w:t>
            </w:r>
          </w:p>
        </w:tc>
        <w:tc>
          <w:tcPr>
            <w:tcW w:w="951" w:type="dxa"/>
          </w:tcPr>
          <w:p w:rsidR="00C15FCE" w:rsidRDefault="00555E92" w:rsidP="00E01E3D">
            <w:pPr>
              <w:jc w:val="center"/>
              <w:rPr>
                <w:rFonts w:ascii="Arial" w:hAnsi="Arial" w:cs="Arial"/>
              </w:rPr>
            </w:pPr>
            <w:r>
              <w:rPr>
                <w:rFonts w:ascii="Arial" w:hAnsi="Arial" w:cs="Arial"/>
              </w:rPr>
              <w:t>-</w:t>
            </w:r>
          </w:p>
        </w:tc>
      </w:tr>
    </w:tbl>
    <w:p w:rsidR="00261E9E" w:rsidRDefault="00261E9E" w:rsidP="00261E9E">
      <w:pPr>
        <w:tabs>
          <w:tab w:val="num" w:pos="0"/>
        </w:tabs>
        <w:jc w:val="center"/>
        <w:rPr>
          <w:rFonts w:ascii="Arial" w:hAnsi="Arial" w:cs="Arial"/>
        </w:rPr>
      </w:pPr>
    </w:p>
    <w:p w:rsidR="00261E9E" w:rsidRDefault="00261E9E" w:rsidP="00622ABA">
      <w:pPr>
        <w:tabs>
          <w:tab w:val="left" w:pos="709"/>
        </w:tabs>
        <w:ind w:right="31"/>
        <w:jc w:val="both"/>
        <w:rPr>
          <w:rFonts w:ascii="Arial" w:hAnsi="Arial" w:cs="Arial"/>
        </w:rPr>
      </w:pPr>
      <w:r>
        <w:rPr>
          <w:rFonts w:ascii="Arial" w:hAnsi="Arial" w:cs="Arial"/>
        </w:rPr>
        <w:tab/>
      </w:r>
      <w:r w:rsidRPr="00654D79">
        <w:rPr>
          <w:rFonts w:ascii="Arial" w:hAnsi="Arial" w:cs="Arial"/>
        </w:rPr>
        <w:t>În anul 201</w:t>
      </w:r>
      <w:r w:rsidR="00AA54F6">
        <w:rPr>
          <w:rFonts w:ascii="Arial" w:hAnsi="Arial" w:cs="Arial"/>
        </w:rPr>
        <w:t>4</w:t>
      </w:r>
      <w:r w:rsidRPr="00654D79">
        <w:rPr>
          <w:rFonts w:ascii="Arial" w:hAnsi="Arial" w:cs="Arial"/>
        </w:rPr>
        <w:t>, valorile medii anuale în urma măsurătorilor sunt sub valoarea limită de 40 µg/m</w:t>
      </w:r>
      <w:r w:rsidRPr="00654D79">
        <w:rPr>
          <w:rFonts w:ascii="Arial" w:hAnsi="Arial" w:cs="Arial"/>
          <w:vertAlign w:val="superscript"/>
        </w:rPr>
        <w:t>3</w:t>
      </w:r>
      <w:r w:rsidRPr="00654D79">
        <w:rPr>
          <w:rFonts w:ascii="Arial" w:hAnsi="Arial" w:cs="Arial"/>
        </w:rPr>
        <w:t xml:space="preserve"> admisă de către </w:t>
      </w:r>
      <w:r>
        <w:rPr>
          <w:rFonts w:ascii="Arial" w:hAnsi="Arial" w:cs="Arial"/>
        </w:rPr>
        <w:t>Legea</w:t>
      </w:r>
      <w:r w:rsidRPr="00654D79">
        <w:rPr>
          <w:rFonts w:ascii="Arial" w:hAnsi="Arial" w:cs="Arial"/>
        </w:rPr>
        <w:t xml:space="preserve"> </w:t>
      </w:r>
      <w:r>
        <w:rPr>
          <w:rFonts w:ascii="Arial" w:hAnsi="Arial" w:cs="Arial"/>
        </w:rPr>
        <w:t>104</w:t>
      </w:r>
      <w:r w:rsidRPr="00654D79">
        <w:rPr>
          <w:rFonts w:ascii="Arial" w:hAnsi="Arial" w:cs="Arial"/>
        </w:rPr>
        <w:t>/20</w:t>
      </w:r>
      <w:r>
        <w:rPr>
          <w:rFonts w:ascii="Arial" w:hAnsi="Arial" w:cs="Arial"/>
        </w:rPr>
        <w:t>11</w:t>
      </w:r>
      <w:r w:rsidRPr="00654D79">
        <w:rPr>
          <w:rFonts w:ascii="Arial" w:hAnsi="Arial" w:cs="Arial"/>
        </w:rPr>
        <w:t>.</w:t>
      </w:r>
    </w:p>
    <w:p w:rsidR="008C1788" w:rsidRDefault="008C1788" w:rsidP="00261E9E">
      <w:pPr>
        <w:tabs>
          <w:tab w:val="left" w:pos="709"/>
        </w:tabs>
        <w:ind w:right="31"/>
        <w:rPr>
          <w:rFonts w:ascii="Arial" w:hAnsi="Arial" w:cs="Arial"/>
        </w:rPr>
      </w:pPr>
    </w:p>
    <w:p w:rsidR="008C1788" w:rsidRDefault="008C1788" w:rsidP="00757CB6">
      <w:pPr>
        <w:tabs>
          <w:tab w:val="num" w:pos="0"/>
        </w:tabs>
        <w:rPr>
          <w:rFonts w:ascii="Arial" w:hAnsi="Arial" w:cs="Arial"/>
          <w:b/>
        </w:rPr>
      </w:pPr>
      <w:r w:rsidRPr="006958F0">
        <w:rPr>
          <w:rFonts w:ascii="Arial" w:hAnsi="Arial" w:cs="Arial"/>
          <w:b/>
        </w:rPr>
        <w:t>Monoxid</w:t>
      </w:r>
      <w:r w:rsidRPr="00654D79">
        <w:rPr>
          <w:rFonts w:ascii="Arial" w:hAnsi="Arial" w:cs="Arial"/>
          <w:b/>
        </w:rPr>
        <w:t xml:space="preserve"> de carbon</w:t>
      </w:r>
      <w:r w:rsidR="00DE3CDE">
        <w:rPr>
          <w:rFonts w:ascii="Arial" w:hAnsi="Arial" w:cs="Arial"/>
          <w:b/>
        </w:rPr>
        <w:t xml:space="preserve"> </w:t>
      </w:r>
    </w:p>
    <w:p w:rsidR="0010606C" w:rsidRDefault="0010606C" w:rsidP="00757CB6">
      <w:pPr>
        <w:autoSpaceDE w:val="0"/>
        <w:autoSpaceDN w:val="0"/>
        <w:adjustRightInd w:val="0"/>
        <w:jc w:val="both"/>
        <w:rPr>
          <w:rFonts w:ascii="Arial" w:eastAsia="Times New Roman" w:hAnsi="Arial" w:cs="Arial"/>
          <w:color w:val="000000"/>
          <w:lang w:val="ro-RO" w:eastAsia="ro-RO"/>
        </w:rPr>
      </w:pPr>
      <w:r w:rsidRPr="0010606C">
        <w:rPr>
          <w:rFonts w:ascii="Arial" w:eastAsia="Times New Roman" w:hAnsi="Arial" w:cs="Arial"/>
          <w:color w:val="000000"/>
          <w:lang w:val="ro-RO" w:eastAsia="ro-RO"/>
        </w:rPr>
        <w:t xml:space="preserve">Monoxidul de carbon provine din surse naturale (arderea pădurilor, emisiile vulcanice şi descărcările electrice) sau din surse antropice (arderea incompletă a combustibililor fosili, dar şi de la producerea oţelului şi a fontei, rafinarea petrolului şi din trafic). Monoxidul de carbon se poate acumula la un nivel periculos în special în perioada de calm atmosferic din timpul iernii şi primăverii (fiind mult mai stabil din punct de vedere chimic la temperaturi scăzute), când arderea combustibililor fosili atinge un maxim. </w:t>
      </w:r>
    </w:p>
    <w:p w:rsidR="0010606C" w:rsidRPr="0010606C" w:rsidRDefault="0010606C" w:rsidP="00A1104F">
      <w:pPr>
        <w:tabs>
          <w:tab w:val="num" w:pos="0"/>
        </w:tabs>
        <w:jc w:val="both"/>
        <w:rPr>
          <w:rFonts w:ascii="Arial" w:hAnsi="Arial" w:cs="Arial"/>
          <w:b/>
        </w:rPr>
      </w:pPr>
    </w:p>
    <w:p w:rsidR="008C1788" w:rsidRPr="00654D79" w:rsidRDefault="008C1788" w:rsidP="008C1788">
      <w:pPr>
        <w:tabs>
          <w:tab w:val="num" w:pos="0"/>
        </w:tabs>
        <w:jc w:val="center"/>
        <w:rPr>
          <w:rFonts w:ascii="Arial" w:hAnsi="Arial" w:cs="Arial"/>
        </w:rPr>
      </w:pPr>
      <w:r>
        <w:rPr>
          <w:rFonts w:ascii="Arial" w:hAnsi="Arial" w:cs="Arial"/>
          <w:noProof/>
          <w:lang w:val="ro-RO" w:eastAsia="ro-RO"/>
        </w:rPr>
        <w:drawing>
          <wp:inline distT="0" distB="0" distL="0" distR="0">
            <wp:extent cx="5010150" cy="1828800"/>
            <wp:effectExtent l="0" t="0" r="0" b="0"/>
            <wp:docPr id="15"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9"/>
              </a:graphicData>
            </a:graphic>
          </wp:inline>
        </w:drawing>
      </w:r>
    </w:p>
    <w:p w:rsidR="008C1788" w:rsidRPr="00654D79" w:rsidRDefault="00891443" w:rsidP="008C1788">
      <w:pPr>
        <w:jc w:val="center"/>
        <w:rPr>
          <w:rFonts w:ascii="Arial" w:hAnsi="Arial" w:cs="Arial"/>
        </w:rPr>
      </w:pPr>
      <w:r>
        <w:rPr>
          <w:rFonts w:ascii="Arial" w:hAnsi="Arial" w:cs="Arial"/>
        </w:rPr>
        <w:t xml:space="preserve">Fig. I.1.1.1.2. </w:t>
      </w:r>
      <w:r w:rsidR="008C1788" w:rsidRPr="00654D79">
        <w:rPr>
          <w:rFonts w:ascii="Arial" w:hAnsi="Arial" w:cs="Arial"/>
        </w:rPr>
        <w:t>Concentraţia medie</w:t>
      </w:r>
      <w:r w:rsidR="008C1788">
        <w:rPr>
          <w:rFonts w:ascii="Arial" w:hAnsi="Arial" w:cs="Arial"/>
        </w:rPr>
        <w:t xml:space="preserve"> anuală a monoxidului de carbon </w:t>
      </w:r>
      <w:r w:rsidR="008C1788" w:rsidRPr="00654D79">
        <w:rPr>
          <w:rFonts w:ascii="Arial" w:hAnsi="Arial" w:cs="Arial"/>
        </w:rPr>
        <w:t xml:space="preserve">în </w:t>
      </w:r>
      <w:r w:rsidR="008C1788">
        <w:rPr>
          <w:rFonts w:ascii="Arial" w:hAnsi="Arial" w:cs="Arial"/>
        </w:rPr>
        <w:t>2014</w:t>
      </w:r>
    </w:p>
    <w:p w:rsidR="00F07F86" w:rsidRDefault="00F07F86" w:rsidP="00F07F86">
      <w:pPr>
        <w:tabs>
          <w:tab w:val="num" w:pos="0"/>
        </w:tabs>
        <w:rPr>
          <w:rFonts w:ascii="Arial" w:hAnsi="Arial" w:cs="Arial"/>
        </w:rPr>
      </w:pPr>
    </w:p>
    <w:p w:rsidR="008C1788" w:rsidRPr="00654D79" w:rsidRDefault="00F07F86" w:rsidP="00F07F86">
      <w:pPr>
        <w:tabs>
          <w:tab w:val="num" w:pos="0"/>
        </w:tabs>
        <w:rPr>
          <w:rFonts w:ascii="Arial" w:hAnsi="Arial" w:cs="Arial"/>
        </w:rPr>
      </w:pPr>
      <w:r>
        <w:rPr>
          <w:rFonts w:ascii="Arial" w:hAnsi="Arial" w:cs="Arial"/>
        </w:rPr>
        <w:t xml:space="preserve">                    </w:t>
      </w:r>
      <w:r w:rsidR="00891443">
        <w:rPr>
          <w:rFonts w:ascii="Arial" w:hAnsi="Arial" w:cs="Arial"/>
        </w:rPr>
        <w:t>Tabel I.1.1.1.2.</w:t>
      </w:r>
      <w:r w:rsidR="008C1788" w:rsidRPr="00654D79">
        <w:rPr>
          <w:rFonts w:ascii="Arial" w:hAnsi="Arial" w:cs="Arial"/>
        </w:rPr>
        <w:t xml:space="preserve"> </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8C1788" w:rsidRPr="00654D79" w:rsidTr="00CD0BF7">
        <w:trPr>
          <w:jc w:val="center"/>
        </w:trPr>
        <w:tc>
          <w:tcPr>
            <w:tcW w:w="2204" w:type="dxa"/>
          </w:tcPr>
          <w:p w:rsidR="008C1788" w:rsidRPr="00654D79" w:rsidRDefault="008C1788" w:rsidP="00CD0BF7">
            <w:pPr>
              <w:tabs>
                <w:tab w:val="num" w:pos="0"/>
              </w:tabs>
              <w:rPr>
                <w:rFonts w:ascii="Arial" w:hAnsi="Arial" w:cs="Arial"/>
              </w:rPr>
            </w:pPr>
            <w:r w:rsidRPr="00654D79">
              <w:rPr>
                <w:rFonts w:ascii="Arial" w:hAnsi="Arial" w:cs="Arial"/>
                <w:b/>
              </w:rPr>
              <w:t>CO</w:t>
            </w:r>
            <w:r w:rsidRPr="00654D79">
              <w:rPr>
                <w:rFonts w:ascii="Arial" w:hAnsi="Arial" w:cs="Arial"/>
              </w:rPr>
              <w:t xml:space="preserve">    (mg/mc)</w:t>
            </w:r>
          </w:p>
        </w:tc>
        <w:tc>
          <w:tcPr>
            <w:tcW w:w="1080" w:type="dxa"/>
          </w:tcPr>
          <w:p w:rsidR="008C1788" w:rsidRPr="00654D79" w:rsidRDefault="008C1788" w:rsidP="00CD0BF7">
            <w:pPr>
              <w:jc w:val="center"/>
              <w:rPr>
                <w:rFonts w:ascii="Arial" w:hAnsi="Arial" w:cs="Arial"/>
                <w:b/>
              </w:rPr>
            </w:pPr>
            <w:r w:rsidRPr="00654D79">
              <w:rPr>
                <w:rFonts w:ascii="Arial" w:hAnsi="Arial" w:cs="Arial"/>
                <w:b/>
              </w:rPr>
              <w:t>Br1</w:t>
            </w:r>
          </w:p>
        </w:tc>
        <w:tc>
          <w:tcPr>
            <w:tcW w:w="1167" w:type="dxa"/>
          </w:tcPr>
          <w:p w:rsidR="008C1788" w:rsidRPr="00654D79" w:rsidRDefault="008C1788" w:rsidP="00CD0BF7">
            <w:pPr>
              <w:jc w:val="center"/>
              <w:rPr>
                <w:rFonts w:ascii="Arial" w:hAnsi="Arial" w:cs="Arial"/>
                <w:b/>
              </w:rPr>
            </w:pPr>
            <w:r w:rsidRPr="00654D79">
              <w:rPr>
                <w:rFonts w:ascii="Arial" w:hAnsi="Arial" w:cs="Arial"/>
                <w:b/>
              </w:rPr>
              <w:t>Br2</w:t>
            </w:r>
          </w:p>
        </w:tc>
        <w:tc>
          <w:tcPr>
            <w:tcW w:w="1029" w:type="dxa"/>
          </w:tcPr>
          <w:p w:rsidR="008C1788" w:rsidRPr="00654D79" w:rsidRDefault="008C1788" w:rsidP="00CD0BF7">
            <w:pPr>
              <w:jc w:val="center"/>
              <w:rPr>
                <w:rFonts w:ascii="Arial" w:hAnsi="Arial" w:cs="Arial"/>
                <w:b/>
              </w:rPr>
            </w:pPr>
            <w:r w:rsidRPr="00654D79">
              <w:rPr>
                <w:rFonts w:ascii="Arial" w:hAnsi="Arial" w:cs="Arial"/>
                <w:b/>
              </w:rPr>
              <w:t>Br3</w:t>
            </w:r>
          </w:p>
        </w:tc>
        <w:tc>
          <w:tcPr>
            <w:tcW w:w="951" w:type="dxa"/>
          </w:tcPr>
          <w:p w:rsidR="008C1788" w:rsidRPr="00654D79" w:rsidRDefault="008C1788" w:rsidP="00CD0BF7">
            <w:pPr>
              <w:jc w:val="center"/>
              <w:rPr>
                <w:rFonts w:ascii="Arial" w:hAnsi="Arial" w:cs="Arial"/>
                <w:b/>
              </w:rPr>
            </w:pPr>
            <w:r w:rsidRPr="00654D79">
              <w:rPr>
                <w:rFonts w:ascii="Arial" w:hAnsi="Arial" w:cs="Arial"/>
                <w:b/>
              </w:rPr>
              <w:t>Br4</w:t>
            </w:r>
          </w:p>
        </w:tc>
        <w:tc>
          <w:tcPr>
            <w:tcW w:w="1101" w:type="dxa"/>
          </w:tcPr>
          <w:p w:rsidR="008C1788" w:rsidRPr="00654D79" w:rsidRDefault="008C1788" w:rsidP="00CD0BF7">
            <w:pPr>
              <w:jc w:val="center"/>
              <w:rPr>
                <w:rFonts w:ascii="Arial" w:hAnsi="Arial" w:cs="Arial"/>
                <w:b/>
              </w:rPr>
            </w:pPr>
            <w:r w:rsidRPr="00654D79">
              <w:rPr>
                <w:rFonts w:ascii="Arial" w:hAnsi="Arial" w:cs="Arial"/>
                <w:b/>
              </w:rPr>
              <w:t>Br5</w:t>
            </w:r>
          </w:p>
        </w:tc>
      </w:tr>
      <w:tr w:rsidR="008C1788" w:rsidRPr="00654D79" w:rsidTr="00CD0BF7">
        <w:trPr>
          <w:jc w:val="center"/>
        </w:trPr>
        <w:tc>
          <w:tcPr>
            <w:tcW w:w="2204" w:type="dxa"/>
          </w:tcPr>
          <w:p w:rsidR="008C1788" w:rsidRDefault="008C1788" w:rsidP="00CD0BF7">
            <w:pPr>
              <w:tabs>
                <w:tab w:val="num" w:pos="0"/>
              </w:tabs>
              <w:rPr>
                <w:rFonts w:ascii="Arial" w:hAnsi="Arial" w:cs="Arial"/>
              </w:rPr>
            </w:pPr>
            <w:bookmarkStart w:id="0" w:name="_Hlk257118188"/>
            <w:r>
              <w:rPr>
                <w:rFonts w:ascii="Arial" w:hAnsi="Arial" w:cs="Arial"/>
              </w:rPr>
              <w:t>2014 Medii anuale</w:t>
            </w:r>
          </w:p>
        </w:tc>
        <w:tc>
          <w:tcPr>
            <w:tcW w:w="1080" w:type="dxa"/>
          </w:tcPr>
          <w:p w:rsidR="008C1788" w:rsidRDefault="008C1788" w:rsidP="00CD0BF7">
            <w:pPr>
              <w:jc w:val="center"/>
              <w:rPr>
                <w:rFonts w:ascii="Arial" w:hAnsi="Arial" w:cs="Arial"/>
              </w:rPr>
            </w:pPr>
            <w:r>
              <w:rPr>
                <w:rFonts w:ascii="Arial" w:hAnsi="Arial" w:cs="Arial"/>
              </w:rPr>
              <w:t>-</w:t>
            </w:r>
          </w:p>
        </w:tc>
        <w:tc>
          <w:tcPr>
            <w:tcW w:w="1167" w:type="dxa"/>
            <w:vAlign w:val="bottom"/>
          </w:tcPr>
          <w:p w:rsidR="008C1788" w:rsidRPr="0086774B" w:rsidRDefault="008C1788" w:rsidP="00CD0BF7">
            <w:pPr>
              <w:jc w:val="center"/>
              <w:rPr>
                <w:rFonts w:ascii="Arial" w:hAnsi="Arial" w:cs="Arial"/>
                <w:bCs/>
              </w:rPr>
            </w:pPr>
            <w:r w:rsidRPr="0086774B">
              <w:rPr>
                <w:rFonts w:ascii="Arial" w:hAnsi="Arial" w:cs="Arial"/>
                <w:bCs/>
              </w:rPr>
              <w:t>0,22</w:t>
            </w:r>
          </w:p>
        </w:tc>
        <w:tc>
          <w:tcPr>
            <w:tcW w:w="1029" w:type="dxa"/>
            <w:vAlign w:val="bottom"/>
          </w:tcPr>
          <w:p w:rsidR="008C1788" w:rsidRPr="0086774B" w:rsidRDefault="008C1788" w:rsidP="00CD0BF7">
            <w:pPr>
              <w:jc w:val="center"/>
              <w:rPr>
                <w:rFonts w:ascii="Arial" w:hAnsi="Arial" w:cs="Arial"/>
                <w:bCs/>
              </w:rPr>
            </w:pPr>
            <w:r w:rsidRPr="0086774B">
              <w:rPr>
                <w:rFonts w:ascii="Arial" w:hAnsi="Arial" w:cs="Arial"/>
                <w:bCs/>
              </w:rPr>
              <w:t>0,21</w:t>
            </w:r>
          </w:p>
        </w:tc>
        <w:tc>
          <w:tcPr>
            <w:tcW w:w="951" w:type="dxa"/>
            <w:vAlign w:val="bottom"/>
          </w:tcPr>
          <w:p w:rsidR="008C1788" w:rsidRPr="0086774B" w:rsidRDefault="008C1788" w:rsidP="00CD0BF7">
            <w:pPr>
              <w:jc w:val="center"/>
              <w:rPr>
                <w:rFonts w:ascii="Arial" w:hAnsi="Arial" w:cs="Arial"/>
                <w:bCs/>
              </w:rPr>
            </w:pPr>
            <w:r w:rsidRPr="0086774B">
              <w:rPr>
                <w:rFonts w:ascii="Arial" w:hAnsi="Arial" w:cs="Arial"/>
                <w:bCs/>
              </w:rPr>
              <w:t>0,11</w:t>
            </w:r>
          </w:p>
        </w:tc>
        <w:tc>
          <w:tcPr>
            <w:tcW w:w="1101" w:type="dxa"/>
            <w:vAlign w:val="bottom"/>
          </w:tcPr>
          <w:p w:rsidR="008C1788" w:rsidRPr="0086774B" w:rsidRDefault="008C1788" w:rsidP="00CD0BF7">
            <w:pPr>
              <w:jc w:val="center"/>
              <w:rPr>
                <w:rFonts w:ascii="Arial" w:hAnsi="Arial" w:cs="Arial"/>
                <w:bCs/>
              </w:rPr>
            </w:pPr>
            <w:r w:rsidRPr="0086774B">
              <w:rPr>
                <w:rFonts w:ascii="Arial" w:hAnsi="Arial" w:cs="Arial"/>
                <w:bCs/>
              </w:rPr>
              <w:t>0,05</w:t>
            </w:r>
          </w:p>
        </w:tc>
      </w:tr>
      <w:bookmarkEnd w:id="0"/>
    </w:tbl>
    <w:p w:rsidR="008C1788" w:rsidRDefault="008C1788" w:rsidP="008C1788">
      <w:pPr>
        <w:spacing w:before="120"/>
        <w:ind w:firstLine="720"/>
        <w:jc w:val="both"/>
        <w:rPr>
          <w:rFonts w:ascii="Arial" w:hAnsi="Arial" w:cs="Arial"/>
        </w:rPr>
      </w:pPr>
    </w:p>
    <w:p w:rsidR="008C1788" w:rsidRPr="00654D79" w:rsidRDefault="008C1788" w:rsidP="00757CB6">
      <w:pPr>
        <w:spacing w:before="120"/>
        <w:jc w:val="both"/>
        <w:rPr>
          <w:rFonts w:ascii="Arial" w:hAnsi="Arial" w:cs="Arial"/>
        </w:rPr>
      </w:pPr>
      <w:r w:rsidRPr="00654D79">
        <w:rPr>
          <w:rFonts w:ascii="Arial" w:hAnsi="Arial" w:cs="Arial"/>
        </w:rPr>
        <w:t>Mediile anuale înregistrate în anul 201</w:t>
      </w:r>
      <w:r>
        <w:rPr>
          <w:rFonts w:ascii="Arial" w:hAnsi="Arial" w:cs="Arial"/>
        </w:rPr>
        <w:t>4</w:t>
      </w:r>
      <w:r w:rsidRPr="00654D79">
        <w:rPr>
          <w:rFonts w:ascii="Arial" w:hAnsi="Arial" w:cs="Arial"/>
        </w:rPr>
        <w:t xml:space="preserve"> nu au prezentat valori maxime zilnice a mediilor pe 8 ore care să depăşească valoarea limită de 10 mg/mc, admisă de către </w:t>
      </w:r>
      <w:r>
        <w:rPr>
          <w:rFonts w:ascii="Arial" w:hAnsi="Arial" w:cs="Arial"/>
        </w:rPr>
        <w:t>Legea</w:t>
      </w:r>
      <w:r w:rsidRPr="00654D79">
        <w:rPr>
          <w:rFonts w:ascii="Arial" w:hAnsi="Arial" w:cs="Arial"/>
        </w:rPr>
        <w:t xml:space="preserve"> </w:t>
      </w:r>
      <w:r>
        <w:rPr>
          <w:rFonts w:ascii="Arial" w:hAnsi="Arial" w:cs="Arial"/>
        </w:rPr>
        <w:t>104</w:t>
      </w:r>
      <w:r w:rsidRPr="00654D79">
        <w:rPr>
          <w:rFonts w:ascii="Arial" w:hAnsi="Arial" w:cs="Arial"/>
        </w:rPr>
        <w:t>/20</w:t>
      </w:r>
      <w:r>
        <w:rPr>
          <w:rFonts w:ascii="Arial" w:hAnsi="Arial" w:cs="Arial"/>
        </w:rPr>
        <w:t>11</w:t>
      </w:r>
      <w:r w:rsidRPr="00654D79">
        <w:rPr>
          <w:rFonts w:ascii="Arial" w:hAnsi="Arial" w:cs="Arial"/>
        </w:rPr>
        <w:t>.</w:t>
      </w:r>
    </w:p>
    <w:p w:rsidR="008C1788" w:rsidRDefault="0010606C" w:rsidP="00622ABA">
      <w:pPr>
        <w:tabs>
          <w:tab w:val="num" w:pos="0"/>
        </w:tabs>
        <w:jc w:val="both"/>
        <w:rPr>
          <w:rFonts w:ascii="Arial" w:hAnsi="Arial" w:cs="Arial"/>
          <w:b/>
          <w:lang w:val="ro-RO"/>
        </w:rPr>
      </w:pPr>
      <w:r w:rsidRPr="0010606C">
        <w:rPr>
          <w:rFonts w:ascii="Arial" w:eastAsia="Times New Roman" w:hAnsi="Arial" w:cs="Arial"/>
          <w:color w:val="000000"/>
          <w:lang w:val="ro-RO" w:eastAsia="ro-RO"/>
        </w:rPr>
        <w:t xml:space="preserve">Conform datelor din tabelul </w:t>
      </w:r>
      <w:r>
        <w:rPr>
          <w:rFonts w:ascii="Arial" w:eastAsia="Times New Roman" w:hAnsi="Arial" w:cs="Arial"/>
          <w:color w:val="000000"/>
          <w:lang w:val="ro-RO" w:eastAsia="ro-RO"/>
        </w:rPr>
        <w:t xml:space="preserve">anterior </w:t>
      </w:r>
      <w:r w:rsidR="007E0583">
        <w:rPr>
          <w:rFonts w:ascii="Arial" w:eastAsia="Times New Roman" w:hAnsi="Arial" w:cs="Arial"/>
          <w:color w:val="000000"/>
          <w:lang w:val="ro-RO" w:eastAsia="ro-RO"/>
        </w:rPr>
        <w:t xml:space="preserve"> </w:t>
      </w:r>
      <w:r w:rsidRPr="0010606C">
        <w:rPr>
          <w:rFonts w:ascii="Arial" w:eastAsia="Times New Roman" w:hAnsi="Arial" w:cs="Arial"/>
          <w:color w:val="000000"/>
          <w:lang w:val="ro-RO" w:eastAsia="ro-RO"/>
        </w:rPr>
        <w:t>se observă că valorile concentraţiilor medii anuale înregistrate la cele cinci staţii de monitorizare din aglomerarea Br</w:t>
      </w:r>
      <w:r>
        <w:rPr>
          <w:rFonts w:ascii="Arial" w:eastAsia="Times New Roman" w:hAnsi="Arial" w:cs="Arial"/>
          <w:color w:val="000000"/>
          <w:lang w:val="ro-RO" w:eastAsia="ro-RO"/>
        </w:rPr>
        <w:t>ăila</w:t>
      </w:r>
      <w:r w:rsidRPr="0010606C">
        <w:rPr>
          <w:rFonts w:ascii="Arial" w:eastAsia="Times New Roman" w:hAnsi="Arial" w:cs="Arial"/>
          <w:color w:val="000000"/>
          <w:lang w:val="ro-RO" w:eastAsia="ro-RO"/>
        </w:rPr>
        <w:t xml:space="preserve"> sunt mici, monoxidul de carbon nefiind un motiv de îngrijorare pentru sănătatea populaţiei din aglomerarea Br</w:t>
      </w:r>
      <w:r w:rsidR="00364AA0">
        <w:rPr>
          <w:rFonts w:ascii="Arial" w:eastAsia="Times New Roman" w:hAnsi="Arial" w:cs="Arial"/>
          <w:color w:val="000000"/>
          <w:lang w:val="ro-RO" w:eastAsia="ro-RO"/>
        </w:rPr>
        <w:t>ăila</w:t>
      </w:r>
      <w:r w:rsidRPr="0010606C">
        <w:rPr>
          <w:rFonts w:ascii="Arial" w:eastAsia="Times New Roman" w:hAnsi="Arial" w:cs="Arial"/>
          <w:color w:val="000000"/>
          <w:lang w:val="ro-RO" w:eastAsia="ro-RO"/>
        </w:rPr>
        <w:t>.</w:t>
      </w:r>
      <w:r w:rsidR="008C1788">
        <w:rPr>
          <w:rFonts w:ascii="Arial" w:hAnsi="Arial" w:cs="Arial"/>
          <w:b/>
          <w:lang w:val="ro-RO"/>
        </w:rPr>
        <w:tab/>
      </w:r>
    </w:p>
    <w:p w:rsidR="00DE3CDE" w:rsidRDefault="00DE3CDE" w:rsidP="00622ABA">
      <w:pPr>
        <w:tabs>
          <w:tab w:val="num" w:pos="0"/>
        </w:tabs>
        <w:ind w:firstLine="720"/>
        <w:jc w:val="both"/>
        <w:rPr>
          <w:rFonts w:ascii="Arial" w:hAnsi="Arial" w:cs="Arial"/>
          <w:b/>
        </w:rPr>
      </w:pPr>
    </w:p>
    <w:p w:rsidR="008C1788" w:rsidRDefault="008C1788" w:rsidP="00757CB6">
      <w:pPr>
        <w:tabs>
          <w:tab w:val="num" w:pos="0"/>
        </w:tabs>
        <w:rPr>
          <w:rFonts w:ascii="Arial" w:hAnsi="Arial" w:cs="Arial"/>
          <w:b/>
        </w:rPr>
      </w:pPr>
      <w:r w:rsidRPr="00654D79">
        <w:rPr>
          <w:rFonts w:ascii="Arial" w:hAnsi="Arial" w:cs="Arial"/>
          <w:b/>
        </w:rPr>
        <w:t xml:space="preserve">Ozon </w:t>
      </w:r>
    </w:p>
    <w:p w:rsidR="009717FC" w:rsidRPr="009717FC" w:rsidRDefault="009717FC" w:rsidP="00757CB6">
      <w:pPr>
        <w:tabs>
          <w:tab w:val="num" w:pos="0"/>
        </w:tabs>
        <w:jc w:val="both"/>
        <w:rPr>
          <w:rFonts w:ascii="Arial" w:hAnsi="Arial" w:cs="Arial"/>
          <w:b/>
        </w:rPr>
      </w:pPr>
      <w:r w:rsidRPr="009717FC">
        <w:rPr>
          <w:rFonts w:ascii="Arial" w:hAnsi="Arial" w:cs="Arial"/>
        </w:rPr>
        <w:t>Formarea ozonului fotochimic depinde de condiţiile meteorologice şi de concentraţiile de oxizi de azot şi compuşi organici volatili. Concentraţia ozonului în zona urbană,</w:t>
      </w:r>
      <w:r w:rsidR="007E0583">
        <w:rPr>
          <w:rFonts w:ascii="Arial" w:hAnsi="Arial" w:cs="Arial"/>
        </w:rPr>
        <w:t xml:space="preserve"> </w:t>
      </w:r>
      <w:r w:rsidRPr="009717FC">
        <w:rPr>
          <w:rFonts w:ascii="Arial" w:hAnsi="Arial" w:cs="Arial"/>
        </w:rPr>
        <w:t>unde se emit în general cantităţi mai mari de NOx, este mai mică decât în zona rurală, ca urmare a reacţiei O</w:t>
      </w:r>
      <w:r w:rsidRPr="007E0583">
        <w:rPr>
          <w:rFonts w:ascii="Arial" w:hAnsi="Arial" w:cs="Arial"/>
          <w:vertAlign w:val="subscript"/>
        </w:rPr>
        <w:t>3</w:t>
      </w:r>
      <w:r w:rsidRPr="009717FC">
        <w:rPr>
          <w:rFonts w:ascii="Arial" w:hAnsi="Arial" w:cs="Arial"/>
        </w:rPr>
        <w:t xml:space="preserve"> cu NO emis, în principal, din traficul rutier. Astfel în zona rurală, datorită traficului redus şi a concentraţiei scăzute de NO concentraţia de ozon este mai ridicată, un număr mai mic de persoane fiind expus (SOER 2010 – Air poluation).</w:t>
      </w:r>
    </w:p>
    <w:p w:rsidR="008C1788" w:rsidRPr="009717FC" w:rsidRDefault="008C1788" w:rsidP="008C1788">
      <w:pPr>
        <w:tabs>
          <w:tab w:val="num" w:pos="0"/>
        </w:tabs>
        <w:ind w:firstLine="720"/>
        <w:rPr>
          <w:rFonts w:ascii="Arial" w:hAnsi="Arial" w:cs="Arial"/>
        </w:rPr>
      </w:pPr>
    </w:p>
    <w:p w:rsidR="008C1788" w:rsidRDefault="008C1788" w:rsidP="00622ABA">
      <w:pPr>
        <w:tabs>
          <w:tab w:val="num" w:pos="0"/>
        </w:tabs>
        <w:ind w:firstLine="720"/>
        <w:jc w:val="center"/>
        <w:rPr>
          <w:rFonts w:ascii="Arial" w:hAnsi="Arial" w:cs="Arial"/>
        </w:rPr>
      </w:pPr>
      <w:r>
        <w:rPr>
          <w:rFonts w:ascii="Arial" w:hAnsi="Arial" w:cs="Arial"/>
          <w:noProof/>
          <w:lang w:val="ro-RO" w:eastAsia="ro-RO"/>
        </w:rPr>
        <w:drawing>
          <wp:inline distT="0" distB="0" distL="0" distR="0">
            <wp:extent cx="5067300" cy="1847850"/>
            <wp:effectExtent l="0" t="0" r="0" b="0"/>
            <wp:docPr id="16"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
              </a:graphicData>
            </a:graphic>
          </wp:inline>
        </w:drawing>
      </w:r>
    </w:p>
    <w:p w:rsidR="008C1788" w:rsidRPr="00654D79" w:rsidRDefault="00891443" w:rsidP="00191E0E">
      <w:pPr>
        <w:tabs>
          <w:tab w:val="num" w:pos="0"/>
        </w:tabs>
        <w:ind w:firstLine="720"/>
        <w:jc w:val="center"/>
        <w:rPr>
          <w:rFonts w:ascii="Arial" w:hAnsi="Arial" w:cs="Arial"/>
          <w:b/>
        </w:rPr>
      </w:pPr>
      <w:r>
        <w:rPr>
          <w:rFonts w:ascii="Arial" w:hAnsi="Arial" w:cs="Arial"/>
        </w:rPr>
        <w:t xml:space="preserve">Fig. I.1.1.1.3. </w:t>
      </w:r>
      <w:r w:rsidR="008C1788" w:rsidRPr="00654D79">
        <w:rPr>
          <w:rFonts w:ascii="Arial" w:hAnsi="Arial" w:cs="Arial"/>
        </w:rPr>
        <w:t xml:space="preserve">Concentraţia medie anuală de ozon în </w:t>
      </w:r>
      <w:r w:rsidR="008C1788">
        <w:rPr>
          <w:rFonts w:ascii="Arial" w:hAnsi="Arial" w:cs="Arial"/>
        </w:rPr>
        <w:t>2014</w:t>
      </w:r>
    </w:p>
    <w:p w:rsidR="008C1788" w:rsidRPr="00654D79" w:rsidRDefault="008C1788" w:rsidP="008C1788">
      <w:pPr>
        <w:tabs>
          <w:tab w:val="num" w:pos="0"/>
        </w:tabs>
        <w:ind w:firstLine="720"/>
        <w:rPr>
          <w:rFonts w:ascii="Arial" w:hAnsi="Arial" w:cs="Arial"/>
        </w:rPr>
      </w:pPr>
    </w:p>
    <w:p w:rsidR="008C1788" w:rsidRPr="00654D79" w:rsidRDefault="00DA6B17" w:rsidP="00DA6B17">
      <w:pPr>
        <w:tabs>
          <w:tab w:val="num" w:pos="0"/>
        </w:tabs>
        <w:ind w:firstLine="720"/>
        <w:rPr>
          <w:rFonts w:ascii="Arial" w:hAnsi="Arial" w:cs="Arial"/>
        </w:rPr>
      </w:pPr>
      <w:r>
        <w:rPr>
          <w:rFonts w:ascii="Arial" w:hAnsi="Arial" w:cs="Arial"/>
        </w:rPr>
        <w:t xml:space="preserve">              </w:t>
      </w:r>
      <w:r w:rsidR="00891443">
        <w:rPr>
          <w:rFonts w:ascii="Arial" w:hAnsi="Arial" w:cs="Arial"/>
        </w:rPr>
        <w:t>Tabel I.1.1.1.3.</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8C1788" w:rsidRPr="00654D79" w:rsidTr="00CD0BF7">
        <w:tc>
          <w:tcPr>
            <w:tcW w:w="2194" w:type="dxa"/>
          </w:tcPr>
          <w:p w:rsidR="008C1788" w:rsidRPr="00654D79" w:rsidRDefault="008C1788" w:rsidP="00CD0BF7">
            <w:pPr>
              <w:tabs>
                <w:tab w:val="num" w:pos="0"/>
              </w:tabs>
              <w:spacing w:before="100" w:beforeAutospacing="1" w:after="100" w:afterAutospacing="1"/>
              <w:jc w:val="center"/>
              <w:rPr>
                <w:rFonts w:ascii="Arial" w:hAnsi="Arial" w:cs="Arial"/>
              </w:rPr>
            </w:pPr>
            <w:r w:rsidRPr="00654D79">
              <w:rPr>
                <w:rFonts w:ascii="Arial" w:hAnsi="Arial" w:cs="Arial"/>
                <w:b/>
              </w:rPr>
              <w:t>O</w:t>
            </w:r>
            <w:r w:rsidRPr="00B36CDA">
              <w:rPr>
                <w:rFonts w:ascii="Arial" w:hAnsi="Arial" w:cs="Arial"/>
                <w:b/>
                <w:vertAlign w:val="subscript"/>
              </w:rPr>
              <w:t>3</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1080" w:type="dxa"/>
          </w:tcPr>
          <w:p w:rsidR="008C1788" w:rsidRPr="00654D79" w:rsidRDefault="008C1788" w:rsidP="00CD0BF7">
            <w:pPr>
              <w:spacing w:before="100" w:beforeAutospacing="1" w:after="100" w:afterAutospacing="1"/>
              <w:jc w:val="center"/>
              <w:rPr>
                <w:rFonts w:ascii="Arial" w:hAnsi="Arial" w:cs="Arial"/>
                <w:b/>
              </w:rPr>
            </w:pPr>
            <w:r w:rsidRPr="00654D79">
              <w:rPr>
                <w:rFonts w:ascii="Arial" w:hAnsi="Arial" w:cs="Arial"/>
                <w:b/>
              </w:rPr>
              <w:t>Br2</w:t>
            </w:r>
          </w:p>
        </w:tc>
        <w:tc>
          <w:tcPr>
            <w:tcW w:w="1080" w:type="dxa"/>
          </w:tcPr>
          <w:p w:rsidR="008C1788" w:rsidRPr="00654D79" w:rsidRDefault="008C1788" w:rsidP="00CD0BF7">
            <w:pPr>
              <w:spacing w:before="100" w:beforeAutospacing="1" w:after="100" w:afterAutospacing="1"/>
              <w:jc w:val="center"/>
              <w:rPr>
                <w:rFonts w:ascii="Arial" w:hAnsi="Arial" w:cs="Arial"/>
                <w:b/>
              </w:rPr>
            </w:pPr>
            <w:r w:rsidRPr="00654D79">
              <w:rPr>
                <w:rFonts w:ascii="Arial" w:hAnsi="Arial" w:cs="Arial"/>
                <w:b/>
              </w:rPr>
              <w:t>Br3</w:t>
            </w:r>
          </w:p>
        </w:tc>
        <w:tc>
          <w:tcPr>
            <w:tcW w:w="1167" w:type="dxa"/>
          </w:tcPr>
          <w:p w:rsidR="008C1788" w:rsidRPr="00654D79" w:rsidRDefault="008C1788" w:rsidP="00CD0BF7">
            <w:pPr>
              <w:spacing w:before="100" w:beforeAutospacing="1" w:after="100" w:afterAutospacing="1"/>
              <w:jc w:val="center"/>
              <w:rPr>
                <w:rFonts w:ascii="Arial" w:hAnsi="Arial" w:cs="Arial"/>
                <w:b/>
              </w:rPr>
            </w:pPr>
            <w:r w:rsidRPr="00654D79">
              <w:rPr>
                <w:rFonts w:ascii="Arial" w:hAnsi="Arial" w:cs="Arial"/>
                <w:b/>
              </w:rPr>
              <w:t>Br4</w:t>
            </w:r>
          </w:p>
        </w:tc>
        <w:tc>
          <w:tcPr>
            <w:tcW w:w="1265" w:type="dxa"/>
          </w:tcPr>
          <w:p w:rsidR="008C1788" w:rsidRPr="00654D79" w:rsidRDefault="008C1788" w:rsidP="00CD0BF7">
            <w:pPr>
              <w:spacing w:before="100" w:beforeAutospacing="1" w:after="100" w:afterAutospacing="1"/>
              <w:jc w:val="center"/>
              <w:rPr>
                <w:rFonts w:ascii="Arial" w:hAnsi="Arial" w:cs="Arial"/>
                <w:b/>
              </w:rPr>
            </w:pPr>
            <w:r w:rsidRPr="00654D79">
              <w:rPr>
                <w:rFonts w:ascii="Arial" w:hAnsi="Arial" w:cs="Arial"/>
                <w:b/>
              </w:rPr>
              <w:t>Br5</w:t>
            </w:r>
          </w:p>
        </w:tc>
      </w:tr>
      <w:tr w:rsidR="008C1788" w:rsidRPr="00654D79" w:rsidTr="00CD0BF7">
        <w:tc>
          <w:tcPr>
            <w:tcW w:w="2194" w:type="dxa"/>
          </w:tcPr>
          <w:p w:rsidR="008C1788" w:rsidRDefault="008C1788" w:rsidP="00CD0BF7">
            <w:pPr>
              <w:tabs>
                <w:tab w:val="num" w:pos="0"/>
              </w:tabs>
              <w:spacing w:before="100" w:beforeAutospacing="1" w:after="100" w:afterAutospacing="1"/>
              <w:jc w:val="center"/>
              <w:rPr>
                <w:rFonts w:ascii="Arial" w:hAnsi="Arial" w:cs="Arial"/>
              </w:rPr>
            </w:pPr>
            <w:r>
              <w:rPr>
                <w:rFonts w:ascii="Arial" w:hAnsi="Arial" w:cs="Arial"/>
              </w:rPr>
              <w:t>2014 Medii anuale</w:t>
            </w:r>
          </w:p>
        </w:tc>
        <w:tc>
          <w:tcPr>
            <w:tcW w:w="1080" w:type="dxa"/>
          </w:tcPr>
          <w:p w:rsidR="008C1788" w:rsidRDefault="008C1788" w:rsidP="00CD0BF7">
            <w:pPr>
              <w:spacing w:before="100" w:beforeAutospacing="1" w:after="100" w:afterAutospacing="1"/>
              <w:jc w:val="center"/>
              <w:rPr>
                <w:rFonts w:ascii="Arial" w:hAnsi="Arial" w:cs="Arial"/>
              </w:rPr>
            </w:pPr>
            <w:r>
              <w:rPr>
                <w:rFonts w:ascii="Arial" w:hAnsi="Arial" w:cs="Arial"/>
              </w:rPr>
              <w:t>23,02</w:t>
            </w:r>
          </w:p>
        </w:tc>
        <w:tc>
          <w:tcPr>
            <w:tcW w:w="1080" w:type="dxa"/>
          </w:tcPr>
          <w:p w:rsidR="008C1788" w:rsidRDefault="008C1788" w:rsidP="00CD0BF7">
            <w:pPr>
              <w:spacing w:before="100" w:beforeAutospacing="1" w:after="100" w:afterAutospacing="1"/>
              <w:jc w:val="center"/>
              <w:rPr>
                <w:rFonts w:ascii="Arial" w:hAnsi="Arial" w:cs="Arial"/>
              </w:rPr>
            </w:pPr>
            <w:r>
              <w:rPr>
                <w:rFonts w:ascii="Arial" w:hAnsi="Arial" w:cs="Arial"/>
              </w:rPr>
              <w:t>-</w:t>
            </w:r>
          </w:p>
        </w:tc>
        <w:tc>
          <w:tcPr>
            <w:tcW w:w="1167" w:type="dxa"/>
          </w:tcPr>
          <w:p w:rsidR="008C1788" w:rsidRDefault="008C1788" w:rsidP="00CD0BF7">
            <w:pPr>
              <w:spacing w:before="100" w:beforeAutospacing="1" w:after="100" w:afterAutospacing="1"/>
              <w:jc w:val="center"/>
              <w:rPr>
                <w:rFonts w:ascii="Arial" w:hAnsi="Arial" w:cs="Arial"/>
              </w:rPr>
            </w:pPr>
            <w:r>
              <w:rPr>
                <w:rFonts w:ascii="Arial" w:hAnsi="Arial" w:cs="Arial"/>
              </w:rPr>
              <w:t>29,23</w:t>
            </w:r>
          </w:p>
        </w:tc>
        <w:tc>
          <w:tcPr>
            <w:tcW w:w="1265" w:type="dxa"/>
          </w:tcPr>
          <w:p w:rsidR="008C1788" w:rsidRDefault="008C1788" w:rsidP="00CD0BF7">
            <w:pPr>
              <w:spacing w:before="100" w:beforeAutospacing="1" w:after="100" w:afterAutospacing="1"/>
              <w:jc w:val="center"/>
              <w:rPr>
                <w:rFonts w:ascii="Arial" w:hAnsi="Arial" w:cs="Arial"/>
              </w:rPr>
            </w:pPr>
            <w:r>
              <w:rPr>
                <w:rFonts w:ascii="Arial" w:hAnsi="Arial" w:cs="Arial"/>
              </w:rPr>
              <w:t>67,24</w:t>
            </w:r>
          </w:p>
        </w:tc>
      </w:tr>
    </w:tbl>
    <w:p w:rsidR="008C1788" w:rsidRPr="00654D79" w:rsidRDefault="008C1788" w:rsidP="008C1788">
      <w:pPr>
        <w:tabs>
          <w:tab w:val="num" w:pos="0"/>
        </w:tabs>
        <w:ind w:firstLine="720"/>
        <w:jc w:val="both"/>
        <w:rPr>
          <w:rFonts w:ascii="Arial" w:hAnsi="Arial" w:cs="Arial"/>
        </w:rPr>
      </w:pPr>
    </w:p>
    <w:p w:rsidR="008C1788" w:rsidRPr="00654D79" w:rsidRDefault="008C1788" w:rsidP="008C1788">
      <w:pPr>
        <w:tabs>
          <w:tab w:val="num" w:pos="0"/>
        </w:tabs>
        <w:ind w:firstLine="720"/>
        <w:jc w:val="both"/>
        <w:rPr>
          <w:rFonts w:ascii="Arial" w:hAnsi="Arial" w:cs="Arial"/>
        </w:rPr>
      </w:pPr>
    </w:p>
    <w:p w:rsidR="008C1788" w:rsidRPr="00654D79" w:rsidRDefault="008C1788" w:rsidP="008C1788">
      <w:pPr>
        <w:tabs>
          <w:tab w:val="num" w:pos="0"/>
        </w:tabs>
        <w:ind w:firstLine="720"/>
        <w:jc w:val="both"/>
        <w:rPr>
          <w:rFonts w:ascii="Arial" w:hAnsi="Arial" w:cs="Arial"/>
        </w:rPr>
      </w:pPr>
    </w:p>
    <w:p w:rsidR="008C1788" w:rsidRDefault="008C1788" w:rsidP="0005468F">
      <w:pPr>
        <w:tabs>
          <w:tab w:val="num" w:pos="0"/>
        </w:tabs>
        <w:jc w:val="both"/>
        <w:rPr>
          <w:rFonts w:ascii="Arial" w:hAnsi="Arial" w:cs="Arial"/>
          <w:b/>
          <w:lang w:val="ro-RO"/>
        </w:rPr>
      </w:pPr>
      <w:r w:rsidRPr="00896327">
        <w:rPr>
          <w:rFonts w:ascii="Arial" w:hAnsi="Arial" w:cs="Arial"/>
        </w:rPr>
        <w:t>Valorile orare pentru ozon au fost mai mici decât pragul de alertă (240 μg/mc - medie orară), precum şi faţă de pragul de informare (180 μg/mc - medie orară). De asemenea, concentraţiile maxime a mediilor pe opt ore au fost sub obiectivul pe termen lung pentru protecţia sănătăţii umane şi respectiv valoarea ţintă pentru anul 201</w:t>
      </w:r>
      <w:r>
        <w:rPr>
          <w:rFonts w:ascii="Arial" w:hAnsi="Arial" w:cs="Arial"/>
        </w:rPr>
        <w:t>4</w:t>
      </w:r>
      <w:r w:rsidRPr="00896327">
        <w:rPr>
          <w:rFonts w:ascii="Arial" w:hAnsi="Arial" w:cs="Arial"/>
        </w:rPr>
        <w:t xml:space="preserve"> (120 </w:t>
      </w:r>
      <w:r w:rsidRPr="00896327">
        <w:rPr>
          <w:rFonts w:ascii="Arial" w:hAnsi="Arial" w:cs="Arial"/>
        </w:rPr>
        <w:sym w:font="Symbol" w:char="F06D"/>
      </w:r>
      <w:r w:rsidRPr="00896327">
        <w:rPr>
          <w:rFonts w:ascii="Arial" w:hAnsi="Arial" w:cs="Arial"/>
        </w:rPr>
        <w:t>g/mc).</w:t>
      </w:r>
    </w:p>
    <w:p w:rsidR="008C1788" w:rsidRDefault="008C1788" w:rsidP="008C1788">
      <w:pPr>
        <w:tabs>
          <w:tab w:val="num" w:pos="0"/>
        </w:tabs>
        <w:rPr>
          <w:rFonts w:ascii="Arial" w:hAnsi="Arial" w:cs="Arial"/>
          <w:b/>
          <w:lang w:val="ro-RO"/>
        </w:rPr>
      </w:pPr>
    </w:p>
    <w:p w:rsidR="008C1788" w:rsidRDefault="008C1788" w:rsidP="008C1788">
      <w:pPr>
        <w:tabs>
          <w:tab w:val="num" w:pos="0"/>
        </w:tabs>
        <w:rPr>
          <w:rFonts w:ascii="Arial" w:hAnsi="Arial" w:cs="Arial"/>
          <w:b/>
        </w:rPr>
      </w:pPr>
      <w:r w:rsidRPr="00BF20E8">
        <w:rPr>
          <w:rFonts w:ascii="Arial" w:hAnsi="Arial" w:cs="Arial"/>
          <w:b/>
          <w:lang w:val="ro-RO"/>
        </w:rPr>
        <w:t>Pulberi în suspensie</w:t>
      </w:r>
      <w:r>
        <w:rPr>
          <w:rFonts w:ascii="Arial" w:hAnsi="Arial" w:cs="Arial"/>
          <w:b/>
          <w:lang w:val="ro-RO"/>
        </w:rPr>
        <w:t xml:space="preserve"> </w:t>
      </w:r>
      <w:r w:rsidRPr="00654D79">
        <w:rPr>
          <w:rFonts w:ascii="Arial" w:hAnsi="Arial" w:cs="Arial"/>
          <w:b/>
        </w:rPr>
        <w:t>– PM10 şi PM2,5 (gravimetric şi nefelometric)</w:t>
      </w:r>
      <w:r w:rsidR="00DE3CDE">
        <w:rPr>
          <w:rFonts w:ascii="Arial" w:hAnsi="Arial" w:cs="Arial"/>
          <w:b/>
        </w:rPr>
        <w:t xml:space="preserve"> </w:t>
      </w:r>
    </w:p>
    <w:p w:rsidR="008C1788" w:rsidRDefault="00EC2E50" w:rsidP="00757CB6">
      <w:pPr>
        <w:autoSpaceDE w:val="0"/>
        <w:autoSpaceDN w:val="0"/>
        <w:adjustRightInd w:val="0"/>
        <w:jc w:val="both"/>
        <w:rPr>
          <w:rFonts w:ascii="Arial" w:eastAsia="Times New Roman" w:hAnsi="Arial" w:cs="Arial"/>
          <w:color w:val="000000"/>
          <w:lang w:val="ro-RO" w:eastAsia="ro-RO"/>
        </w:rPr>
      </w:pPr>
      <w:r w:rsidRPr="00C22EC7">
        <w:rPr>
          <w:rFonts w:ascii="Arial" w:eastAsia="Times New Roman" w:hAnsi="Arial" w:cs="Arial"/>
          <w:color w:val="000000"/>
          <w:lang w:val="ro-RO" w:eastAsia="ro-RO"/>
        </w:rPr>
        <w:t>Pulberile în suspensie sunt poluanţi primari eliminaţi în atmosferă din surse naturale (erupţii vulcanice, eroziunea rocilor, furtuni de nisip şi dispersia polenului) sau surse antropice (activităţi industriale, procese de combustie, traficul rutier) şi poluanţi secundari formaţi în urma reacţiilor chimice din atmosferă în care sunt implicaţi alţi poluanţi primari ca SO</w:t>
      </w:r>
      <w:r w:rsidRPr="00C22EC7">
        <w:rPr>
          <w:rFonts w:ascii="Arial" w:eastAsia="Times New Roman" w:hAnsi="Arial" w:cs="Arial"/>
          <w:color w:val="000000"/>
          <w:vertAlign w:val="subscript"/>
          <w:lang w:val="ro-RO" w:eastAsia="ro-RO"/>
        </w:rPr>
        <w:t>2</w:t>
      </w:r>
      <w:r w:rsidRPr="00C22EC7">
        <w:rPr>
          <w:rFonts w:ascii="Arial" w:eastAsia="Times New Roman" w:hAnsi="Arial" w:cs="Arial"/>
          <w:color w:val="000000"/>
          <w:lang w:val="ro-RO" w:eastAsia="ro-RO"/>
        </w:rPr>
        <w:t>, NOx şi NH</w:t>
      </w:r>
      <w:r w:rsidRPr="00C22EC7">
        <w:rPr>
          <w:rFonts w:ascii="Arial" w:eastAsia="Times New Roman" w:hAnsi="Arial" w:cs="Arial"/>
          <w:color w:val="000000"/>
          <w:vertAlign w:val="subscript"/>
          <w:lang w:val="ro-RO" w:eastAsia="ro-RO"/>
        </w:rPr>
        <w:t>3</w:t>
      </w:r>
      <w:r w:rsidR="00757CB6">
        <w:rPr>
          <w:rFonts w:ascii="Arial" w:eastAsia="Times New Roman" w:hAnsi="Arial" w:cs="Arial"/>
          <w:color w:val="000000"/>
          <w:lang w:val="ro-RO" w:eastAsia="ro-RO"/>
        </w:rPr>
        <w:t xml:space="preserve">. </w:t>
      </w:r>
      <w:r w:rsidRPr="00C22EC7">
        <w:rPr>
          <w:rFonts w:ascii="Arial" w:eastAsia="Times New Roman" w:hAnsi="Arial" w:cs="Arial"/>
          <w:color w:val="000000"/>
          <w:lang w:val="ro-RO" w:eastAsia="ro-RO"/>
        </w:rPr>
        <w:t>Particulele care au diametrul aerodinamic mai mic de 10 μm formează fracţia</w:t>
      </w:r>
      <w:r>
        <w:rPr>
          <w:rFonts w:ascii="Arial" w:eastAsia="Times New Roman" w:hAnsi="Arial" w:cs="Arial"/>
          <w:color w:val="000000"/>
          <w:lang w:val="ro-RO" w:eastAsia="ro-RO"/>
        </w:rPr>
        <w:t xml:space="preserve"> PM10 a pulberilor în suspensie şi p</w:t>
      </w:r>
      <w:r w:rsidRPr="00C22EC7">
        <w:rPr>
          <w:rFonts w:ascii="Arial" w:eastAsia="Times New Roman" w:hAnsi="Arial" w:cs="Arial"/>
          <w:color w:val="000000"/>
          <w:lang w:val="ro-RO" w:eastAsia="ro-RO"/>
        </w:rPr>
        <w:t xml:space="preserve">articulele care au diametrul aerodinamic mai mic de </w:t>
      </w:r>
      <w:r>
        <w:rPr>
          <w:rFonts w:ascii="Arial" w:eastAsia="Times New Roman" w:hAnsi="Arial" w:cs="Arial"/>
          <w:color w:val="000000"/>
          <w:lang w:val="ro-RO" w:eastAsia="ro-RO"/>
        </w:rPr>
        <w:t>2,5</w:t>
      </w:r>
      <w:r w:rsidRPr="00C22EC7">
        <w:rPr>
          <w:rFonts w:ascii="Arial" w:eastAsia="Times New Roman" w:hAnsi="Arial" w:cs="Arial"/>
          <w:color w:val="000000"/>
          <w:lang w:val="ro-RO" w:eastAsia="ro-RO"/>
        </w:rPr>
        <w:t xml:space="preserve"> μm formează fracţia PM</w:t>
      </w:r>
      <w:r>
        <w:rPr>
          <w:rFonts w:ascii="Arial" w:eastAsia="Times New Roman" w:hAnsi="Arial" w:cs="Arial"/>
          <w:color w:val="000000"/>
          <w:lang w:val="ro-RO" w:eastAsia="ro-RO"/>
        </w:rPr>
        <w:t>2,5</w:t>
      </w:r>
      <w:r w:rsidRPr="00C22EC7">
        <w:rPr>
          <w:rFonts w:ascii="Arial" w:eastAsia="Times New Roman" w:hAnsi="Arial" w:cs="Arial"/>
          <w:color w:val="000000"/>
          <w:lang w:val="ro-RO" w:eastAsia="ro-RO"/>
        </w:rPr>
        <w:t xml:space="preserve"> a pulberilor în suspensie.</w:t>
      </w:r>
    </w:p>
    <w:p w:rsidR="008C1788" w:rsidRDefault="008C1788" w:rsidP="00B840AD">
      <w:pPr>
        <w:tabs>
          <w:tab w:val="num" w:pos="0"/>
        </w:tabs>
        <w:jc w:val="center"/>
        <w:rPr>
          <w:rFonts w:ascii="Arial" w:hAnsi="Arial" w:cs="Arial"/>
        </w:rPr>
      </w:pPr>
      <w:r>
        <w:rPr>
          <w:rFonts w:ascii="Arial" w:hAnsi="Arial" w:cs="Arial"/>
          <w:noProof/>
          <w:lang w:val="ro-RO" w:eastAsia="ro-RO"/>
        </w:rPr>
        <w:lastRenderedPageBreak/>
        <w:drawing>
          <wp:inline distT="0" distB="0" distL="0" distR="0">
            <wp:extent cx="4810125" cy="2488298"/>
            <wp:effectExtent l="0" t="0" r="0" b="0"/>
            <wp:docPr id="14"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
              </a:graphicData>
            </a:graphic>
          </wp:inline>
        </w:drawing>
      </w:r>
    </w:p>
    <w:p w:rsidR="008C1788" w:rsidRDefault="008C1788" w:rsidP="008C1788">
      <w:pPr>
        <w:tabs>
          <w:tab w:val="left" w:pos="709"/>
        </w:tabs>
        <w:ind w:left="720" w:right="31"/>
        <w:rPr>
          <w:rFonts w:ascii="Arial" w:hAnsi="Arial" w:cs="Arial"/>
        </w:rPr>
      </w:pPr>
    </w:p>
    <w:p w:rsidR="008C1788" w:rsidRDefault="00891443" w:rsidP="00A1104F">
      <w:pPr>
        <w:tabs>
          <w:tab w:val="left" w:pos="709"/>
        </w:tabs>
        <w:ind w:left="720" w:right="31"/>
        <w:jc w:val="center"/>
        <w:rPr>
          <w:rFonts w:ascii="Arial" w:hAnsi="Arial" w:cs="Arial"/>
          <w:b/>
        </w:rPr>
      </w:pPr>
      <w:r>
        <w:rPr>
          <w:rFonts w:ascii="Arial" w:hAnsi="Arial" w:cs="Arial"/>
        </w:rPr>
        <w:t xml:space="preserve">Fig. I.1.1.1.4. </w:t>
      </w:r>
      <w:r w:rsidR="008C1788" w:rsidRPr="00654D79">
        <w:rPr>
          <w:rFonts w:ascii="Arial" w:hAnsi="Arial" w:cs="Arial"/>
        </w:rPr>
        <w:t xml:space="preserve">Concentraţia medie anuală PM10 şi PM2,5 în </w:t>
      </w:r>
      <w:r w:rsidR="008C1788">
        <w:rPr>
          <w:rFonts w:ascii="Arial" w:hAnsi="Arial" w:cs="Arial"/>
        </w:rPr>
        <w:t xml:space="preserve"> 2014</w:t>
      </w:r>
    </w:p>
    <w:p w:rsidR="008C1788" w:rsidRDefault="008C1788" w:rsidP="008C1788">
      <w:pPr>
        <w:tabs>
          <w:tab w:val="num" w:pos="0"/>
        </w:tabs>
        <w:rPr>
          <w:rFonts w:ascii="Arial" w:hAnsi="Arial" w:cs="Arial"/>
        </w:rPr>
      </w:pPr>
    </w:p>
    <w:p w:rsidR="008C1788" w:rsidRPr="00891443" w:rsidRDefault="00B840AD" w:rsidP="00B840AD">
      <w:pPr>
        <w:tabs>
          <w:tab w:val="num" w:pos="0"/>
        </w:tabs>
        <w:rPr>
          <w:rFonts w:ascii="Arial" w:hAnsi="Arial" w:cs="Arial"/>
        </w:rPr>
      </w:pPr>
      <w:r>
        <w:rPr>
          <w:rFonts w:ascii="Arial" w:hAnsi="Arial" w:cs="Arial"/>
        </w:rPr>
        <w:t xml:space="preserve">                </w:t>
      </w:r>
      <w:r w:rsidR="00891443">
        <w:rPr>
          <w:rFonts w:ascii="Arial" w:hAnsi="Arial" w:cs="Arial"/>
        </w:rPr>
        <w:t>Tabel I.1.1.1.4.</w:t>
      </w:r>
      <w:r w:rsidR="008C1788">
        <w:rPr>
          <w:rFonts w:ascii="Arial" w:hAnsi="Arial" w:cs="Arial"/>
        </w:rPr>
        <w:tab/>
      </w:r>
      <w:r w:rsidR="008C1788">
        <w:rPr>
          <w:rFonts w:ascii="Arial" w:hAnsi="Arial" w:cs="Arial"/>
        </w:rPr>
        <w:tab/>
        <w:t xml:space="preserve"> </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8C1788" w:rsidRPr="00654D79" w:rsidTr="00CD0BF7">
        <w:trPr>
          <w:jc w:val="center"/>
        </w:trPr>
        <w:tc>
          <w:tcPr>
            <w:tcW w:w="3381" w:type="dxa"/>
          </w:tcPr>
          <w:p w:rsidR="008C1788" w:rsidRPr="00654D79" w:rsidRDefault="008C1788" w:rsidP="00CD0BF7">
            <w:pPr>
              <w:tabs>
                <w:tab w:val="num" w:pos="0"/>
              </w:tabs>
              <w:rPr>
                <w:rFonts w:ascii="Arial" w:hAnsi="Arial" w:cs="Arial"/>
              </w:rPr>
            </w:pPr>
            <w:r w:rsidRPr="00654D79">
              <w:rPr>
                <w:rFonts w:ascii="Arial" w:hAnsi="Arial" w:cs="Arial"/>
                <w:b/>
              </w:rPr>
              <w:t>PM10 nefelometric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8C1788" w:rsidRPr="00654D79" w:rsidRDefault="008C1788" w:rsidP="00CD0BF7">
            <w:pPr>
              <w:jc w:val="center"/>
              <w:rPr>
                <w:rFonts w:ascii="Arial" w:hAnsi="Arial" w:cs="Arial"/>
                <w:b/>
              </w:rPr>
            </w:pPr>
            <w:r w:rsidRPr="00654D79">
              <w:rPr>
                <w:rFonts w:ascii="Arial" w:hAnsi="Arial" w:cs="Arial"/>
                <w:b/>
              </w:rPr>
              <w:t>Br1</w:t>
            </w:r>
          </w:p>
        </w:tc>
        <w:tc>
          <w:tcPr>
            <w:tcW w:w="951" w:type="dxa"/>
          </w:tcPr>
          <w:p w:rsidR="008C1788" w:rsidRPr="00654D79" w:rsidRDefault="008C1788" w:rsidP="00CD0BF7">
            <w:pPr>
              <w:jc w:val="center"/>
              <w:rPr>
                <w:rFonts w:ascii="Arial" w:hAnsi="Arial" w:cs="Arial"/>
                <w:b/>
              </w:rPr>
            </w:pPr>
            <w:r w:rsidRPr="00654D79">
              <w:rPr>
                <w:rFonts w:ascii="Arial" w:hAnsi="Arial" w:cs="Arial"/>
                <w:b/>
              </w:rPr>
              <w:t>Br2</w:t>
            </w:r>
          </w:p>
        </w:tc>
        <w:tc>
          <w:tcPr>
            <w:tcW w:w="951" w:type="dxa"/>
          </w:tcPr>
          <w:p w:rsidR="008C1788" w:rsidRPr="00654D79" w:rsidRDefault="008C1788" w:rsidP="00CD0BF7">
            <w:pPr>
              <w:jc w:val="center"/>
              <w:rPr>
                <w:rFonts w:ascii="Arial" w:hAnsi="Arial" w:cs="Arial"/>
                <w:b/>
              </w:rPr>
            </w:pPr>
            <w:r w:rsidRPr="00654D79">
              <w:rPr>
                <w:rFonts w:ascii="Arial" w:hAnsi="Arial" w:cs="Arial"/>
                <w:b/>
              </w:rPr>
              <w:t>Br3</w:t>
            </w:r>
          </w:p>
        </w:tc>
        <w:tc>
          <w:tcPr>
            <w:tcW w:w="951" w:type="dxa"/>
          </w:tcPr>
          <w:p w:rsidR="008C1788" w:rsidRPr="00654D79" w:rsidRDefault="008C1788" w:rsidP="00CD0BF7">
            <w:pPr>
              <w:jc w:val="center"/>
              <w:rPr>
                <w:rFonts w:ascii="Arial" w:hAnsi="Arial" w:cs="Arial"/>
                <w:b/>
              </w:rPr>
            </w:pPr>
            <w:r w:rsidRPr="00654D79">
              <w:rPr>
                <w:rFonts w:ascii="Arial" w:hAnsi="Arial" w:cs="Arial"/>
                <w:b/>
              </w:rPr>
              <w:t>Br4</w:t>
            </w:r>
          </w:p>
        </w:tc>
        <w:tc>
          <w:tcPr>
            <w:tcW w:w="951" w:type="dxa"/>
          </w:tcPr>
          <w:p w:rsidR="008C1788" w:rsidRPr="00654D79" w:rsidRDefault="008C1788" w:rsidP="00CD0BF7">
            <w:pPr>
              <w:jc w:val="center"/>
              <w:rPr>
                <w:rFonts w:ascii="Arial" w:hAnsi="Arial" w:cs="Arial"/>
                <w:b/>
              </w:rPr>
            </w:pPr>
            <w:r w:rsidRPr="00654D79">
              <w:rPr>
                <w:rFonts w:ascii="Arial" w:hAnsi="Arial" w:cs="Arial"/>
                <w:b/>
              </w:rPr>
              <w:t>Br5</w:t>
            </w:r>
          </w:p>
        </w:tc>
      </w:tr>
      <w:tr w:rsidR="008C1788" w:rsidRPr="00654D79" w:rsidTr="00CD0BF7">
        <w:trPr>
          <w:jc w:val="center"/>
        </w:trPr>
        <w:tc>
          <w:tcPr>
            <w:tcW w:w="3381" w:type="dxa"/>
          </w:tcPr>
          <w:p w:rsidR="008C1788" w:rsidRDefault="008C1788" w:rsidP="00CD0BF7">
            <w:pPr>
              <w:tabs>
                <w:tab w:val="num" w:pos="0"/>
              </w:tabs>
              <w:rPr>
                <w:rFonts w:ascii="Arial" w:hAnsi="Arial" w:cs="Arial"/>
              </w:rPr>
            </w:pPr>
            <w:r>
              <w:rPr>
                <w:rFonts w:ascii="Arial" w:hAnsi="Arial" w:cs="Arial"/>
              </w:rPr>
              <w:t>2014 Medii anuale</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Borders>
              <w:bottom w:val="single" w:sz="4" w:space="0" w:color="auto"/>
            </w:tcBorders>
          </w:tcPr>
          <w:p w:rsidR="008C1788" w:rsidRDefault="008C1788" w:rsidP="00CD0BF7">
            <w:pPr>
              <w:jc w:val="center"/>
              <w:rPr>
                <w:rFonts w:ascii="Arial" w:hAnsi="Arial" w:cs="Arial"/>
              </w:rPr>
            </w:pPr>
            <w:r>
              <w:rPr>
                <w:rFonts w:ascii="Arial" w:hAnsi="Arial" w:cs="Arial"/>
              </w:rPr>
              <w:t>46,03</w:t>
            </w:r>
          </w:p>
        </w:tc>
      </w:tr>
      <w:tr w:rsidR="008C1788" w:rsidRPr="00654D79" w:rsidTr="00CD0BF7">
        <w:trPr>
          <w:jc w:val="center"/>
        </w:trPr>
        <w:tc>
          <w:tcPr>
            <w:tcW w:w="3381" w:type="dxa"/>
          </w:tcPr>
          <w:p w:rsidR="008C1788" w:rsidRPr="00654D79" w:rsidRDefault="008C1788" w:rsidP="00CD0BF7">
            <w:pPr>
              <w:tabs>
                <w:tab w:val="num" w:pos="0"/>
              </w:tabs>
              <w:rPr>
                <w:rFonts w:ascii="Arial" w:hAnsi="Arial" w:cs="Arial"/>
              </w:rPr>
            </w:pPr>
            <w:r w:rsidRPr="00654D79">
              <w:rPr>
                <w:rFonts w:ascii="Arial" w:hAnsi="Arial" w:cs="Arial"/>
                <w:b/>
              </w:rPr>
              <w:t>PM10 gravimetric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8C1788" w:rsidRPr="00654D79" w:rsidRDefault="008C1788" w:rsidP="00CD0BF7">
            <w:pPr>
              <w:jc w:val="center"/>
              <w:rPr>
                <w:rFonts w:ascii="Arial" w:hAnsi="Arial" w:cs="Arial"/>
                <w:b/>
              </w:rPr>
            </w:pPr>
            <w:r w:rsidRPr="00654D79">
              <w:rPr>
                <w:rFonts w:ascii="Arial" w:hAnsi="Arial" w:cs="Arial"/>
                <w:b/>
              </w:rPr>
              <w:t>Br1</w:t>
            </w:r>
          </w:p>
        </w:tc>
        <w:tc>
          <w:tcPr>
            <w:tcW w:w="951" w:type="dxa"/>
          </w:tcPr>
          <w:p w:rsidR="008C1788" w:rsidRPr="00654D79" w:rsidRDefault="008C1788" w:rsidP="00CD0BF7">
            <w:pPr>
              <w:jc w:val="center"/>
              <w:rPr>
                <w:rFonts w:ascii="Arial" w:hAnsi="Arial" w:cs="Arial"/>
              </w:rPr>
            </w:pPr>
            <w:r w:rsidRPr="00654D79">
              <w:rPr>
                <w:rFonts w:ascii="Arial" w:hAnsi="Arial" w:cs="Arial"/>
              </w:rPr>
              <w:t>-</w:t>
            </w:r>
          </w:p>
        </w:tc>
        <w:tc>
          <w:tcPr>
            <w:tcW w:w="951" w:type="dxa"/>
          </w:tcPr>
          <w:p w:rsidR="008C1788" w:rsidRPr="00654D79" w:rsidRDefault="008C1788" w:rsidP="00CD0BF7">
            <w:pPr>
              <w:jc w:val="center"/>
              <w:rPr>
                <w:rFonts w:ascii="Arial" w:hAnsi="Arial" w:cs="Arial"/>
                <w:b/>
              </w:rPr>
            </w:pPr>
            <w:r w:rsidRPr="00654D79">
              <w:rPr>
                <w:rFonts w:ascii="Arial" w:hAnsi="Arial" w:cs="Arial"/>
                <w:b/>
              </w:rPr>
              <w:t>Br3</w:t>
            </w:r>
          </w:p>
        </w:tc>
        <w:tc>
          <w:tcPr>
            <w:tcW w:w="951" w:type="dxa"/>
          </w:tcPr>
          <w:p w:rsidR="008C1788" w:rsidRPr="00654D79" w:rsidRDefault="008C1788" w:rsidP="00CD0BF7">
            <w:pPr>
              <w:jc w:val="center"/>
              <w:rPr>
                <w:rFonts w:ascii="Arial" w:hAnsi="Arial" w:cs="Arial"/>
                <w:b/>
              </w:rPr>
            </w:pPr>
            <w:r w:rsidRPr="00654D79">
              <w:rPr>
                <w:rFonts w:ascii="Arial" w:hAnsi="Arial" w:cs="Arial"/>
                <w:b/>
              </w:rPr>
              <w:t>Br4</w:t>
            </w:r>
          </w:p>
        </w:tc>
        <w:tc>
          <w:tcPr>
            <w:tcW w:w="951" w:type="dxa"/>
            <w:tcBorders>
              <w:bottom w:val="nil"/>
              <w:right w:val="nil"/>
            </w:tcBorders>
          </w:tcPr>
          <w:p w:rsidR="008C1788" w:rsidRPr="00654D79" w:rsidRDefault="008C1788" w:rsidP="00CD0BF7">
            <w:pPr>
              <w:jc w:val="center"/>
              <w:rPr>
                <w:rFonts w:ascii="Arial" w:hAnsi="Arial" w:cs="Arial"/>
              </w:rPr>
            </w:pPr>
          </w:p>
        </w:tc>
      </w:tr>
      <w:tr w:rsidR="008C1788" w:rsidRPr="00654D79" w:rsidTr="00CD0BF7">
        <w:trPr>
          <w:jc w:val="center"/>
        </w:trPr>
        <w:tc>
          <w:tcPr>
            <w:tcW w:w="3381" w:type="dxa"/>
          </w:tcPr>
          <w:p w:rsidR="008C1788" w:rsidRDefault="008C1788" w:rsidP="00CD0BF7">
            <w:pPr>
              <w:tabs>
                <w:tab w:val="num" w:pos="0"/>
              </w:tabs>
              <w:rPr>
                <w:rFonts w:ascii="Arial" w:hAnsi="Arial" w:cs="Arial"/>
              </w:rPr>
            </w:pPr>
            <w:r>
              <w:rPr>
                <w:rFonts w:ascii="Arial" w:hAnsi="Arial" w:cs="Arial"/>
              </w:rPr>
              <w:t>2014 Medii anuale</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Borders>
              <w:top w:val="nil"/>
              <w:bottom w:val="nil"/>
              <w:right w:val="nil"/>
            </w:tcBorders>
          </w:tcPr>
          <w:p w:rsidR="008C1788" w:rsidRPr="00654D79" w:rsidRDefault="008C1788" w:rsidP="00CD0BF7">
            <w:pPr>
              <w:rPr>
                <w:rFonts w:ascii="Arial" w:hAnsi="Arial" w:cs="Arial"/>
              </w:rPr>
            </w:pPr>
          </w:p>
        </w:tc>
      </w:tr>
      <w:tr w:rsidR="008C1788" w:rsidRPr="00654D79" w:rsidTr="00CD0BF7">
        <w:trPr>
          <w:jc w:val="center"/>
        </w:trPr>
        <w:tc>
          <w:tcPr>
            <w:tcW w:w="3381" w:type="dxa"/>
          </w:tcPr>
          <w:p w:rsidR="008C1788" w:rsidRPr="00654D79" w:rsidRDefault="008C1788" w:rsidP="00CD0BF7">
            <w:pPr>
              <w:tabs>
                <w:tab w:val="num" w:pos="0"/>
              </w:tabs>
              <w:rPr>
                <w:rFonts w:ascii="Arial" w:hAnsi="Arial" w:cs="Arial"/>
              </w:rPr>
            </w:pPr>
            <w:r w:rsidRPr="00654D79">
              <w:rPr>
                <w:rFonts w:ascii="Arial" w:hAnsi="Arial" w:cs="Arial"/>
                <w:b/>
              </w:rPr>
              <w:t>PM2,5 gravimetric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8C1788" w:rsidRPr="00654D79" w:rsidRDefault="008C1788" w:rsidP="00CD0BF7">
            <w:pPr>
              <w:jc w:val="center"/>
              <w:rPr>
                <w:rFonts w:ascii="Arial" w:hAnsi="Arial" w:cs="Arial"/>
                <w:b/>
              </w:rPr>
            </w:pPr>
            <w:r w:rsidRPr="00654D79">
              <w:rPr>
                <w:rFonts w:ascii="Arial" w:hAnsi="Arial" w:cs="Arial"/>
                <w:b/>
              </w:rPr>
              <w:t>-</w:t>
            </w:r>
          </w:p>
        </w:tc>
        <w:tc>
          <w:tcPr>
            <w:tcW w:w="951" w:type="dxa"/>
          </w:tcPr>
          <w:p w:rsidR="008C1788" w:rsidRPr="00654D79" w:rsidRDefault="008C1788" w:rsidP="00CD0BF7">
            <w:pPr>
              <w:jc w:val="center"/>
              <w:rPr>
                <w:rFonts w:ascii="Arial" w:hAnsi="Arial" w:cs="Arial"/>
                <w:b/>
              </w:rPr>
            </w:pPr>
            <w:r w:rsidRPr="00654D79">
              <w:rPr>
                <w:rFonts w:ascii="Arial" w:hAnsi="Arial" w:cs="Arial"/>
                <w:b/>
              </w:rPr>
              <w:t>Br2</w:t>
            </w:r>
          </w:p>
        </w:tc>
        <w:tc>
          <w:tcPr>
            <w:tcW w:w="951" w:type="dxa"/>
          </w:tcPr>
          <w:p w:rsidR="008C1788" w:rsidRPr="00654D79" w:rsidRDefault="008C1788" w:rsidP="00CD0BF7">
            <w:pPr>
              <w:jc w:val="center"/>
              <w:rPr>
                <w:rFonts w:ascii="Arial" w:hAnsi="Arial" w:cs="Arial"/>
                <w:b/>
              </w:rPr>
            </w:pPr>
            <w:r w:rsidRPr="00654D79">
              <w:rPr>
                <w:rFonts w:ascii="Arial" w:hAnsi="Arial" w:cs="Arial"/>
                <w:b/>
              </w:rPr>
              <w:t>-</w:t>
            </w:r>
          </w:p>
        </w:tc>
        <w:tc>
          <w:tcPr>
            <w:tcW w:w="951" w:type="dxa"/>
          </w:tcPr>
          <w:p w:rsidR="008C1788" w:rsidRPr="00654D79" w:rsidRDefault="008C1788" w:rsidP="00CD0BF7">
            <w:pPr>
              <w:jc w:val="center"/>
              <w:rPr>
                <w:rFonts w:ascii="Arial" w:hAnsi="Arial" w:cs="Arial"/>
                <w:b/>
              </w:rPr>
            </w:pPr>
            <w:r w:rsidRPr="00654D79">
              <w:rPr>
                <w:rFonts w:ascii="Arial" w:hAnsi="Arial" w:cs="Arial"/>
                <w:b/>
              </w:rPr>
              <w:t>-</w:t>
            </w:r>
          </w:p>
        </w:tc>
        <w:tc>
          <w:tcPr>
            <w:tcW w:w="951" w:type="dxa"/>
            <w:tcBorders>
              <w:top w:val="nil"/>
              <w:bottom w:val="nil"/>
              <w:right w:val="nil"/>
            </w:tcBorders>
          </w:tcPr>
          <w:p w:rsidR="008C1788" w:rsidRPr="00654D79" w:rsidRDefault="008C1788" w:rsidP="00CD0BF7">
            <w:pPr>
              <w:jc w:val="center"/>
              <w:rPr>
                <w:rFonts w:ascii="Arial" w:hAnsi="Arial" w:cs="Arial"/>
              </w:rPr>
            </w:pPr>
          </w:p>
        </w:tc>
      </w:tr>
      <w:tr w:rsidR="008C1788" w:rsidRPr="00654D79" w:rsidTr="00CD0BF7">
        <w:trPr>
          <w:jc w:val="center"/>
        </w:trPr>
        <w:tc>
          <w:tcPr>
            <w:tcW w:w="3381" w:type="dxa"/>
          </w:tcPr>
          <w:p w:rsidR="008C1788" w:rsidRDefault="008C1788" w:rsidP="00CD0BF7">
            <w:pPr>
              <w:tabs>
                <w:tab w:val="num" w:pos="0"/>
              </w:tabs>
              <w:rPr>
                <w:rFonts w:ascii="Arial" w:hAnsi="Arial" w:cs="Arial"/>
              </w:rPr>
            </w:pPr>
            <w:r>
              <w:rPr>
                <w:rFonts w:ascii="Arial" w:hAnsi="Arial" w:cs="Arial"/>
              </w:rPr>
              <w:t>2014 Medii anuale</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Pr>
          <w:p w:rsidR="008C1788" w:rsidRDefault="008C1788" w:rsidP="00CD0BF7">
            <w:pPr>
              <w:jc w:val="center"/>
              <w:rPr>
                <w:rFonts w:ascii="Arial" w:hAnsi="Arial" w:cs="Arial"/>
              </w:rPr>
            </w:pPr>
            <w:r>
              <w:rPr>
                <w:rFonts w:ascii="Arial" w:hAnsi="Arial" w:cs="Arial"/>
              </w:rPr>
              <w:t>-</w:t>
            </w:r>
          </w:p>
        </w:tc>
        <w:tc>
          <w:tcPr>
            <w:tcW w:w="951" w:type="dxa"/>
            <w:tcBorders>
              <w:top w:val="nil"/>
              <w:bottom w:val="nil"/>
              <w:right w:val="nil"/>
            </w:tcBorders>
          </w:tcPr>
          <w:p w:rsidR="008C1788" w:rsidRPr="00654D79" w:rsidRDefault="008C1788" w:rsidP="00CD0BF7">
            <w:pPr>
              <w:rPr>
                <w:rFonts w:ascii="Arial" w:hAnsi="Arial" w:cs="Arial"/>
              </w:rPr>
            </w:pPr>
          </w:p>
        </w:tc>
      </w:tr>
    </w:tbl>
    <w:p w:rsidR="008C1788" w:rsidRPr="00504ED5" w:rsidRDefault="008C1788" w:rsidP="008C1788">
      <w:pPr>
        <w:tabs>
          <w:tab w:val="left" w:pos="709"/>
        </w:tabs>
        <w:ind w:left="720" w:right="31"/>
        <w:rPr>
          <w:rFonts w:ascii="Arial" w:hAnsi="Arial" w:cs="Arial"/>
          <w:lang w:val="ro-RO"/>
        </w:rPr>
      </w:pPr>
    </w:p>
    <w:p w:rsidR="00757CB6" w:rsidRDefault="00194BB7" w:rsidP="00757CB6">
      <w:pPr>
        <w:pStyle w:val="Default"/>
        <w:rPr>
          <w:rFonts w:ascii="Arial" w:hAnsi="Arial" w:cs="Arial"/>
          <w:lang w:val="ro-RO" w:eastAsia="ro-RO"/>
        </w:rPr>
      </w:pPr>
      <w:r w:rsidRPr="00194BB7">
        <w:rPr>
          <w:rFonts w:ascii="Arial" w:hAnsi="Arial" w:cs="Arial"/>
          <w:lang w:val="ro-RO" w:eastAsia="ro-RO"/>
        </w:rPr>
        <w:t xml:space="preserve">În anul 2014 la staţiile din aglomerarea urbana Brăila nu am avut captura de date </w:t>
      </w:r>
      <w:r w:rsidR="007E0583">
        <w:rPr>
          <w:rFonts w:ascii="Arial" w:hAnsi="Arial" w:cs="Arial"/>
          <w:lang w:val="ro-RO" w:eastAsia="ro-RO"/>
        </w:rPr>
        <w:t xml:space="preserve">pentru PM10 şi PM2,5 </w:t>
      </w:r>
      <w:r w:rsidRPr="00194BB7">
        <w:rPr>
          <w:rFonts w:ascii="Arial" w:hAnsi="Arial" w:cs="Arial"/>
          <w:lang w:val="ro-RO" w:eastAsia="ro-RO"/>
        </w:rPr>
        <w:t>deoarece analizoarele au fost defecte</w:t>
      </w:r>
      <w:r w:rsidR="007E0583">
        <w:rPr>
          <w:rFonts w:ascii="Arial" w:hAnsi="Arial" w:cs="Arial"/>
          <w:lang w:val="ro-RO" w:eastAsia="ro-RO"/>
        </w:rPr>
        <w:t>.</w:t>
      </w:r>
    </w:p>
    <w:p w:rsidR="00757CB6" w:rsidRDefault="00757CB6" w:rsidP="00757CB6">
      <w:pPr>
        <w:pStyle w:val="Default"/>
        <w:rPr>
          <w:rFonts w:ascii="Arial" w:hAnsi="Arial" w:cs="Arial"/>
          <w:lang w:val="ro-RO" w:eastAsia="ro-RO"/>
        </w:rPr>
      </w:pPr>
    </w:p>
    <w:p w:rsidR="00774E01" w:rsidRPr="00194BB7" w:rsidRDefault="00774E01" w:rsidP="00757CB6">
      <w:pPr>
        <w:pStyle w:val="Default"/>
        <w:rPr>
          <w:rFonts w:ascii="Arial" w:hAnsi="Arial" w:cs="Arial"/>
          <w:b/>
          <w:lang w:val="ro-RO"/>
        </w:rPr>
      </w:pPr>
      <w:r w:rsidRPr="00194BB7">
        <w:rPr>
          <w:rFonts w:ascii="Arial" w:hAnsi="Arial" w:cs="Arial"/>
          <w:b/>
          <w:lang w:val="ro-RO"/>
        </w:rPr>
        <w:t>Pulberi sedimentabile (2014)</w:t>
      </w:r>
    </w:p>
    <w:p w:rsidR="00774E01" w:rsidRPr="00194BB7" w:rsidRDefault="00774E01" w:rsidP="00757CB6">
      <w:pPr>
        <w:rPr>
          <w:rFonts w:ascii="Arial" w:hAnsi="Arial"/>
          <w:b/>
        </w:rPr>
      </w:pPr>
      <w:r w:rsidRPr="00194BB7">
        <w:rPr>
          <w:rFonts w:ascii="Arial" w:hAnsi="Arial" w:cs="Arial"/>
          <w:lang w:val="ro-RO"/>
        </w:rPr>
        <w:t xml:space="preserve">Reţeaua manuală de monitorizare a pulberilor sedimentabile cuprinde zece puncte de prelevare. </w:t>
      </w:r>
      <w:r w:rsidRPr="00194BB7">
        <w:rPr>
          <w:rFonts w:ascii="Arial" w:hAnsi="Arial"/>
        </w:rPr>
        <w:t>Concentraţiile medii anuale, pe puncte de prelevare ale pulberilor sedimentabile, din anul 2014,  sunt prezentate în tabelul şi figura de mai jos.</w:t>
      </w:r>
      <w:r w:rsidRPr="00194BB7">
        <w:rPr>
          <w:rFonts w:ascii="Arial" w:hAnsi="Arial"/>
        </w:rPr>
        <w:tab/>
      </w:r>
      <w:r w:rsidRPr="00194BB7">
        <w:rPr>
          <w:rFonts w:ascii="Arial" w:hAnsi="Arial"/>
        </w:rPr>
        <w:tab/>
      </w:r>
      <w:r w:rsidRPr="00194BB7">
        <w:rPr>
          <w:rFonts w:ascii="Arial" w:hAnsi="Arial"/>
        </w:rPr>
        <w:tab/>
      </w:r>
      <w:r w:rsidRPr="00194BB7">
        <w:rPr>
          <w:rFonts w:ascii="Arial" w:hAnsi="Arial"/>
          <w:b/>
        </w:rPr>
        <w:t xml:space="preserve"> </w:t>
      </w:r>
    </w:p>
    <w:p w:rsidR="00774E01" w:rsidRDefault="00774E01" w:rsidP="00774E01">
      <w:pPr>
        <w:jc w:val="center"/>
        <w:rPr>
          <w:rFonts w:ascii="Arial" w:hAnsi="Arial" w:cs="Arial"/>
          <w:b/>
          <w:lang w:val="ro-RO"/>
        </w:rPr>
      </w:pPr>
      <w:r>
        <w:rPr>
          <w:rFonts w:ascii="Arial" w:hAnsi="Arial" w:cs="Arial"/>
          <w:noProof/>
          <w:lang w:val="ro-RO" w:eastAsia="ro-RO"/>
        </w:rPr>
        <w:drawing>
          <wp:inline distT="0" distB="0" distL="0" distR="0">
            <wp:extent cx="6000750" cy="2495550"/>
            <wp:effectExtent l="0" t="0" r="0" b="0"/>
            <wp:docPr id="17"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
              </a:graphicData>
            </a:graphic>
          </wp:inline>
        </w:drawing>
      </w:r>
    </w:p>
    <w:p w:rsidR="00774E01" w:rsidRDefault="00774E01" w:rsidP="00774E01">
      <w:pPr>
        <w:tabs>
          <w:tab w:val="num" w:pos="0"/>
        </w:tabs>
        <w:ind w:firstLine="720"/>
        <w:rPr>
          <w:rFonts w:ascii="Arial" w:hAnsi="Arial"/>
        </w:rPr>
      </w:pPr>
      <w:r>
        <w:rPr>
          <w:rFonts w:ascii="Arial" w:eastAsia="Times New Roman" w:hAnsi="Arial" w:cs="Arial"/>
          <w:iCs/>
          <w:color w:val="000000"/>
          <w:lang w:val="ro-RO" w:eastAsia="ro-RO"/>
        </w:rPr>
        <w:t xml:space="preserve">Fig. </w:t>
      </w:r>
      <w:r w:rsidRPr="000E3D2C">
        <w:rPr>
          <w:rFonts w:ascii="Arial" w:eastAsia="Times New Roman" w:hAnsi="Arial" w:cs="Arial"/>
          <w:iCs/>
          <w:color w:val="000000"/>
          <w:lang w:val="ro-RO" w:eastAsia="ro-RO"/>
        </w:rPr>
        <w:t>I</w:t>
      </w:r>
      <w:r>
        <w:rPr>
          <w:rFonts w:ascii="Arial" w:eastAsia="Times New Roman" w:hAnsi="Arial" w:cs="Arial"/>
          <w:iCs/>
          <w:color w:val="000000"/>
          <w:lang w:val="ro-RO" w:eastAsia="ro-RO"/>
        </w:rPr>
        <w:t xml:space="preserve">.1.1.1.5. </w:t>
      </w:r>
      <w:r w:rsidRPr="00654D79">
        <w:rPr>
          <w:rFonts w:ascii="Arial" w:hAnsi="Arial" w:cs="Arial"/>
        </w:rPr>
        <w:t xml:space="preserve">Concentraţia medie anuală de </w:t>
      </w:r>
      <w:r>
        <w:rPr>
          <w:rFonts w:ascii="Arial" w:hAnsi="Arial" w:cs="Arial"/>
        </w:rPr>
        <w:t>pulberi sedimentabile pe anul 2014</w:t>
      </w:r>
    </w:p>
    <w:p w:rsidR="00774E01" w:rsidRDefault="00774E01" w:rsidP="00774E01">
      <w:pPr>
        <w:ind w:firstLine="720"/>
        <w:rPr>
          <w:rFonts w:ascii="Arial" w:hAnsi="Arial"/>
        </w:rPr>
      </w:pPr>
      <w:r>
        <w:rPr>
          <w:rFonts w:ascii="Arial" w:hAnsi="Arial"/>
        </w:rPr>
        <w:tab/>
      </w:r>
    </w:p>
    <w:p w:rsidR="00757CB6" w:rsidRDefault="00757CB6" w:rsidP="00774E01">
      <w:pPr>
        <w:ind w:firstLine="720"/>
        <w:rPr>
          <w:rFonts w:ascii="Arial" w:hAnsi="Arial"/>
        </w:rPr>
      </w:pPr>
    </w:p>
    <w:p w:rsidR="00757CB6" w:rsidRDefault="00757CB6" w:rsidP="00774E01">
      <w:pPr>
        <w:ind w:firstLine="720"/>
        <w:rPr>
          <w:rFonts w:ascii="Arial" w:hAnsi="Arial"/>
        </w:rPr>
      </w:pPr>
    </w:p>
    <w:p w:rsidR="00757CB6" w:rsidRDefault="00757CB6" w:rsidP="00774E01">
      <w:pPr>
        <w:ind w:firstLine="720"/>
        <w:rPr>
          <w:rFonts w:ascii="Arial" w:hAnsi="Arial"/>
        </w:rPr>
      </w:pPr>
    </w:p>
    <w:p w:rsidR="00774E01" w:rsidRDefault="001A0971" w:rsidP="00774E01">
      <w:pPr>
        <w:ind w:firstLine="720"/>
        <w:rPr>
          <w:rFonts w:ascii="Arial" w:hAnsi="Arial"/>
        </w:rPr>
      </w:pPr>
      <w:r>
        <w:rPr>
          <w:rFonts w:ascii="Arial" w:hAnsi="Arial"/>
        </w:rPr>
        <w:lastRenderedPageBreak/>
        <w:tab/>
      </w:r>
      <w:r>
        <w:rPr>
          <w:rFonts w:ascii="Arial" w:hAnsi="Arial"/>
        </w:rPr>
        <w:tab/>
        <w:t xml:space="preserve">    </w:t>
      </w:r>
      <w:r w:rsidR="00774E01">
        <w:rPr>
          <w:rFonts w:ascii="Arial" w:hAnsi="Arial" w:cs="Arial"/>
        </w:rPr>
        <w:t>Tabel I.1.1.1.5.</w:t>
      </w:r>
    </w:p>
    <w:tbl>
      <w:tblPr>
        <w:tblW w:w="680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2837"/>
        <w:gridCol w:w="2646"/>
      </w:tblGrid>
      <w:tr w:rsidR="00774E01" w:rsidRPr="0007453E" w:rsidTr="00CD0BF7">
        <w:trPr>
          <w:trHeight w:val="307"/>
          <w:jc w:val="center"/>
        </w:trPr>
        <w:tc>
          <w:tcPr>
            <w:tcW w:w="1323" w:type="dxa"/>
            <w:vMerge w:val="restart"/>
            <w:shd w:val="clear" w:color="auto" w:fill="D9D9D9"/>
            <w:vAlign w:val="center"/>
          </w:tcPr>
          <w:p w:rsidR="00774E01" w:rsidRPr="0007453E" w:rsidRDefault="00774E01" w:rsidP="00CD0BF7">
            <w:pPr>
              <w:tabs>
                <w:tab w:val="num" w:pos="0"/>
              </w:tabs>
              <w:jc w:val="center"/>
              <w:rPr>
                <w:rFonts w:ascii="Arial" w:hAnsi="Arial" w:cs="Arial"/>
                <w:b/>
              </w:rPr>
            </w:pPr>
            <w:r w:rsidRPr="0007453E">
              <w:rPr>
                <w:rFonts w:ascii="Arial" w:hAnsi="Arial" w:cs="Arial"/>
                <w:b/>
              </w:rPr>
              <w:t>JUDEŢUL</w:t>
            </w:r>
          </w:p>
        </w:tc>
        <w:tc>
          <w:tcPr>
            <w:tcW w:w="2837" w:type="dxa"/>
            <w:vMerge w:val="restart"/>
            <w:shd w:val="clear" w:color="auto" w:fill="D9D9D9"/>
            <w:vAlign w:val="center"/>
          </w:tcPr>
          <w:p w:rsidR="00774E01" w:rsidRPr="0007453E" w:rsidRDefault="00774E01" w:rsidP="00CD0BF7">
            <w:pPr>
              <w:tabs>
                <w:tab w:val="num" w:pos="0"/>
              </w:tabs>
              <w:jc w:val="center"/>
              <w:rPr>
                <w:rFonts w:ascii="Arial" w:hAnsi="Arial" w:cs="Arial"/>
                <w:b/>
              </w:rPr>
            </w:pPr>
            <w:r w:rsidRPr="0007453E">
              <w:rPr>
                <w:rFonts w:ascii="Arial" w:hAnsi="Arial" w:cs="Arial"/>
                <w:b/>
              </w:rPr>
              <w:t>Punct de prelevare</w:t>
            </w:r>
          </w:p>
        </w:tc>
        <w:tc>
          <w:tcPr>
            <w:tcW w:w="2646" w:type="dxa"/>
            <w:shd w:val="clear" w:color="auto" w:fill="D9D9D9"/>
            <w:vAlign w:val="center"/>
          </w:tcPr>
          <w:p w:rsidR="00774E01" w:rsidRPr="0007453E" w:rsidRDefault="00774E01" w:rsidP="00CD0BF7">
            <w:pPr>
              <w:tabs>
                <w:tab w:val="num" w:pos="0"/>
              </w:tabs>
              <w:jc w:val="center"/>
              <w:rPr>
                <w:rFonts w:ascii="Arial" w:hAnsi="Arial" w:cs="Arial"/>
                <w:b/>
              </w:rPr>
            </w:pPr>
            <w:r w:rsidRPr="0007453E">
              <w:rPr>
                <w:rFonts w:ascii="Arial" w:hAnsi="Arial" w:cs="Arial"/>
                <w:b/>
              </w:rPr>
              <w:t>Concentraţie medie anuală</w:t>
            </w:r>
            <w:r>
              <w:rPr>
                <w:rFonts w:ascii="Arial" w:hAnsi="Arial" w:cs="Arial"/>
                <w:b/>
              </w:rPr>
              <w:t xml:space="preserve"> (</w:t>
            </w:r>
            <w:r w:rsidRPr="0007453E">
              <w:rPr>
                <w:rFonts w:ascii="Arial" w:hAnsi="Arial" w:cs="Arial"/>
                <w:b/>
              </w:rPr>
              <w:t>g/mp/</w:t>
            </w:r>
            <w:r>
              <w:rPr>
                <w:rFonts w:ascii="Arial" w:hAnsi="Arial" w:cs="Arial"/>
                <w:b/>
              </w:rPr>
              <w:t>luna</w:t>
            </w:r>
            <w:r w:rsidRPr="0007453E">
              <w:rPr>
                <w:rFonts w:ascii="Arial" w:hAnsi="Arial" w:cs="Arial"/>
                <w:b/>
              </w:rPr>
              <w:t>)</w:t>
            </w:r>
          </w:p>
        </w:tc>
      </w:tr>
      <w:tr w:rsidR="00774E01" w:rsidRPr="0007453E" w:rsidTr="00CD0BF7">
        <w:trPr>
          <w:trHeight w:val="307"/>
          <w:jc w:val="center"/>
        </w:trPr>
        <w:tc>
          <w:tcPr>
            <w:tcW w:w="1323" w:type="dxa"/>
            <w:vMerge/>
            <w:tcBorders>
              <w:bottom w:val="single" w:sz="4" w:space="0" w:color="auto"/>
            </w:tcBorders>
            <w:shd w:val="clear" w:color="auto" w:fill="E0E0E0"/>
            <w:vAlign w:val="center"/>
          </w:tcPr>
          <w:p w:rsidR="00774E01" w:rsidRPr="0007453E" w:rsidRDefault="00774E01" w:rsidP="00CD0BF7">
            <w:pPr>
              <w:tabs>
                <w:tab w:val="num" w:pos="0"/>
              </w:tabs>
              <w:jc w:val="center"/>
              <w:rPr>
                <w:rFonts w:ascii="Arial" w:hAnsi="Arial" w:cs="Arial"/>
                <w:b/>
              </w:rPr>
            </w:pPr>
          </w:p>
        </w:tc>
        <w:tc>
          <w:tcPr>
            <w:tcW w:w="2837" w:type="dxa"/>
            <w:vMerge/>
            <w:shd w:val="clear" w:color="auto" w:fill="E0E0E0"/>
            <w:vAlign w:val="center"/>
          </w:tcPr>
          <w:p w:rsidR="00774E01" w:rsidRPr="0007453E" w:rsidRDefault="00774E01" w:rsidP="00CD0BF7">
            <w:pPr>
              <w:tabs>
                <w:tab w:val="num" w:pos="0"/>
              </w:tabs>
              <w:jc w:val="center"/>
              <w:rPr>
                <w:rFonts w:ascii="Arial" w:hAnsi="Arial" w:cs="Arial"/>
                <w:b/>
              </w:rPr>
            </w:pPr>
          </w:p>
        </w:tc>
        <w:tc>
          <w:tcPr>
            <w:tcW w:w="2646" w:type="dxa"/>
            <w:shd w:val="clear" w:color="auto" w:fill="E0E0E0"/>
            <w:vAlign w:val="center"/>
          </w:tcPr>
          <w:p w:rsidR="00774E01" w:rsidRDefault="00774E01" w:rsidP="00CD0BF7">
            <w:pPr>
              <w:tabs>
                <w:tab w:val="num" w:pos="0"/>
              </w:tabs>
              <w:jc w:val="center"/>
              <w:rPr>
                <w:rFonts w:ascii="Arial" w:hAnsi="Arial" w:cs="Arial"/>
                <w:b/>
              </w:rPr>
            </w:pPr>
            <w:r>
              <w:rPr>
                <w:rFonts w:ascii="Arial" w:hAnsi="Arial" w:cs="Arial"/>
                <w:b/>
              </w:rPr>
              <w:t>2014</w:t>
            </w:r>
          </w:p>
        </w:tc>
      </w:tr>
      <w:tr w:rsidR="00774E01" w:rsidRPr="0007453E" w:rsidTr="00CD0BF7">
        <w:trPr>
          <w:trHeight w:val="307"/>
          <w:jc w:val="center"/>
        </w:trPr>
        <w:tc>
          <w:tcPr>
            <w:tcW w:w="1323" w:type="dxa"/>
            <w:vMerge w:val="restart"/>
            <w:shd w:val="clear" w:color="auto" w:fill="D9D9D9"/>
          </w:tcPr>
          <w:p w:rsidR="00774E01" w:rsidRPr="0007453E" w:rsidRDefault="00774E01" w:rsidP="00CD0BF7">
            <w:pPr>
              <w:tabs>
                <w:tab w:val="num" w:pos="0"/>
              </w:tabs>
              <w:jc w:val="center"/>
              <w:rPr>
                <w:rFonts w:ascii="Arial" w:hAnsi="Arial" w:cs="Arial"/>
              </w:rPr>
            </w:pPr>
            <w:r w:rsidRPr="0007453E">
              <w:rPr>
                <w:rFonts w:ascii="Arial" w:hAnsi="Arial" w:cs="Arial"/>
              </w:rPr>
              <w:t>Brăila</w:t>
            </w: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Sediu APM</w:t>
            </w:r>
          </w:p>
        </w:tc>
        <w:tc>
          <w:tcPr>
            <w:tcW w:w="2646" w:type="dxa"/>
          </w:tcPr>
          <w:p w:rsidR="00774E01" w:rsidRDefault="00774E01" w:rsidP="00CD0BF7">
            <w:pPr>
              <w:tabs>
                <w:tab w:val="num" w:pos="0"/>
              </w:tabs>
              <w:jc w:val="center"/>
              <w:rPr>
                <w:rFonts w:ascii="Arial" w:hAnsi="Arial" w:cs="Arial"/>
              </w:rPr>
            </w:pPr>
            <w:r>
              <w:rPr>
                <w:rFonts w:ascii="Arial" w:hAnsi="Arial" w:cs="Arial"/>
              </w:rPr>
              <w:t>4,24</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jc w:val="cente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Uzina de Apă</w:t>
            </w:r>
          </w:p>
        </w:tc>
        <w:tc>
          <w:tcPr>
            <w:tcW w:w="2646" w:type="dxa"/>
          </w:tcPr>
          <w:p w:rsidR="00774E01" w:rsidRDefault="00774E01" w:rsidP="00CD0BF7">
            <w:pPr>
              <w:tabs>
                <w:tab w:val="num" w:pos="0"/>
              </w:tabs>
              <w:jc w:val="center"/>
              <w:rPr>
                <w:rFonts w:ascii="Arial" w:hAnsi="Arial" w:cs="Arial"/>
                <w:lang w:val="ro-RO"/>
              </w:rPr>
            </w:pPr>
            <w:r>
              <w:rPr>
                <w:rFonts w:ascii="Arial" w:hAnsi="Arial" w:cs="Arial"/>
                <w:lang w:val="ro-RO"/>
              </w:rPr>
              <w:t>6,23</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jc w:val="cente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Vărsătura</w:t>
            </w:r>
          </w:p>
        </w:tc>
        <w:tc>
          <w:tcPr>
            <w:tcW w:w="2646" w:type="dxa"/>
          </w:tcPr>
          <w:p w:rsidR="00774E01" w:rsidRDefault="00774E01" w:rsidP="00CD0BF7">
            <w:pPr>
              <w:tabs>
                <w:tab w:val="num" w:pos="0"/>
              </w:tabs>
              <w:jc w:val="center"/>
              <w:rPr>
                <w:rFonts w:ascii="Arial" w:hAnsi="Arial" w:cs="Arial"/>
              </w:rPr>
            </w:pPr>
            <w:r>
              <w:rPr>
                <w:rFonts w:ascii="Arial" w:hAnsi="Arial" w:cs="Arial"/>
              </w:rPr>
              <w:t>16.39</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jc w:val="cente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Str.Gen.Gh.Avramescu</w:t>
            </w:r>
          </w:p>
        </w:tc>
        <w:tc>
          <w:tcPr>
            <w:tcW w:w="2646" w:type="dxa"/>
          </w:tcPr>
          <w:p w:rsidR="00774E01" w:rsidRDefault="00774E01" w:rsidP="00CD0BF7">
            <w:pPr>
              <w:tabs>
                <w:tab w:val="num" w:pos="0"/>
              </w:tabs>
              <w:jc w:val="center"/>
              <w:rPr>
                <w:rFonts w:ascii="Arial" w:hAnsi="Arial" w:cs="Arial"/>
              </w:rPr>
            </w:pPr>
            <w:r>
              <w:rPr>
                <w:rFonts w:ascii="Arial" w:hAnsi="Arial" w:cs="Arial"/>
              </w:rPr>
              <w:t>6,61</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Staţia Nord</w:t>
            </w:r>
          </w:p>
        </w:tc>
        <w:tc>
          <w:tcPr>
            <w:tcW w:w="2646" w:type="dxa"/>
          </w:tcPr>
          <w:p w:rsidR="00774E01" w:rsidRDefault="00774E01" w:rsidP="00CD0BF7">
            <w:pPr>
              <w:tabs>
                <w:tab w:val="num" w:pos="0"/>
              </w:tabs>
              <w:jc w:val="center"/>
              <w:rPr>
                <w:rFonts w:ascii="Arial" w:hAnsi="Arial" w:cs="Arial"/>
              </w:rPr>
            </w:pPr>
            <w:r>
              <w:rPr>
                <w:rFonts w:ascii="Arial" w:hAnsi="Arial" w:cs="Arial"/>
              </w:rPr>
              <w:t>5,88</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 xml:space="preserve">SC Hercules </w:t>
            </w:r>
          </w:p>
        </w:tc>
        <w:tc>
          <w:tcPr>
            <w:tcW w:w="2646" w:type="dxa"/>
          </w:tcPr>
          <w:p w:rsidR="00774E01" w:rsidRDefault="00774E01" w:rsidP="00CD0BF7">
            <w:pPr>
              <w:tabs>
                <w:tab w:val="num" w:pos="0"/>
              </w:tabs>
              <w:jc w:val="center"/>
              <w:rPr>
                <w:rFonts w:ascii="Arial" w:hAnsi="Arial" w:cs="Arial"/>
              </w:rPr>
            </w:pPr>
            <w:r>
              <w:rPr>
                <w:rFonts w:ascii="Arial" w:hAnsi="Arial" w:cs="Arial"/>
              </w:rPr>
              <w:t>8,56</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Termoelectrica Chiscani</w:t>
            </w:r>
          </w:p>
        </w:tc>
        <w:tc>
          <w:tcPr>
            <w:tcW w:w="2646" w:type="dxa"/>
          </w:tcPr>
          <w:p w:rsidR="00774E01" w:rsidRDefault="00774E01" w:rsidP="00CD0BF7">
            <w:pPr>
              <w:tabs>
                <w:tab w:val="num" w:pos="0"/>
              </w:tabs>
              <w:jc w:val="center"/>
              <w:rPr>
                <w:rFonts w:ascii="Arial" w:hAnsi="Arial" w:cs="Arial"/>
              </w:rPr>
            </w:pPr>
            <w:r>
              <w:rPr>
                <w:rFonts w:ascii="Arial" w:hAnsi="Arial" w:cs="Arial"/>
              </w:rPr>
              <w:t>5,88</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lang w:val="ro-RO"/>
              </w:rPr>
            </w:pPr>
            <w:r w:rsidRPr="003554B0">
              <w:rPr>
                <w:rFonts w:ascii="Arial" w:hAnsi="Arial" w:cs="Arial"/>
                <w:sz w:val="22"/>
                <w:szCs w:val="22"/>
              </w:rPr>
              <w:t>Str. Galați</w:t>
            </w:r>
          </w:p>
        </w:tc>
        <w:tc>
          <w:tcPr>
            <w:tcW w:w="2646" w:type="dxa"/>
          </w:tcPr>
          <w:p w:rsidR="00774E01" w:rsidRDefault="00774E01" w:rsidP="00CD0BF7">
            <w:pPr>
              <w:tabs>
                <w:tab w:val="num" w:pos="0"/>
              </w:tabs>
              <w:jc w:val="center"/>
              <w:rPr>
                <w:rFonts w:ascii="Arial" w:hAnsi="Arial" w:cs="Arial"/>
              </w:rPr>
            </w:pPr>
            <w:r>
              <w:rPr>
                <w:rFonts w:ascii="Arial" w:hAnsi="Arial" w:cs="Arial"/>
              </w:rPr>
              <w:t>7,68</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lang w:val="ro-RO"/>
              </w:rPr>
            </w:pPr>
            <w:r w:rsidRPr="003554B0">
              <w:rPr>
                <w:rFonts w:ascii="Arial" w:hAnsi="Arial" w:cs="Arial"/>
                <w:sz w:val="22"/>
                <w:szCs w:val="22"/>
                <w:lang w:val="ro-RO"/>
              </w:rPr>
              <w:t>Cazasu</w:t>
            </w:r>
          </w:p>
        </w:tc>
        <w:tc>
          <w:tcPr>
            <w:tcW w:w="2646" w:type="dxa"/>
          </w:tcPr>
          <w:p w:rsidR="00774E01" w:rsidRDefault="00774E01" w:rsidP="00CD0BF7">
            <w:pPr>
              <w:tabs>
                <w:tab w:val="num" w:pos="0"/>
              </w:tabs>
              <w:jc w:val="center"/>
              <w:rPr>
                <w:rFonts w:ascii="Arial" w:hAnsi="Arial" w:cs="Arial"/>
              </w:rPr>
            </w:pPr>
            <w:r>
              <w:rPr>
                <w:rFonts w:ascii="Arial" w:hAnsi="Arial" w:cs="Arial"/>
              </w:rPr>
              <w:t>4,07</w:t>
            </w:r>
          </w:p>
        </w:tc>
      </w:tr>
      <w:tr w:rsidR="00774E01" w:rsidRPr="0007453E" w:rsidTr="00CD0BF7">
        <w:trPr>
          <w:trHeight w:val="307"/>
          <w:jc w:val="center"/>
        </w:trPr>
        <w:tc>
          <w:tcPr>
            <w:tcW w:w="1323" w:type="dxa"/>
            <w:vMerge/>
            <w:shd w:val="clear" w:color="auto" w:fill="D9D9D9"/>
            <w:vAlign w:val="center"/>
          </w:tcPr>
          <w:p w:rsidR="00774E01" w:rsidRPr="0007453E" w:rsidRDefault="00774E01" w:rsidP="00CD0BF7">
            <w:pPr>
              <w:rPr>
                <w:rFonts w:ascii="Arial" w:hAnsi="Arial" w:cs="Arial"/>
                <w:b/>
              </w:rPr>
            </w:pPr>
          </w:p>
        </w:tc>
        <w:tc>
          <w:tcPr>
            <w:tcW w:w="2837" w:type="dxa"/>
            <w:vAlign w:val="center"/>
          </w:tcPr>
          <w:p w:rsidR="00774E01" w:rsidRPr="003554B0" w:rsidRDefault="00774E01" w:rsidP="00CD0BF7">
            <w:pPr>
              <w:tabs>
                <w:tab w:val="num" w:pos="0"/>
              </w:tabs>
              <w:rPr>
                <w:rFonts w:ascii="Arial" w:hAnsi="Arial" w:cs="Arial"/>
                <w:sz w:val="22"/>
                <w:szCs w:val="22"/>
              </w:rPr>
            </w:pPr>
            <w:r w:rsidRPr="003554B0">
              <w:rPr>
                <w:rFonts w:ascii="Arial" w:hAnsi="Arial" w:cs="Arial"/>
                <w:sz w:val="22"/>
                <w:szCs w:val="22"/>
              </w:rPr>
              <w:t>PrimăriaBrăila</w:t>
            </w:r>
          </w:p>
        </w:tc>
        <w:tc>
          <w:tcPr>
            <w:tcW w:w="2646" w:type="dxa"/>
          </w:tcPr>
          <w:p w:rsidR="00774E01" w:rsidRDefault="00774E01" w:rsidP="00CD0BF7">
            <w:pPr>
              <w:tabs>
                <w:tab w:val="num" w:pos="0"/>
              </w:tabs>
              <w:jc w:val="center"/>
              <w:rPr>
                <w:rFonts w:ascii="Arial" w:hAnsi="Arial" w:cs="Arial"/>
              </w:rPr>
            </w:pPr>
            <w:r>
              <w:rPr>
                <w:rFonts w:ascii="Arial" w:hAnsi="Arial" w:cs="Arial"/>
              </w:rPr>
              <w:t>10,07</w:t>
            </w:r>
          </w:p>
        </w:tc>
      </w:tr>
      <w:tr w:rsidR="00774E01" w:rsidRPr="0007453E" w:rsidTr="00CD0BF7">
        <w:trPr>
          <w:trHeight w:val="307"/>
          <w:jc w:val="center"/>
        </w:trPr>
        <w:tc>
          <w:tcPr>
            <w:tcW w:w="6806" w:type="dxa"/>
            <w:gridSpan w:val="3"/>
            <w:shd w:val="clear" w:color="auto" w:fill="D9D9D9"/>
            <w:vAlign w:val="center"/>
          </w:tcPr>
          <w:p w:rsidR="00774E01" w:rsidRPr="003554B0" w:rsidRDefault="00774E01" w:rsidP="00CD0BF7">
            <w:pPr>
              <w:tabs>
                <w:tab w:val="num" w:pos="0"/>
              </w:tabs>
              <w:jc w:val="center"/>
              <w:rPr>
                <w:rFonts w:ascii="Arial" w:hAnsi="Arial" w:cs="Arial"/>
                <w:b/>
                <w:sz w:val="22"/>
                <w:szCs w:val="22"/>
              </w:rPr>
            </w:pPr>
            <w:r w:rsidRPr="003554B0">
              <w:rPr>
                <w:rFonts w:ascii="Arial" w:hAnsi="Arial" w:cs="Arial"/>
                <w:b/>
                <w:sz w:val="22"/>
                <w:szCs w:val="22"/>
              </w:rPr>
              <w:t>CMA =  17g/mp/luna</w:t>
            </w:r>
          </w:p>
        </w:tc>
      </w:tr>
    </w:tbl>
    <w:p w:rsidR="008C1788" w:rsidRDefault="008C1788" w:rsidP="008C1788">
      <w:pPr>
        <w:tabs>
          <w:tab w:val="num" w:pos="0"/>
        </w:tabs>
        <w:rPr>
          <w:rFonts w:ascii="Arial" w:hAnsi="Arial" w:cs="Arial"/>
          <w:lang w:val="ro-RO" w:eastAsia="ro-RO"/>
        </w:rPr>
      </w:pPr>
    </w:p>
    <w:p w:rsidR="00A67ACC" w:rsidRDefault="00A67ACC" w:rsidP="008C1788">
      <w:pPr>
        <w:autoSpaceDE w:val="0"/>
        <w:autoSpaceDN w:val="0"/>
        <w:adjustRightInd w:val="0"/>
        <w:rPr>
          <w:rFonts w:ascii="Arial" w:eastAsia="Times New Roman" w:hAnsi="Arial" w:cs="Arial"/>
          <w:iCs/>
          <w:color w:val="000000"/>
          <w:lang w:val="ro-RO" w:eastAsia="ro-RO"/>
        </w:rPr>
      </w:pPr>
    </w:p>
    <w:p w:rsidR="008C1788" w:rsidRDefault="008C1788" w:rsidP="008C1788">
      <w:pPr>
        <w:autoSpaceDE w:val="0"/>
        <w:autoSpaceDN w:val="0"/>
        <w:adjustRightInd w:val="0"/>
        <w:rPr>
          <w:rFonts w:ascii="Arial" w:eastAsia="Times New Roman" w:hAnsi="Arial" w:cs="Arial"/>
          <w:iCs/>
          <w:color w:val="000000"/>
          <w:lang w:val="ro-RO" w:eastAsia="ro-RO"/>
        </w:rPr>
      </w:pPr>
    </w:p>
    <w:p w:rsidR="008C1788" w:rsidRPr="00E00912" w:rsidRDefault="008C1788" w:rsidP="008C1788">
      <w:pPr>
        <w:autoSpaceDE w:val="0"/>
        <w:autoSpaceDN w:val="0"/>
        <w:adjustRightInd w:val="0"/>
        <w:rPr>
          <w:rFonts w:ascii="Arial" w:eastAsia="Times New Roman" w:hAnsi="Arial" w:cs="Arial"/>
          <w:b/>
          <w:lang w:val="ro-RO" w:eastAsia="ro-RO"/>
        </w:rPr>
      </w:pPr>
      <w:r w:rsidRPr="00E00912">
        <w:rPr>
          <w:rFonts w:ascii="Arial" w:eastAsia="Times New Roman" w:hAnsi="Arial" w:cs="Arial"/>
          <w:b/>
          <w:iCs/>
          <w:lang w:val="ro-RO" w:eastAsia="ro-RO"/>
        </w:rPr>
        <w:t xml:space="preserve">I.1.1.2. Tendinţe privind concentraţiile medii anuale ale anumitor poluanţi atmosferici </w:t>
      </w:r>
    </w:p>
    <w:p w:rsidR="0064516C" w:rsidRPr="00E00912" w:rsidRDefault="0064516C" w:rsidP="00261E9E">
      <w:pPr>
        <w:tabs>
          <w:tab w:val="left" w:pos="709"/>
        </w:tabs>
        <w:ind w:right="31"/>
        <w:rPr>
          <w:rFonts w:ascii="Arial" w:hAnsi="Arial" w:cs="Arial"/>
          <w:b/>
        </w:rPr>
      </w:pPr>
    </w:p>
    <w:p w:rsidR="00774E01" w:rsidRPr="00BF20E8" w:rsidRDefault="00774E01" w:rsidP="00774E01">
      <w:pPr>
        <w:tabs>
          <w:tab w:val="left" w:pos="709"/>
        </w:tabs>
        <w:ind w:left="720" w:right="31"/>
        <w:rPr>
          <w:rFonts w:ascii="Arial" w:hAnsi="Arial" w:cs="Arial"/>
          <w:b/>
          <w:lang w:val="ro-RO"/>
        </w:rPr>
      </w:pPr>
      <w:r w:rsidRPr="00BF20E8">
        <w:rPr>
          <w:rFonts w:ascii="Arial" w:hAnsi="Arial" w:cs="Arial"/>
          <w:b/>
          <w:lang w:val="ro-RO"/>
        </w:rPr>
        <w:t>Dioxidul de azot</w:t>
      </w:r>
    </w:p>
    <w:p w:rsidR="00774E01" w:rsidRDefault="00774E01" w:rsidP="00774E01">
      <w:pPr>
        <w:tabs>
          <w:tab w:val="num" w:pos="0"/>
        </w:tabs>
        <w:ind w:firstLine="720"/>
        <w:jc w:val="center"/>
        <w:rPr>
          <w:rFonts w:ascii="Arial" w:hAnsi="Arial" w:cs="Arial"/>
        </w:rPr>
      </w:pPr>
      <w:r>
        <w:rPr>
          <w:rFonts w:ascii="Arial" w:hAnsi="Arial" w:cs="Arial"/>
          <w:noProof/>
          <w:lang w:val="ro-RO" w:eastAsia="ro-RO"/>
        </w:rPr>
        <w:drawing>
          <wp:inline distT="0" distB="0" distL="0" distR="0">
            <wp:extent cx="5524500" cy="2124075"/>
            <wp:effectExtent l="0" t="0" r="0" b="0"/>
            <wp:docPr id="18" name="Object 1"/>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
              </a:graphicData>
            </a:graphic>
          </wp:inline>
        </w:drawing>
      </w:r>
    </w:p>
    <w:p w:rsidR="00774E01" w:rsidRDefault="00774E01" w:rsidP="00774E01">
      <w:pPr>
        <w:tabs>
          <w:tab w:val="num" w:pos="0"/>
        </w:tabs>
        <w:jc w:val="center"/>
        <w:rPr>
          <w:rFonts w:ascii="Arial" w:hAnsi="Arial" w:cs="Arial"/>
        </w:rPr>
      </w:pPr>
      <w:r>
        <w:rPr>
          <w:rFonts w:ascii="Arial" w:hAnsi="Arial" w:cs="Arial"/>
        </w:rPr>
        <w:t>Fig. I</w:t>
      </w:r>
      <w:r w:rsidR="00CD0BF7">
        <w:rPr>
          <w:rFonts w:ascii="Arial" w:hAnsi="Arial" w:cs="Arial"/>
        </w:rPr>
        <w:t>.</w:t>
      </w:r>
      <w:r>
        <w:rPr>
          <w:rFonts w:ascii="Arial" w:hAnsi="Arial" w:cs="Arial"/>
        </w:rPr>
        <w:t xml:space="preserve">1.1.2.1. </w:t>
      </w:r>
      <w:r w:rsidRPr="00654D79">
        <w:rPr>
          <w:rFonts w:ascii="Arial" w:hAnsi="Arial" w:cs="Arial"/>
        </w:rPr>
        <w:t>Concentraţia medie anuală a dioxidu</w:t>
      </w:r>
      <w:r>
        <w:rPr>
          <w:rFonts w:ascii="Arial" w:hAnsi="Arial" w:cs="Arial"/>
        </w:rPr>
        <w:t>lui de azot</w:t>
      </w:r>
      <w:r w:rsidR="00A50B64">
        <w:rPr>
          <w:rFonts w:ascii="Arial" w:hAnsi="Arial" w:cs="Arial"/>
        </w:rPr>
        <w:t xml:space="preserve"> </w:t>
      </w:r>
      <w:r>
        <w:rPr>
          <w:rFonts w:ascii="Arial" w:hAnsi="Arial" w:cs="Arial"/>
        </w:rPr>
        <w:t xml:space="preserve">în </w:t>
      </w:r>
      <w:r w:rsidR="00A50B64">
        <w:rPr>
          <w:rFonts w:ascii="Arial" w:hAnsi="Arial" w:cs="Arial"/>
        </w:rPr>
        <w:t xml:space="preserve">perioada </w:t>
      </w:r>
      <w:r>
        <w:rPr>
          <w:rFonts w:ascii="Arial" w:hAnsi="Arial" w:cs="Arial"/>
        </w:rPr>
        <w:t>2008</w:t>
      </w:r>
      <w:r w:rsidR="00A50B64">
        <w:rPr>
          <w:rFonts w:ascii="Arial" w:hAnsi="Arial" w:cs="Arial"/>
        </w:rPr>
        <w:t>-</w:t>
      </w:r>
      <w:r>
        <w:rPr>
          <w:rFonts w:ascii="Arial" w:hAnsi="Arial" w:cs="Arial"/>
        </w:rPr>
        <w:t>2014</w:t>
      </w:r>
    </w:p>
    <w:p w:rsidR="00774E01" w:rsidRDefault="00774E01" w:rsidP="00774E01">
      <w:pPr>
        <w:tabs>
          <w:tab w:val="num" w:pos="0"/>
        </w:tabs>
        <w:jc w:val="center"/>
        <w:rPr>
          <w:rFonts w:ascii="Arial" w:hAnsi="Arial" w:cs="Arial"/>
        </w:rPr>
      </w:pPr>
    </w:p>
    <w:p w:rsidR="00774E01" w:rsidRPr="00654D79" w:rsidRDefault="0001093E" w:rsidP="0001093E">
      <w:pPr>
        <w:tabs>
          <w:tab w:val="num" w:pos="0"/>
        </w:tabs>
        <w:rPr>
          <w:rFonts w:ascii="Arial" w:hAnsi="Arial" w:cs="Arial"/>
        </w:rPr>
      </w:pPr>
      <w:r>
        <w:rPr>
          <w:rFonts w:ascii="Arial" w:hAnsi="Arial" w:cs="Arial"/>
        </w:rPr>
        <w:t xml:space="preserve">                      </w:t>
      </w:r>
      <w:r w:rsidR="00774E01">
        <w:rPr>
          <w:rFonts w:ascii="Arial" w:hAnsi="Arial" w:cs="Arial"/>
        </w:rPr>
        <w:t xml:space="preserve">Tabel I.1.1.2.1. </w:t>
      </w:r>
    </w:p>
    <w:tbl>
      <w:tblPr>
        <w:tblW w:w="0" w:type="auto"/>
        <w:jc w:val="center"/>
        <w:tblInd w:w="-65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7"/>
        <w:gridCol w:w="1080"/>
        <w:gridCol w:w="951"/>
        <w:gridCol w:w="1007"/>
        <w:gridCol w:w="951"/>
        <w:gridCol w:w="951"/>
      </w:tblGrid>
      <w:tr w:rsidR="00774E01" w:rsidRPr="00654D79" w:rsidTr="00CD0BF7">
        <w:trPr>
          <w:jc w:val="center"/>
        </w:trPr>
        <w:tc>
          <w:tcPr>
            <w:tcW w:w="2207" w:type="dxa"/>
            <w:shd w:val="clear" w:color="auto" w:fill="E6E6E6"/>
          </w:tcPr>
          <w:p w:rsidR="00774E01" w:rsidRPr="00654D79" w:rsidRDefault="00774E01" w:rsidP="00CD0BF7">
            <w:pPr>
              <w:tabs>
                <w:tab w:val="num" w:pos="0"/>
              </w:tabs>
              <w:rPr>
                <w:rFonts w:ascii="Arial" w:hAnsi="Arial" w:cs="Arial"/>
              </w:rPr>
            </w:pPr>
            <w:r w:rsidRPr="00654D79">
              <w:rPr>
                <w:rFonts w:ascii="Arial" w:hAnsi="Arial" w:cs="Arial"/>
                <w:b/>
              </w:rPr>
              <w:t>NO</w:t>
            </w:r>
            <w:r w:rsidRPr="00654D79">
              <w:rPr>
                <w:rFonts w:ascii="Arial" w:hAnsi="Arial" w:cs="Arial"/>
                <w:b/>
                <w:vertAlign w:val="subscript"/>
              </w:rPr>
              <w:t>2</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1080"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Br1</w:t>
            </w:r>
          </w:p>
        </w:tc>
        <w:tc>
          <w:tcPr>
            <w:tcW w:w="951"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Br2</w:t>
            </w:r>
          </w:p>
        </w:tc>
        <w:tc>
          <w:tcPr>
            <w:tcW w:w="1007"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Br3</w:t>
            </w:r>
          </w:p>
        </w:tc>
        <w:tc>
          <w:tcPr>
            <w:tcW w:w="951"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Br4</w:t>
            </w:r>
          </w:p>
        </w:tc>
        <w:tc>
          <w:tcPr>
            <w:tcW w:w="951"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Br5</w:t>
            </w:r>
          </w:p>
        </w:tc>
      </w:tr>
      <w:tr w:rsidR="00774E01" w:rsidRPr="00654D79" w:rsidTr="00CD0BF7">
        <w:trPr>
          <w:jc w:val="center"/>
        </w:trPr>
        <w:tc>
          <w:tcPr>
            <w:tcW w:w="2207" w:type="dxa"/>
          </w:tcPr>
          <w:p w:rsidR="00774E01" w:rsidRPr="00654D79" w:rsidRDefault="00774E01" w:rsidP="00CD0BF7">
            <w:pPr>
              <w:tabs>
                <w:tab w:val="num" w:pos="0"/>
              </w:tabs>
              <w:rPr>
                <w:rFonts w:ascii="Arial" w:hAnsi="Arial" w:cs="Arial"/>
                <w:sz w:val="22"/>
                <w:szCs w:val="22"/>
              </w:rPr>
            </w:pPr>
            <w:r w:rsidRPr="00654D79">
              <w:rPr>
                <w:rFonts w:ascii="Arial" w:hAnsi="Arial" w:cs="Arial"/>
              </w:rPr>
              <w:t xml:space="preserve">2008 Medii anuale  </w:t>
            </w:r>
          </w:p>
        </w:tc>
        <w:tc>
          <w:tcPr>
            <w:tcW w:w="1080" w:type="dxa"/>
          </w:tcPr>
          <w:p w:rsidR="00774E01" w:rsidRPr="00654D79" w:rsidRDefault="00774E01" w:rsidP="00CD0BF7">
            <w:pPr>
              <w:jc w:val="center"/>
              <w:rPr>
                <w:rFonts w:ascii="Arial" w:hAnsi="Arial" w:cs="Arial"/>
              </w:rPr>
            </w:pPr>
            <w:r w:rsidRPr="00654D79">
              <w:rPr>
                <w:rFonts w:ascii="Arial" w:hAnsi="Arial" w:cs="Arial"/>
              </w:rPr>
              <w:t>43,02</w:t>
            </w:r>
          </w:p>
        </w:tc>
        <w:tc>
          <w:tcPr>
            <w:tcW w:w="951" w:type="dxa"/>
          </w:tcPr>
          <w:p w:rsidR="00774E01" w:rsidRPr="00654D79" w:rsidRDefault="00774E01" w:rsidP="00CD0BF7">
            <w:pPr>
              <w:jc w:val="center"/>
              <w:rPr>
                <w:rFonts w:ascii="Arial" w:hAnsi="Arial" w:cs="Arial"/>
              </w:rPr>
            </w:pPr>
            <w:r w:rsidRPr="00654D79">
              <w:rPr>
                <w:rFonts w:ascii="Arial" w:hAnsi="Arial" w:cs="Arial"/>
              </w:rPr>
              <w:t>15,76</w:t>
            </w:r>
          </w:p>
        </w:tc>
        <w:tc>
          <w:tcPr>
            <w:tcW w:w="1007" w:type="dxa"/>
          </w:tcPr>
          <w:p w:rsidR="00774E01" w:rsidRPr="00654D79" w:rsidRDefault="00774E01" w:rsidP="00CD0BF7">
            <w:pPr>
              <w:jc w:val="center"/>
              <w:rPr>
                <w:rFonts w:ascii="Arial" w:hAnsi="Arial" w:cs="Arial"/>
              </w:rPr>
            </w:pPr>
            <w:r w:rsidRPr="00654D79">
              <w:rPr>
                <w:rFonts w:ascii="Arial" w:hAnsi="Arial" w:cs="Arial"/>
              </w:rPr>
              <w:t>8,61</w:t>
            </w:r>
          </w:p>
        </w:tc>
        <w:tc>
          <w:tcPr>
            <w:tcW w:w="951" w:type="dxa"/>
          </w:tcPr>
          <w:p w:rsidR="00774E01" w:rsidRPr="00654D79" w:rsidRDefault="00774E01" w:rsidP="00CD0BF7">
            <w:pPr>
              <w:jc w:val="center"/>
              <w:rPr>
                <w:rFonts w:ascii="Arial" w:hAnsi="Arial" w:cs="Arial"/>
              </w:rPr>
            </w:pPr>
            <w:r w:rsidRPr="00654D79">
              <w:rPr>
                <w:rFonts w:ascii="Arial" w:hAnsi="Arial" w:cs="Arial"/>
              </w:rPr>
              <w:t>13,62</w:t>
            </w:r>
          </w:p>
        </w:tc>
        <w:tc>
          <w:tcPr>
            <w:tcW w:w="951" w:type="dxa"/>
          </w:tcPr>
          <w:p w:rsidR="00774E01" w:rsidRPr="00654D79" w:rsidRDefault="00774E01" w:rsidP="00CD0BF7">
            <w:pPr>
              <w:jc w:val="center"/>
              <w:rPr>
                <w:rFonts w:ascii="Arial" w:hAnsi="Arial" w:cs="Arial"/>
              </w:rPr>
            </w:pPr>
            <w:r w:rsidRPr="00654D79">
              <w:rPr>
                <w:rFonts w:ascii="Arial" w:hAnsi="Arial" w:cs="Arial"/>
              </w:rPr>
              <w:t>11,68</w:t>
            </w:r>
          </w:p>
        </w:tc>
      </w:tr>
      <w:tr w:rsidR="00774E01" w:rsidRPr="00654D79" w:rsidTr="00CD0BF7">
        <w:trPr>
          <w:jc w:val="center"/>
        </w:trPr>
        <w:tc>
          <w:tcPr>
            <w:tcW w:w="2207" w:type="dxa"/>
          </w:tcPr>
          <w:p w:rsidR="00774E01" w:rsidRPr="00654D79" w:rsidRDefault="00774E01" w:rsidP="00CD0BF7">
            <w:pPr>
              <w:tabs>
                <w:tab w:val="num" w:pos="0"/>
              </w:tabs>
              <w:jc w:val="center"/>
              <w:rPr>
                <w:rFonts w:ascii="Arial" w:hAnsi="Arial" w:cs="Arial"/>
              </w:rPr>
            </w:pPr>
            <w:r w:rsidRPr="00654D79">
              <w:rPr>
                <w:rFonts w:ascii="Arial" w:hAnsi="Arial" w:cs="Arial"/>
              </w:rPr>
              <w:t>2009 Medii anuale</w:t>
            </w:r>
          </w:p>
        </w:tc>
        <w:tc>
          <w:tcPr>
            <w:tcW w:w="1080" w:type="dxa"/>
          </w:tcPr>
          <w:p w:rsidR="00774E01" w:rsidRPr="00654D79" w:rsidRDefault="00774E01" w:rsidP="00CD0BF7">
            <w:pPr>
              <w:jc w:val="center"/>
              <w:rPr>
                <w:rFonts w:ascii="Arial" w:hAnsi="Arial" w:cs="Arial"/>
              </w:rPr>
            </w:pPr>
            <w:r w:rsidRPr="00654D79">
              <w:rPr>
                <w:rFonts w:ascii="Arial" w:hAnsi="Arial" w:cs="Arial"/>
              </w:rPr>
              <w:t>30,74</w:t>
            </w:r>
          </w:p>
        </w:tc>
        <w:tc>
          <w:tcPr>
            <w:tcW w:w="951" w:type="dxa"/>
          </w:tcPr>
          <w:p w:rsidR="00774E01" w:rsidRPr="00654D79" w:rsidRDefault="00774E01" w:rsidP="00CD0BF7">
            <w:pPr>
              <w:jc w:val="center"/>
              <w:rPr>
                <w:rFonts w:ascii="Arial" w:hAnsi="Arial" w:cs="Arial"/>
              </w:rPr>
            </w:pPr>
            <w:r w:rsidRPr="00654D79">
              <w:rPr>
                <w:rFonts w:ascii="Arial" w:hAnsi="Arial" w:cs="Arial"/>
              </w:rPr>
              <w:t>12,25</w:t>
            </w:r>
          </w:p>
        </w:tc>
        <w:tc>
          <w:tcPr>
            <w:tcW w:w="1007" w:type="dxa"/>
          </w:tcPr>
          <w:p w:rsidR="00774E01" w:rsidRPr="00654D79" w:rsidRDefault="00774E01" w:rsidP="00CD0BF7">
            <w:pPr>
              <w:jc w:val="center"/>
              <w:rPr>
                <w:rFonts w:ascii="Arial" w:hAnsi="Arial" w:cs="Arial"/>
              </w:rPr>
            </w:pPr>
            <w:r w:rsidRPr="00654D79">
              <w:rPr>
                <w:rFonts w:ascii="Arial" w:hAnsi="Arial" w:cs="Arial"/>
              </w:rPr>
              <w:t>9,00</w:t>
            </w:r>
          </w:p>
        </w:tc>
        <w:tc>
          <w:tcPr>
            <w:tcW w:w="951" w:type="dxa"/>
          </w:tcPr>
          <w:p w:rsidR="00774E01" w:rsidRPr="00654D79" w:rsidRDefault="00774E01" w:rsidP="00CD0BF7">
            <w:pPr>
              <w:jc w:val="center"/>
              <w:rPr>
                <w:rFonts w:ascii="Arial" w:hAnsi="Arial" w:cs="Arial"/>
              </w:rPr>
            </w:pPr>
            <w:r w:rsidRPr="00654D79">
              <w:rPr>
                <w:rFonts w:ascii="Arial" w:hAnsi="Arial" w:cs="Arial"/>
              </w:rPr>
              <w:t>9,64</w:t>
            </w:r>
          </w:p>
        </w:tc>
        <w:tc>
          <w:tcPr>
            <w:tcW w:w="951" w:type="dxa"/>
          </w:tcPr>
          <w:p w:rsidR="00774E01" w:rsidRPr="00654D79" w:rsidRDefault="00774E01" w:rsidP="00CD0BF7">
            <w:pPr>
              <w:jc w:val="center"/>
              <w:rPr>
                <w:rFonts w:ascii="Arial" w:hAnsi="Arial" w:cs="Arial"/>
              </w:rPr>
            </w:pPr>
            <w:r w:rsidRPr="00654D79">
              <w:rPr>
                <w:rFonts w:ascii="Arial" w:hAnsi="Arial" w:cs="Arial"/>
              </w:rPr>
              <w:t>10,3</w:t>
            </w:r>
          </w:p>
        </w:tc>
      </w:tr>
      <w:tr w:rsidR="00774E01" w:rsidRPr="00654D79" w:rsidTr="00CD0BF7">
        <w:trPr>
          <w:jc w:val="center"/>
        </w:trPr>
        <w:tc>
          <w:tcPr>
            <w:tcW w:w="2207" w:type="dxa"/>
          </w:tcPr>
          <w:p w:rsidR="00774E01" w:rsidRPr="00654D79" w:rsidRDefault="00774E01" w:rsidP="00CD0BF7">
            <w:pPr>
              <w:tabs>
                <w:tab w:val="num" w:pos="0"/>
              </w:tabs>
              <w:jc w:val="center"/>
              <w:rPr>
                <w:rFonts w:ascii="Arial" w:hAnsi="Arial" w:cs="Arial"/>
              </w:rPr>
            </w:pPr>
            <w:r w:rsidRPr="00654D79">
              <w:rPr>
                <w:rFonts w:ascii="Arial" w:hAnsi="Arial" w:cs="Arial"/>
              </w:rPr>
              <w:t>2010 Medii anuale</w:t>
            </w:r>
          </w:p>
        </w:tc>
        <w:tc>
          <w:tcPr>
            <w:tcW w:w="1080" w:type="dxa"/>
          </w:tcPr>
          <w:p w:rsidR="00774E01" w:rsidRPr="00654D79" w:rsidRDefault="00774E01" w:rsidP="00CD0BF7">
            <w:pPr>
              <w:jc w:val="center"/>
              <w:rPr>
                <w:rFonts w:ascii="Arial" w:hAnsi="Arial" w:cs="Arial"/>
              </w:rPr>
            </w:pPr>
            <w:r w:rsidRPr="00654D79">
              <w:rPr>
                <w:rFonts w:ascii="Arial" w:hAnsi="Arial" w:cs="Arial"/>
              </w:rPr>
              <w:t>28,09</w:t>
            </w:r>
          </w:p>
        </w:tc>
        <w:tc>
          <w:tcPr>
            <w:tcW w:w="951" w:type="dxa"/>
          </w:tcPr>
          <w:p w:rsidR="00774E01" w:rsidRPr="00654D79" w:rsidRDefault="00774E01" w:rsidP="00CD0BF7">
            <w:pPr>
              <w:jc w:val="center"/>
              <w:rPr>
                <w:rFonts w:ascii="Arial" w:hAnsi="Arial" w:cs="Arial"/>
              </w:rPr>
            </w:pPr>
            <w:r w:rsidRPr="00654D79">
              <w:rPr>
                <w:rFonts w:ascii="Arial" w:hAnsi="Arial" w:cs="Arial"/>
              </w:rPr>
              <w:t>23,94</w:t>
            </w:r>
          </w:p>
        </w:tc>
        <w:tc>
          <w:tcPr>
            <w:tcW w:w="1007" w:type="dxa"/>
          </w:tcPr>
          <w:p w:rsidR="00774E01" w:rsidRPr="00654D79" w:rsidRDefault="00774E01" w:rsidP="00CD0BF7">
            <w:pPr>
              <w:jc w:val="center"/>
              <w:rPr>
                <w:rFonts w:ascii="Arial" w:hAnsi="Arial" w:cs="Arial"/>
              </w:rPr>
            </w:pPr>
            <w:r w:rsidRPr="00654D79">
              <w:rPr>
                <w:rFonts w:ascii="Arial" w:hAnsi="Arial" w:cs="Arial"/>
              </w:rPr>
              <w:t>7,59</w:t>
            </w:r>
          </w:p>
        </w:tc>
        <w:tc>
          <w:tcPr>
            <w:tcW w:w="951" w:type="dxa"/>
          </w:tcPr>
          <w:p w:rsidR="00774E01" w:rsidRPr="00654D79" w:rsidRDefault="00774E01" w:rsidP="00CD0BF7">
            <w:pPr>
              <w:jc w:val="center"/>
              <w:rPr>
                <w:rFonts w:ascii="Arial" w:hAnsi="Arial" w:cs="Arial"/>
              </w:rPr>
            </w:pPr>
            <w:r w:rsidRPr="00654D79">
              <w:rPr>
                <w:rFonts w:ascii="Arial" w:hAnsi="Arial" w:cs="Arial"/>
              </w:rPr>
              <w:t>8,52</w:t>
            </w:r>
          </w:p>
        </w:tc>
        <w:tc>
          <w:tcPr>
            <w:tcW w:w="951" w:type="dxa"/>
          </w:tcPr>
          <w:p w:rsidR="00774E01" w:rsidRPr="00654D79" w:rsidRDefault="00774E01" w:rsidP="00CD0BF7">
            <w:pPr>
              <w:jc w:val="center"/>
              <w:rPr>
                <w:rFonts w:ascii="Arial" w:hAnsi="Arial" w:cs="Arial"/>
              </w:rPr>
            </w:pPr>
            <w:r w:rsidRPr="00654D79">
              <w:rPr>
                <w:rFonts w:ascii="Arial" w:hAnsi="Arial" w:cs="Arial"/>
              </w:rPr>
              <w:t>12,5</w:t>
            </w:r>
          </w:p>
        </w:tc>
      </w:tr>
      <w:tr w:rsidR="00774E01" w:rsidRPr="00654D79" w:rsidTr="00CD0BF7">
        <w:trPr>
          <w:jc w:val="center"/>
        </w:trPr>
        <w:tc>
          <w:tcPr>
            <w:tcW w:w="2207" w:type="dxa"/>
          </w:tcPr>
          <w:p w:rsidR="00774E01" w:rsidRPr="00654D79" w:rsidRDefault="00774E01" w:rsidP="00CD0BF7">
            <w:pPr>
              <w:tabs>
                <w:tab w:val="num" w:pos="0"/>
              </w:tabs>
              <w:jc w:val="center"/>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1080"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25,36</w:t>
            </w:r>
          </w:p>
        </w:tc>
        <w:tc>
          <w:tcPr>
            <w:tcW w:w="1007"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w:t>
            </w:r>
          </w:p>
        </w:tc>
      </w:tr>
      <w:tr w:rsidR="00774E01" w:rsidRPr="00654D79" w:rsidTr="00CD0BF7">
        <w:trPr>
          <w:jc w:val="center"/>
        </w:trPr>
        <w:tc>
          <w:tcPr>
            <w:tcW w:w="2207" w:type="dxa"/>
          </w:tcPr>
          <w:p w:rsidR="00774E01" w:rsidRPr="00654D79" w:rsidRDefault="00774E01" w:rsidP="00CD0BF7">
            <w:pPr>
              <w:tabs>
                <w:tab w:val="num" w:pos="0"/>
              </w:tabs>
              <w:jc w:val="center"/>
              <w:rPr>
                <w:rFonts w:ascii="Arial" w:hAnsi="Arial" w:cs="Arial"/>
              </w:rPr>
            </w:pPr>
            <w:r>
              <w:rPr>
                <w:rFonts w:ascii="Arial" w:hAnsi="Arial" w:cs="Arial"/>
              </w:rPr>
              <w:t>2012 Medii anuale</w:t>
            </w:r>
          </w:p>
        </w:tc>
        <w:tc>
          <w:tcPr>
            <w:tcW w:w="1080" w:type="dxa"/>
          </w:tcPr>
          <w:p w:rsidR="00774E01" w:rsidRDefault="00774E01" w:rsidP="00CD0BF7">
            <w:pPr>
              <w:jc w:val="center"/>
              <w:rPr>
                <w:rFonts w:ascii="Arial" w:hAnsi="Arial" w:cs="Arial"/>
              </w:rPr>
            </w:pPr>
            <w:r>
              <w:rPr>
                <w:rFonts w:ascii="Arial" w:hAnsi="Arial" w:cs="Arial"/>
              </w:rPr>
              <w:t>30,52</w:t>
            </w:r>
          </w:p>
        </w:tc>
        <w:tc>
          <w:tcPr>
            <w:tcW w:w="951" w:type="dxa"/>
          </w:tcPr>
          <w:p w:rsidR="00774E01" w:rsidRDefault="00774E01" w:rsidP="00CD0BF7">
            <w:pPr>
              <w:jc w:val="center"/>
              <w:rPr>
                <w:rFonts w:ascii="Arial" w:hAnsi="Arial" w:cs="Arial"/>
              </w:rPr>
            </w:pPr>
            <w:r>
              <w:rPr>
                <w:rFonts w:ascii="Arial" w:hAnsi="Arial" w:cs="Arial"/>
              </w:rPr>
              <w:t>24,94</w:t>
            </w:r>
          </w:p>
        </w:tc>
        <w:tc>
          <w:tcPr>
            <w:tcW w:w="1007" w:type="dxa"/>
          </w:tcPr>
          <w:p w:rsidR="00774E01" w:rsidRDefault="00774E01" w:rsidP="00CD0BF7">
            <w:pPr>
              <w:jc w:val="center"/>
              <w:rPr>
                <w:rFonts w:ascii="Arial" w:hAnsi="Arial" w:cs="Arial"/>
              </w:rPr>
            </w:pPr>
            <w:r>
              <w:rPr>
                <w:rFonts w:ascii="Arial" w:hAnsi="Arial" w:cs="Arial"/>
              </w:rPr>
              <w:t>13,11</w:t>
            </w:r>
          </w:p>
        </w:tc>
        <w:tc>
          <w:tcPr>
            <w:tcW w:w="951" w:type="dxa"/>
          </w:tcPr>
          <w:p w:rsidR="00774E01" w:rsidRDefault="00774E01" w:rsidP="00CD0BF7">
            <w:pPr>
              <w:jc w:val="center"/>
              <w:rPr>
                <w:rFonts w:ascii="Arial" w:hAnsi="Arial" w:cs="Arial"/>
              </w:rPr>
            </w:pPr>
            <w:r>
              <w:rPr>
                <w:rFonts w:ascii="Arial" w:hAnsi="Arial" w:cs="Arial"/>
              </w:rPr>
              <w:t>21,70</w:t>
            </w:r>
          </w:p>
        </w:tc>
        <w:tc>
          <w:tcPr>
            <w:tcW w:w="951" w:type="dxa"/>
          </w:tcPr>
          <w:p w:rsidR="00774E01" w:rsidRDefault="00774E01" w:rsidP="00CD0BF7">
            <w:pPr>
              <w:jc w:val="center"/>
              <w:rPr>
                <w:rFonts w:ascii="Arial" w:hAnsi="Arial" w:cs="Arial"/>
              </w:rPr>
            </w:pPr>
            <w:r>
              <w:rPr>
                <w:rFonts w:ascii="Arial" w:hAnsi="Arial" w:cs="Arial"/>
              </w:rPr>
              <w:t>-</w:t>
            </w:r>
          </w:p>
        </w:tc>
      </w:tr>
      <w:tr w:rsidR="00774E01" w:rsidRPr="00654D79" w:rsidTr="00CD0BF7">
        <w:trPr>
          <w:jc w:val="center"/>
        </w:trPr>
        <w:tc>
          <w:tcPr>
            <w:tcW w:w="2207" w:type="dxa"/>
          </w:tcPr>
          <w:p w:rsidR="00774E01" w:rsidRDefault="00774E01" w:rsidP="00CD0BF7">
            <w:pPr>
              <w:tabs>
                <w:tab w:val="num" w:pos="0"/>
              </w:tabs>
              <w:jc w:val="center"/>
              <w:rPr>
                <w:rFonts w:ascii="Arial" w:hAnsi="Arial" w:cs="Arial"/>
              </w:rPr>
            </w:pPr>
            <w:r>
              <w:rPr>
                <w:rFonts w:ascii="Arial" w:hAnsi="Arial" w:cs="Arial"/>
              </w:rPr>
              <w:t>2013 Medii anuale</w:t>
            </w:r>
          </w:p>
        </w:tc>
        <w:tc>
          <w:tcPr>
            <w:tcW w:w="1080"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3,86</w:t>
            </w:r>
          </w:p>
        </w:tc>
        <w:tc>
          <w:tcPr>
            <w:tcW w:w="1007" w:type="dxa"/>
          </w:tcPr>
          <w:p w:rsidR="00774E01" w:rsidRDefault="00774E01" w:rsidP="00CD0BF7">
            <w:pPr>
              <w:jc w:val="center"/>
              <w:rPr>
                <w:rFonts w:ascii="Arial" w:hAnsi="Arial" w:cs="Arial"/>
              </w:rPr>
            </w:pPr>
            <w:r>
              <w:rPr>
                <w:rFonts w:ascii="Arial" w:hAnsi="Arial" w:cs="Arial"/>
              </w:rPr>
              <w:t>10,44</w:t>
            </w:r>
          </w:p>
        </w:tc>
        <w:tc>
          <w:tcPr>
            <w:tcW w:w="951" w:type="dxa"/>
          </w:tcPr>
          <w:p w:rsidR="00774E01" w:rsidRDefault="00774E01" w:rsidP="00CD0BF7">
            <w:pPr>
              <w:jc w:val="center"/>
              <w:rPr>
                <w:rFonts w:ascii="Arial" w:hAnsi="Arial" w:cs="Arial"/>
              </w:rPr>
            </w:pPr>
            <w:r>
              <w:rPr>
                <w:rFonts w:ascii="Arial" w:hAnsi="Arial" w:cs="Arial"/>
              </w:rPr>
              <w:t>5,15</w:t>
            </w:r>
          </w:p>
        </w:tc>
        <w:tc>
          <w:tcPr>
            <w:tcW w:w="951" w:type="dxa"/>
          </w:tcPr>
          <w:p w:rsidR="00774E01" w:rsidRDefault="00774E01" w:rsidP="00CD0BF7">
            <w:pPr>
              <w:jc w:val="center"/>
              <w:rPr>
                <w:rFonts w:ascii="Arial" w:hAnsi="Arial" w:cs="Arial"/>
              </w:rPr>
            </w:pPr>
            <w:r>
              <w:rPr>
                <w:rFonts w:ascii="Arial" w:hAnsi="Arial" w:cs="Arial"/>
              </w:rPr>
              <w:t>-</w:t>
            </w:r>
          </w:p>
        </w:tc>
      </w:tr>
      <w:tr w:rsidR="00774E01" w:rsidRPr="00654D79" w:rsidTr="00CD0BF7">
        <w:trPr>
          <w:jc w:val="center"/>
        </w:trPr>
        <w:tc>
          <w:tcPr>
            <w:tcW w:w="2207" w:type="dxa"/>
          </w:tcPr>
          <w:p w:rsidR="00774E01" w:rsidRDefault="00774E01" w:rsidP="00CD0BF7">
            <w:pPr>
              <w:tabs>
                <w:tab w:val="num" w:pos="0"/>
              </w:tabs>
              <w:jc w:val="center"/>
              <w:rPr>
                <w:rFonts w:ascii="Arial" w:hAnsi="Arial" w:cs="Arial"/>
              </w:rPr>
            </w:pPr>
            <w:r>
              <w:rPr>
                <w:rFonts w:ascii="Arial" w:hAnsi="Arial" w:cs="Arial"/>
              </w:rPr>
              <w:t>2014 Medii anuale</w:t>
            </w:r>
          </w:p>
        </w:tc>
        <w:tc>
          <w:tcPr>
            <w:tcW w:w="1080"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15,50</w:t>
            </w:r>
          </w:p>
        </w:tc>
        <w:tc>
          <w:tcPr>
            <w:tcW w:w="1007" w:type="dxa"/>
          </w:tcPr>
          <w:p w:rsidR="00774E01" w:rsidRDefault="00774E01" w:rsidP="00CD0BF7">
            <w:pPr>
              <w:jc w:val="center"/>
              <w:rPr>
                <w:rFonts w:ascii="Arial" w:hAnsi="Arial" w:cs="Arial"/>
              </w:rPr>
            </w:pPr>
            <w:r>
              <w:rPr>
                <w:rFonts w:ascii="Arial" w:hAnsi="Arial" w:cs="Arial"/>
              </w:rPr>
              <w:t>7,41</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r>
    </w:tbl>
    <w:p w:rsidR="00774E01" w:rsidRDefault="00774E01" w:rsidP="00774E01">
      <w:pPr>
        <w:tabs>
          <w:tab w:val="num" w:pos="0"/>
        </w:tabs>
        <w:jc w:val="center"/>
        <w:rPr>
          <w:rFonts w:ascii="Arial" w:hAnsi="Arial" w:cs="Arial"/>
        </w:rPr>
      </w:pPr>
    </w:p>
    <w:p w:rsidR="00261E9E" w:rsidRPr="009717FC" w:rsidRDefault="009717FC" w:rsidP="0005468F">
      <w:pPr>
        <w:tabs>
          <w:tab w:val="left" w:pos="709"/>
        </w:tabs>
        <w:ind w:right="31"/>
        <w:jc w:val="both"/>
        <w:rPr>
          <w:rFonts w:ascii="Arial" w:hAnsi="Arial" w:cs="Arial"/>
          <w:lang w:val="ro-RO"/>
        </w:rPr>
      </w:pPr>
      <w:r w:rsidRPr="009717FC">
        <w:rPr>
          <w:rFonts w:ascii="Arial" w:hAnsi="Arial" w:cs="Arial"/>
        </w:rPr>
        <w:t xml:space="preserve">Măsurătorile efectuate în staţiile de monitorizare din </w:t>
      </w:r>
      <w:r w:rsidR="0005468F">
        <w:rPr>
          <w:rFonts w:ascii="Arial" w:hAnsi="Arial" w:cs="Arial"/>
        </w:rPr>
        <w:t xml:space="preserve">aglomerarea </w:t>
      </w:r>
      <w:r w:rsidRPr="009717FC">
        <w:rPr>
          <w:rFonts w:ascii="Arial" w:hAnsi="Arial" w:cs="Arial"/>
        </w:rPr>
        <w:t>Brăila au indicat o tendinţă generală de descreştere a valorilor medii anuale ale NO</w:t>
      </w:r>
      <w:r w:rsidRPr="00A1104F">
        <w:rPr>
          <w:rFonts w:ascii="Arial" w:hAnsi="Arial" w:cs="Arial"/>
          <w:vertAlign w:val="subscript"/>
        </w:rPr>
        <w:t>2</w:t>
      </w:r>
      <w:r w:rsidRPr="009717FC">
        <w:rPr>
          <w:rFonts w:ascii="Arial" w:hAnsi="Arial" w:cs="Arial"/>
        </w:rPr>
        <w:t xml:space="preserve"> în perioada 2008-2014.</w:t>
      </w:r>
    </w:p>
    <w:p w:rsidR="0020345C" w:rsidRDefault="0020345C" w:rsidP="0005468F">
      <w:pPr>
        <w:tabs>
          <w:tab w:val="left" w:pos="709"/>
        </w:tabs>
        <w:ind w:left="720" w:right="31"/>
        <w:jc w:val="both"/>
        <w:rPr>
          <w:rFonts w:ascii="Arial" w:hAnsi="Arial" w:cs="Arial"/>
          <w:b/>
          <w:lang w:val="ro-RO"/>
        </w:rPr>
      </w:pPr>
    </w:p>
    <w:p w:rsidR="00A1104F" w:rsidRDefault="00A1104F" w:rsidP="00943E06">
      <w:pPr>
        <w:tabs>
          <w:tab w:val="left" w:pos="709"/>
        </w:tabs>
        <w:ind w:left="720" w:right="31"/>
        <w:rPr>
          <w:rFonts w:ascii="Arial" w:hAnsi="Arial" w:cs="Arial"/>
          <w:b/>
          <w:lang w:val="ro-RO"/>
        </w:rPr>
      </w:pPr>
    </w:p>
    <w:p w:rsidR="00774E01" w:rsidRDefault="00774E01" w:rsidP="00757CB6">
      <w:pPr>
        <w:tabs>
          <w:tab w:val="left" w:pos="709"/>
        </w:tabs>
        <w:ind w:right="31"/>
        <w:rPr>
          <w:rFonts w:ascii="Arial" w:hAnsi="Arial" w:cs="Arial"/>
          <w:b/>
          <w:lang w:val="ro-RO"/>
        </w:rPr>
      </w:pPr>
      <w:r w:rsidRPr="00BF20E8">
        <w:rPr>
          <w:rFonts w:ascii="Arial" w:hAnsi="Arial" w:cs="Arial"/>
          <w:b/>
          <w:lang w:val="ro-RO"/>
        </w:rPr>
        <w:lastRenderedPageBreak/>
        <w:t>Dioxid de sulf</w:t>
      </w:r>
    </w:p>
    <w:p w:rsidR="00943E06" w:rsidRPr="009717FC" w:rsidRDefault="00943E06" w:rsidP="00757CB6">
      <w:pPr>
        <w:autoSpaceDE w:val="0"/>
        <w:autoSpaceDN w:val="0"/>
        <w:adjustRightInd w:val="0"/>
        <w:jc w:val="both"/>
        <w:rPr>
          <w:rFonts w:ascii="Arial" w:eastAsia="Times New Roman" w:hAnsi="Arial" w:cs="Arial"/>
          <w:color w:val="000000"/>
          <w:lang w:val="ro-RO" w:eastAsia="ro-RO"/>
        </w:rPr>
      </w:pPr>
      <w:r w:rsidRPr="009717FC">
        <w:rPr>
          <w:rFonts w:ascii="Arial" w:eastAsia="Times New Roman" w:hAnsi="Arial" w:cs="Arial"/>
          <w:color w:val="000000"/>
          <w:lang w:val="ro-RO" w:eastAsia="ro-RO"/>
        </w:rPr>
        <w:t xml:space="preserve">Dioxidul de sulf poate să provină din surse naturale (erupţiile vulcanice, fitoplanctonul marin, fermentaţia bacteriană în zonele mlăştinoase, oxidarea gazului cu conţinut de sulf rezultat din descompunerea biomasei) şi surse antropice (sistemele de încălzire a populaţiei care nu utilizează gaz metan, centralele termoelectrice, procesele industriale-siderurgie, rafinărie, producerea acidului sulfuric, industria celulozei şi hârtiei - şi din emisiile provenite de la motoarele diesel în mai mică proporţie). </w:t>
      </w:r>
    </w:p>
    <w:p w:rsidR="00943E06" w:rsidRPr="00943E06" w:rsidRDefault="00943E06" w:rsidP="00943E06">
      <w:pPr>
        <w:tabs>
          <w:tab w:val="left" w:pos="709"/>
        </w:tabs>
        <w:ind w:left="720" w:right="31"/>
        <w:rPr>
          <w:rFonts w:ascii="Arial" w:hAnsi="Arial" w:cs="Arial"/>
          <w:b/>
          <w:lang w:val="ro-RO"/>
        </w:rPr>
      </w:pPr>
    </w:p>
    <w:p w:rsidR="00774E01" w:rsidRPr="00654D79" w:rsidRDefault="00774E01" w:rsidP="00774E01">
      <w:pPr>
        <w:tabs>
          <w:tab w:val="num" w:pos="0"/>
        </w:tabs>
        <w:jc w:val="center"/>
        <w:rPr>
          <w:rFonts w:ascii="Arial" w:hAnsi="Arial" w:cs="Arial"/>
        </w:rPr>
      </w:pPr>
    </w:p>
    <w:p w:rsidR="00774E01" w:rsidRDefault="00774E01" w:rsidP="00774E01">
      <w:pPr>
        <w:tabs>
          <w:tab w:val="num" w:pos="0"/>
        </w:tabs>
        <w:jc w:val="center"/>
        <w:rPr>
          <w:rFonts w:ascii="Arial" w:hAnsi="Arial" w:cs="Arial"/>
        </w:rPr>
      </w:pPr>
      <w:r>
        <w:rPr>
          <w:rFonts w:ascii="Arial" w:hAnsi="Arial" w:cs="Arial"/>
          <w:noProof/>
          <w:lang w:val="ro-RO" w:eastAsia="ro-RO"/>
        </w:rPr>
        <w:drawing>
          <wp:inline distT="0" distB="0" distL="0" distR="0">
            <wp:extent cx="5019675" cy="2047875"/>
            <wp:effectExtent l="0" t="0" r="0" b="0"/>
            <wp:docPr id="19"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
              </a:graphicData>
            </a:graphic>
          </wp:inline>
        </w:drawing>
      </w:r>
    </w:p>
    <w:p w:rsidR="00774E01" w:rsidRDefault="00774E01" w:rsidP="00774E01">
      <w:pPr>
        <w:tabs>
          <w:tab w:val="num" w:pos="0"/>
        </w:tabs>
        <w:jc w:val="center"/>
        <w:rPr>
          <w:rFonts w:ascii="Arial" w:hAnsi="Arial" w:cs="Arial"/>
        </w:rPr>
      </w:pPr>
      <w:r>
        <w:rPr>
          <w:rFonts w:ascii="Arial" w:hAnsi="Arial" w:cs="Arial"/>
        </w:rPr>
        <w:t>Fig. I</w:t>
      </w:r>
      <w:r w:rsidR="00CD0BF7">
        <w:rPr>
          <w:rFonts w:ascii="Arial" w:hAnsi="Arial" w:cs="Arial"/>
        </w:rPr>
        <w:t>.</w:t>
      </w:r>
      <w:r>
        <w:rPr>
          <w:rFonts w:ascii="Arial" w:hAnsi="Arial" w:cs="Arial"/>
        </w:rPr>
        <w:t xml:space="preserve">1.1.2.2. </w:t>
      </w:r>
      <w:r w:rsidRPr="00654D79">
        <w:rPr>
          <w:rFonts w:ascii="Arial" w:hAnsi="Arial" w:cs="Arial"/>
        </w:rPr>
        <w:t>Concentraţia medie</w:t>
      </w:r>
      <w:r>
        <w:rPr>
          <w:rFonts w:ascii="Arial" w:hAnsi="Arial" w:cs="Arial"/>
        </w:rPr>
        <w:t xml:space="preserve"> anuală a dioxidului de sulf în</w:t>
      </w:r>
      <w:r w:rsidR="00A50B64">
        <w:rPr>
          <w:rFonts w:ascii="Arial" w:hAnsi="Arial" w:cs="Arial"/>
        </w:rPr>
        <w:t xml:space="preserve"> perioada </w:t>
      </w:r>
    </w:p>
    <w:p w:rsidR="00774E01" w:rsidRDefault="00774E01" w:rsidP="00774E01">
      <w:pPr>
        <w:tabs>
          <w:tab w:val="num" w:pos="0"/>
        </w:tabs>
        <w:jc w:val="center"/>
        <w:rPr>
          <w:rFonts w:ascii="Arial" w:hAnsi="Arial" w:cs="Arial"/>
        </w:rPr>
      </w:pPr>
      <w:r w:rsidRPr="00654D79">
        <w:rPr>
          <w:rFonts w:ascii="Arial" w:hAnsi="Arial" w:cs="Arial"/>
        </w:rPr>
        <w:t>2008</w:t>
      </w:r>
      <w:r w:rsidR="00A50B64">
        <w:rPr>
          <w:rFonts w:ascii="Arial" w:hAnsi="Arial" w:cs="Arial"/>
        </w:rPr>
        <w:t>-</w:t>
      </w:r>
      <w:r>
        <w:rPr>
          <w:rFonts w:ascii="Arial" w:hAnsi="Arial" w:cs="Arial"/>
        </w:rPr>
        <w:t>2014</w:t>
      </w:r>
    </w:p>
    <w:p w:rsidR="00774E01" w:rsidRDefault="00774E01" w:rsidP="00774E01">
      <w:pPr>
        <w:tabs>
          <w:tab w:val="num" w:pos="0"/>
        </w:tabs>
        <w:jc w:val="center"/>
        <w:rPr>
          <w:rFonts w:ascii="Arial" w:hAnsi="Arial" w:cs="Arial"/>
        </w:rPr>
      </w:pPr>
    </w:p>
    <w:p w:rsidR="00774E01" w:rsidRPr="00654D79" w:rsidRDefault="00B419BF" w:rsidP="00B419BF">
      <w:pPr>
        <w:tabs>
          <w:tab w:val="num" w:pos="0"/>
        </w:tabs>
        <w:ind w:firstLine="720"/>
        <w:rPr>
          <w:rFonts w:ascii="Arial" w:hAnsi="Arial" w:cs="Arial"/>
        </w:rPr>
      </w:pPr>
      <w:r>
        <w:rPr>
          <w:rFonts w:ascii="Arial" w:hAnsi="Arial" w:cs="Arial"/>
        </w:rPr>
        <w:t xml:space="preserve">     Tabel I.1.1.2.2.</w:t>
      </w:r>
      <w:r w:rsidR="00774E01">
        <w:rPr>
          <w:rFonts w:ascii="Arial" w:hAnsi="Arial" w:cs="Arial"/>
        </w:rPr>
        <w:tab/>
      </w:r>
      <w:r w:rsidR="00774E01">
        <w:rPr>
          <w:rFonts w:ascii="Arial" w:hAnsi="Arial" w:cs="Arial"/>
        </w:rPr>
        <w:tab/>
      </w:r>
      <w:r w:rsidR="00774E01">
        <w:rPr>
          <w:rFonts w:ascii="Arial" w:hAnsi="Arial" w:cs="Arial"/>
        </w:rPr>
        <w:tab/>
      </w:r>
      <w:r w:rsidR="00774E01">
        <w:rPr>
          <w:rFonts w:ascii="Arial" w:hAnsi="Arial" w:cs="Arial"/>
        </w:rPr>
        <w:tab/>
      </w:r>
      <w:r w:rsidR="00774E01">
        <w:rPr>
          <w:rFonts w:ascii="Arial" w:hAnsi="Arial" w:cs="Arial"/>
        </w:rPr>
        <w:tab/>
      </w:r>
      <w:r w:rsidR="00774E01">
        <w:rPr>
          <w:rFonts w:ascii="Arial" w:hAnsi="Arial" w:cs="Arial"/>
        </w:rPr>
        <w:tab/>
      </w:r>
      <w:r w:rsidR="00774E01">
        <w:rPr>
          <w:rFonts w:ascii="Arial" w:hAnsi="Arial" w:cs="Arial"/>
        </w:rPr>
        <w:tab/>
      </w:r>
      <w:r w:rsidR="00774E01">
        <w:rPr>
          <w:rFonts w:ascii="Arial" w:hAnsi="Arial" w:cs="Arial"/>
        </w:rPr>
        <w:tab/>
        <w:t xml:space="preserve"> </w:t>
      </w:r>
    </w:p>
    <w:tbl>
      <w:tblPr>
        <w:tblW w:w="0" w:type="auto"/>
        <w:jc w:val="center"/>
        <w:tblInd w:w="-9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480"/>
        <w:gridCol w:w="1080"/>
        <w:gridCol w:w="1167"/>
        <w:gridCol w:w="1167"/>
        <w:gridCol w:w="1265"/>
        <w:gridCol w:w="1265"/>
      </w:tblGrid>
      <w:tr w:rsidR="00774E01" w:rsidRPr="00654D79" w:rsidTr="00CD0BF7">
        <w:trPr>
          <w:jc w:val="center"/>
        </w:trPr>
        <w:tc>
          <w:tcPr>
            <w:tcW w:w="2480" w:type="dxa"/>
            <w:shd w:val="clear" w:color="auto" w:fill="E6E6E6"/>
          </w:tcPr>
          <w:p w:rsidR="00774E01" w:rsidRPr="00654D79" w:rsidRDefault="00774E01" w:rsidP="00CD0BF7">
            <w:pPr>
              <w:tabs>
                <w:tab w:val="num" w:pos="0"/>
              </w:tabs>
              <w:rPr>
                <w:rFonts w:ascii="Arial" w:hAnsi="Arial" w:cs="Arial"/>
              </w:rPr>
            </w:pPr>
            <w:r w:rsidRPr="00654D79">
              <w:rPr>
                <w:rFonts w:ascii="Arial" w:hAnsi="Arial" w:cs="Arial"/>
                <w:b/>
              </w:rPr>
              <w:t>SO</w:t>
            </w:r>
            <w:r w:rsidRPr="00654D79">
              <w:rPr>
                <w:rFonts w:ascii="Arial" w:hAnsi="Arial" w:cs="Arial"/>
                <w:b/>
                <w:vertAlign w:val="subscript"/>
              </w:rPr>
              <w:t>2</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1080"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Br1</w:t>
            </w:r>
          </w:p>
        </w:tc>
        <w:tc>
          <w:tcPr>
            <w:tcW w:w="1167"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Br2</w:t>
            </w:r>
          </w:p>
        </w:tc>
        <w:tc>
          <w:tcPr>
            <w:tcW w:w="1167"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Br3</w:t>
            </w:r>
          </w:p>
        </w:tc>
        <w:tc>
          <w:tcPr>
            <w:tcW w:w="1265"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Br4</w:t>
            </w:r>
          </w:p>
        </w:tc>
        <w:tc>
          <w:tcPr>
            <w:tcW w:w="1265" w:type="dxa"/>
            <w:shd w:val="clear" w:color="auto" w:fill="E6E6E6"/>
          </w:tcPr>
          <w:p w:rsidR="00774E01" w:rsidRPr="00654D79" w:rsidRDefault="00774E01" w:rsidP="00CD0BF7">
            <w:pPr>
              <w:jc w:val="center"/>
              <w:rPr>
                <w:rFonts w:ascii="Arial" w:hAnsi="Arial" w:cs="Arial"/>
                <w:b/>
              </w:rPr>
            </w:pPr>
            <w:r w:rsidRPr="00654D79">
              <w:rPr>
                <w:rFonts w:ascii="Arial" w:hAnsi="Arial" w:cs="Arial"/>
                <w:b/>
              </w:rPr>
              <w:t>Br5</w:t>
            </w:r>
          </w:p>
        </w:tc>
      </w:tr>
      <w:tr w:rsidR="00774E01" w:rsidRPr="00654D79" w:rsidTr="00CD0BF7">
        <w:trPr>
          <w:jc w:val="center"/>
        </w:trPr>
        <w:tc>
          <w:tcPr>
            <w:tcW w:w="2480" w:type="dxa"/>
          </w:tcPr>
          <w:p w:rsidR="00774E01" w:rsidRPr="00654D79" w:rsidRDefault="00774E01" w:rsidP="00CD0BF7">
            <w:pPr>
              <w:tabs>
                <w:tab w:val="num" w:pos="0"/>
              </w:tabs>
              <w:rPr>
                <w:rFonts w:ascii="Arial" w:hAnsi="Arial" w:cs="Arial"/>
                <w:sz w:val="22"/>
                <w:szCs w:val="22"/>
              </w:rPr>
            </w:pPr>
            <w:r w:rsidRPr="00654D79">
              <w:rPr>
                <w:rFonts w:ascii="Arial" w:hAnsi="Arial" w:cs="Arial"/>
              </w:rPr>
              <w:t xml:space="preserve">2008 Medii anuale  </w:t>
            </w:r>
          </w:p>
        </w:tc>
        <w:tc>
          <w:tcPr>
            <w:tcW w:w="1080" w:type="dxa"/>
          </w:tcPr>
          <w:p w:rsidR="00774E01" w:rsidRPr="00654D79" w:rsidRDefault="00774E01" w:rsidP="00CD0BF7">
            <w:pPr>
              <w:jc w:val="center"/>
              <w:rPr>
                <w:rFonts w:ascii="Arial" w:hAnsi="Arial" w:cs="Arial"/>
              </w:rPr>
            </w:pPr>
            <w:r w:rsidRPr="00654D79">
              <w:rPr>
                <w:rFonts w:ascii="Arial" w:hAnsi="Arial" w:cs="Arial"/>
              </w:rPr>
              <w:t>3,51</w:t>
            </w:r>
          </w:p>
        </w:tc>
        <w:tc>
          <w:tcPr>
            <w:tcW w:w="1167" w:type="dxa"/>
          </w:tcPr>
          <w:p w:rsidR="00774E01" w:rsidRPr="00654D79" w:rsidRDefault="00774E01" w:rsidP="00CD0BF7">
            <w:pPr>
              <w:jc w:val="center"/>
              <w:rPr>
                <w:rFonts w:ascii="Arial" w:hAnsi="Arial" w:cs="Arial"/>
              </w:rPr>
            </w:pPr>
            <w:r w:rsidRPr="00654D79">
              <w:rPr>
                <w:rFonts w:ascii="Arial" w:hAnsi="Arial" w:cs="Arial"/>
              </w:rPr>
              <w:t>-</w:t>
            </w:r>
          </w:p>
        </w:tc>
        <w:tc>
          <w:tcPr>
            <w:tcW w:w="1167" w:type="dxa"/>
          </w:tcPr>
          <w:p w:rsidR="00774E01" w:rsidRPr="00654D79" w:rsidRDefault="00774E01" w:rsidP="00CD0BF7">
            <w:pPr>
              <w:jc w:val="center"/>
              <w:rPr>
                <w:rFonts w:ascii="Arial" w:hAnsi="Arial" w:cs="Arial"/>
              </w:rPr>
            </w:pPr>
            <w:r w:rsidRPr="00654D79">
              <w:rPr>
                <w:rFonts w:ascii="Arial" w:hAnsi="Arial" w:cs="Arial"/>
              </w:rPr>
              <w:t>10,30</w:t>
            </w:r>
          </w:p>
        </w:tc>
        <w:tc>
          <w:tcPr>
            <w:tcW w:w="1265" w:type="dxa"/>
          </w:tcPr>
          <w:p w:rsidR="00774E01" w:rsidRPr="00654D79" w:rsidRDefault="00774E01" w:rsidP="00CD0BF7">
            <w:pPr>
              <w:jc w:val="center"/>
              <w:rPr>
                <w:rFonts w:ascii="Arial" w:hAnsi="Arial" w:cs="Arial"/>
              </w:rPr>
            </w:pPr>
            <w:r w:rsidRPr="00654D79">
              <w:rPr>
                <w:rFonts w:ascii="Arial" w:hAnsi="Arial" w:cs="Arial"/>
              </w:rPr>
              <w:t>11,47</w:t>
            </w:r>
          </w:p>
        </w:tc>
        <w:tc>
          <w:tcPr>
            <w:tcW w:w="1265" w:type="dxa"/>
          </w:tcPr>
          <w:p w:rsidR="00774E01" w:rsidRPr="00654D79" w:rsidRDefault="00774E01" w:rsidP="00CD0BF7">
            <w:pPr>
              <w:jc w:val="center"/>
              <w:rPr>
                <w:rFonts w:ascii="Arial" w:hAnsi="Arial" w:cs="Arial"/>
              </w:rPr>
            </w:pPr>
            <w:r w:rsidRPr="00654D79">
              <w:rPr>
                <w:rFonts w:ascii="Arial" w:hAnsi="Arial" w:cs="Arial"/>
              </w:rPr>
              <w:t>7,51</w:t>
            </w:r>
          </w:p>
        </w:tc>
      </w:tr>
      <w:tr w:rsidR="00774E01" w:rsidRPr="00654D79" w:rsidTr="00CD0BF7">
        <w:trPr>
          <w:jc w:val="center"/>
        </w:trPr>
        <w:tc>
          <w:tcPr>
            <w:tcW w:w="2480" w:type="dxa"/>
          </w:tcPr>
          <w:p w:rsidR="00774E01" w:rsidRPr="00654D79" w:rsidRDefault="00774E01" w:rsidP="00CD0BF7">
            <w:pPr>
              <w:tabs>
                <w:tab w:val="num" w:pos="0"/>
              </w:tabs>
              <w:rPr>
                <w:rFonts w:ascii="Arial" w:hAnsi="Arial" w:cs="Arial"/>
              </w:rPr>
            </w:pPr>
            <w:r w:rsidRPr="00654D79">
              <w:rPr>
                <w:rFonts w:ascii="Arial" w:hAnsi="Arial" w:cs="Arial"/>
              </w:rPr>
              <w:t>2009 Medii anuale</w:t>
            </w:r>
          </w:p>
        </w:tc>
        <w:tc>
          <w:tcPr>
            <w:tcW w:w="1080" w:type="dxa"/>
          </w:tcPr>
          <w:p w:rsidR="00774E01" w:rsidRPr="00654D79" w:rsidRDefault="00774E01" w:rsidP="00CD0BF7">
            <w:pPr>
              <w:jc w:val="center"/>
              <w:rPr>
                <w:rFonts w:ascii="Arial" w:hAnsi="Arial" w:cs="Arial"/>
              </w:rPr>
            </w:pPr>
            <w:r w:rsidRPr="00654D79">
              <w:rPr>
                <w:rFonts w:ascii="Arial" w:hAnsi="Arial" w:cs="Arial"/>
              </w:rPr>
              <w:t>8,64</w:t>
            </w:r>
          </w:p>
        </w:tc>
        <w:tc>
          <w:tcPr>
            <w:tcW w:w="1167" w:type="dxa"/>
          </w:tcPr>
          <w:p w:rsidR="00774E01" w:rsidRPr="00654D79" w:rsidRDefault="00774E01" w:rsidP="00CD0BF7">
            <w:pPr>
              <w:jc w:val="center"/>
              <w:rPr>
                <w:rFonts w:ascii="Arial" w:hAnsi="Arial" w:cs="Arial"/>
              </w:rPr>
            </w:pPr>
            <w:r w:rsidRPr="00654D79">
              <w:rPr>
                <w:rFonts w:ascii="Arial" w:hAnsi="Arial" w:cs="Arial"/>
              </w:rPr>
              <w:t>-</w:t>
            </w:r>
          </w:p>
        </w:tc>
        <w:tc>
          <w:tcPr>
            <w:tcW w:w="1167" w:type="dxa"/>
          </w:tcPr>
          <w:p w:rsidR="00774E01" w:rsidRPr="00654D79" w:rsidRDefault="00774E01" w:rsidP="00CD0BF7">
            <w:pPr>
              <w:jc w:val="center"/>
              <w:rPr>
                <w:rFonts w:ascii="Arial" w:hAnsi="Arial" w:cs="Arial"/>
              </w:rPr>
            </w:pPr>
            <w:r w:rsidRPr="00654D79">
              <w:rPr>
                <w:rFonts w:ascii="Arial" w:hAnsi="Arial" w:cs="Arial"/>
              </w:rPr>
              <w:t>10,77</w:t>
            </w:r>
          </w:p>
        </w:tc>
        <w:tc>
          <w:tcPr>
            <w:tcW w:w="1265" w:type="dxa"/>
          </w:tcPr>
          <w:p w:rsidR="00774E01" w:rsidRPr="00654D79" w:rsidRDefault="00774E01" w:rsidP="00CD0BF7">
            <w:pPr>
              <w:jc w:val="center"/>
              <w:rPr>
                <w:rFonts w:ascii="Arial" w:hAnsi="Arial" w:cs="Arial"/>
              </w:rPr>
            </w:pPr>
            <w:r w:rsidRPr="00654D79">
              <w:rPr>
                <w:rFonts w:ascii="Arial" w:hAnsi="Arial" w:cs="Arial"/>
              </w:rPr>
              <w:t>12,80</w:t>
            </w:r>
          </w:p>
        </w:tc>
        <w:tc>
          <w:tcPr>
            <w:tcW w:w="1265" w:type="dxa"/>
          </w:tcPr>
          <w:p w:rsidR="00774E01" w:rsidRPr="00654D79" w:rsidRDefault="00774E01" w:rsidP="00CD0BF7">
            <w:pPr>
              <w:jc w:val="center"/>
              <w:rPr>
                <w:rFonts w:ascii="Arial" w:hAnsi="Arial" w:cs="Arial"/>
              </w:rPr>
            </w:pPr>
            <w:r w:rsidRPr="00654D79">
              <w:rPr>
                <w:rFonts w:ascii="Arial" w:hAnsi="Arial" w:cs="Arial"/>
              </w:rPr>
              <w:t>12,29</w:t>
            </w:r>
          </w:p>
        </w:tc>
      </w:tr>
      <w:tr w:rsidR="00774E01" w:rsidRPr="00654D79" w:rsidTr="00CD0BF7">
        <w:trPr>
          <w:jc w:val="center"/>
        </w:trPr>
        <w:tc>
          <w:tcPr>
            <w:tcW w:w="2480" w:type="dxa"/>
          </w:tcPr>
          <w:p w:rsidR="00774E01" w:rsidRPr="00654D79" w:rsidRDefault="00774E01" w:rsidP="00CD0BF7">
            <w:pPr>
              <w:tabs>
                <w:tab w:val="num" w:pos="0"/>
              </w:tabs>
              <w:rPr>
                <w:rFonts w:ascii="Arial" w:hAnsi="Arial" w:cs="Arial"/>
              </w:rPr>
            </w:pPr>
            <w:r w:rsidRPr="00654D79">
              <w:rPr>
                <w:rFonts w:ascii="Arial" w:hAnsi="Arial" w:cs="Arial"/>
              </w:rPr>
              <w:t>2010 Medii anuale</w:t>
            </w:r>
          </w:p>
        </w:tc>
        <w:tc>
          <w:tcPr>
            <w:tcW w:w="1080" w:type="dxa"/>
          </w:tcPr>
          <w:p w:rsidR="00774E01" w:rsidRPr="00654D79" w:rsidRDefault="00774E01" w:rsidP="00CD0BF7">
            <w:pPr>
              <w:jc w:val="center"/>
              <w:rPr>
                <w:rFonts w:ascii="Arial" w:hAnsi="Arial" w:cs="Arial"/>
              </w:rPr>
            </w:pPr>
            <w:r w:rsidRPr="00654D79">
              <w:rPr>
                <w:rFonts w:ascii="Arial" w:hAnsi="Arial" w:cs="Arial"/>
              </w:rPr>
              <w:t>14,74</w:t>
            </w:r>
          </w:p>
        </w:tc>
        <w:tc>
          <w:tcPr>
            <w:tcW w:w="1167" w:type="dxa"/>
          </w:tcPr>
          <w:p w:rsidR="00774E01" w:rsidRPr="00654D79" w:rsidRDefault="00774E01" w:rsidP="00CD0BF7">
            <w:pPr>
              <w:jc w:val="center"/>
              <w:rPr>
                <w:rFonts w:ascii="Arial" w:hAnsi="Arial" w:cs="Arial"/>
              </w:rPr>
            </w:pPr>
            <w:r w:rsidRPr="00654D79">
              <w:rPr>
                <w:rFonts w:ascii="Arial" w:hAnsi="Arial" w:cs="Arial"/>
              </w:rPr>
              <w:t>11,62</w:t>
            </w:r>
          </w:p>
        </w:tc>
        <w:tc>
          <w:tcPr>
            <w:tcW w:w="1167" w:type="dxa"/>
          </w:tcPr>
          <w:p w:rsidR="00774E01" w:rsidRPr="00654D79" w:rsidRDefault="00774E01" w:rsidP="00CD0BF7">
            <w:pPr>
              <w:jc w:val="center"/>
              <w:rPr>
                <w:rFonts w:ascii="Arial" w:hAnsi="Arial" w:cs="Arial"/>
              </w:rPr>
            </w:pPr>
            <w:r w:rsidRPr="00654D79">
              <w:rPr>
                <w:rFonts w:ascii="Arial" w:hAnsi="Arial" w:cs="Arial"/>
              </w:rPr>
              <w:t>13,99</w:t>
            </w:r>
          </w:p>
        </w:tc>
        <w:tc>
          <w:tcPr>
            <w:tcW w:w="1265" w:type="dxa"/>
          </w:tcPr>
          <w:p w:rsidR="00774E01" w:rsidRPr="00654D79" w:rsidRDefault="00774E01" w:rsidP="00CD0BF7">
            <w:pPr>
              <w:jc w:val="center"/>
              <w:rPr>
                <w:rFonts w:ascii="Arial" w:hAnsi="Arial" w:cs="Arial"/>
              </w:rPr>
            </w:pPr>
            <w:r w:rsidRPr="00654D79">
              <w:rPr>
                <w:rFonts w:ascii="Arial" w:hAnsi="Arial" w:cs="Arial"/>
              </w:rPr>
              <w:t>13,64</w:t>
            </w:r>
          </w:p>
        </w:tc>
        <w:tc>
          <w:tcPr>
            <w:tcW w:w="1265" w:type="dxa"/>
          </w:tcPr>
          <w:p w:rsidR="00774E01" w:rsidRPr="00654D79" w:rsidRDefault="00774E01" w:rsidP="00CD0BF7">
            <w:pPr>
              <w:jc w:val="center"/>
              <w:rPr>
                <w:rFonts w:ascii="Arial" w:hAnsi="Arial" w:cs="Arial"/>
              </w:rPr>
            </w:pPr>
            <w:r w:rsidRPr="00654D79">
              <w:rPr>
                <w:rFonts w:ascii="Arial" w:hAnsi="Arial" w:cs="Arial"/>
              </w:rPr>
              <w:t>15,14</w:t>
            </w:r>
          </w:p>
        </w:tc>
      </w:tr>
      <w:tr w:rsidR="00774E01" w:rsidRPr="00654D79" w:rsidTr="00CD0BF7">
        <w:trPr>
          <w:jc w:val="center"/>
        </w:trPr>
        <w:tc>
          <w:tcPr>
            <w:tcW w:w="2480" w:type="dxa"/>
          </w:tcPr>
          <w:p w:rsidR="00774E01" w:rsidRPr="00654D79" w:rsidRDefault="00774E01" w:rsidP="00CD0BF7">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1080" w:type="dxa"/>
          </w:tcPr>
          <w:p w:rsidR="00774E01" w:rsidRPr="00654D79" w:rsidRDefault="00774E01" w:rsidP="00CD0BF7">
            <w:pPr>
              <w:jc w:val="center"/>
              <w:rPr>
                <w:rFonts w:ascii="Arial" w:hAnsi="Arial" w:cs="Arial"/>
              </w:rPr>
            </w:pPr>
            <w:r>
              <w:rPr>
                <w:rFonts w:ascii="Arial" w:hAnsi="Arial" w:cs="Arial"/>
              </w:rPr>
              <w:t>-</w:t>
            </w:r>
          </w:p>
        </w:tc>
        <w:tc>
          <w:tcPr>
            <w:tcW w:w="1167" w:type="dxa"/>
          </w:tcPr>
          <w:p w:rsidR="00774E01" w:rsidRPr="00654D79" w:rsidRDefault="00774E01" w:rsidP="00CD0BF7">
            <w:pPr>
              <w:jc w:val="center"/>
              <w:rPr>
                <w:rFonts w:ascii="Arial" w:hAnsi="Arial" w:cs="Arial"/>
              </w:rPr>
            </w:pPr>
            <w:r>
              <w:rPr>
                <w:rFonts w:ascii="Arial" w:hAnsi="Arial" w:cs="Arial"/>
              </w:rPr>
              <w:t>11,73</w:t>
            </w:r>
          </w:p>
        </w:tc>
        <w:tc>
          <w:tcPr>
            <w:tcW w:w="1167" w:type="dxa"/>
          </w:tcPr>
          <w:p w:rsidR="00774E01" w:rsidRPr="00654D79" w:rsidRDefault="00774E01" w:rsidP="00CD0BF7">
            <w:pPr>
              <w:jc w:val="center"/>
              <w:rPr>
                <w:rFonts w:ascii="Arial" w:hAnsi="Arial" w:cs="Arial"/>
              </w:rPr>
            </w:pPr>
            <w:r>
              <w:rPr>
                <w:rFonts w:ascii="Arial" w:hAnsi="Arial" w:cs="Arial"/>
              </w:rPr>
              <w:t>17,24</w:t>
            </w:r>
          </w:p>
        </w:tc>
        <w:tc>
          <w:tcPr>
            <w:tcW w:w="1265" w:type="dxa"/>
          </w:tcPr>
          <w:p w:rsidR="00774E01" w:rsidRPr="00654D79" w:rsidRDefault="00774E01" w:rsidP="00CD0BF7">
            <w:pPr>
              <w:jc w:val="center"/>
              <w:rPr>
                <w:rFonts w:ascii="Arial" w:hAnsi="Arial" w:cs="Arial"/>
              </w:rPr>
            </w:pPr>
            <w:r>
              <w:rPr>
                <w:rFonts w:ascii="Arial" w:hAnsi="Arial" w:cs="Arial"/>
              </w:rPr>
              <w:t>16,92</w:t>
            </w:r>
          </w:p>
        </w:tc>
        <w:tc>
          <w:tcPr>
            <w:tcW w:w="1265" w:type="dxa"/>
          </w:tcPr>
          <w:p w:rsidR="00774E01" w:rsidRPr="00654D79" w:rsidRDefault="00774E01" w:rsidP="00CD0BF7">
            <w:pPr>
              <w:jc w:val="center"/>
              <w:rPr>
                <w:rFonts w:ascii="Arial" w:hAnsi="Arial" w:cs="Arial"/>
              </w:rPr>
            </w:pPr>
            <w:r>
              <w:rPr>
                <w:rFonts w:ascii="Arial" w:hAnsi="Arial" w:cs="Arial"/>
              </w:rPr>
              <w:t>16,53</w:t>
            </w:r>
          </w:p>
        </w:tc>
      </w:tr>
      <w:tr w:rsidR="00774E01" w:rsidRPr="00654D79" w:rsidTr="00CD0BF7">
        <w:trPr>
          <w:jc w:val="center"/>
        </w:trPr>
        <w:tc>
          <w:tcPr>
            <w:tcW w:w="2480" w:type="dxa"/>
          </w:tcPr>
          <w:p w:rsidR="00774E01" w:rsidRPr="00100806" w:rsidRDefault="00774E01" w:rsidP="00CD0BF7">
            <w:pPr>
              <w:rPr>
                <w:rFonts w:ascii="Arial" w:hAnsi="Arial" w:cs="Arial"/>
              </w:rPr>
            </w:pPr>
            <w:r>
              <w:rPr>
                <w:rFonts w:ascii="Arial" w:hAnsi="Arial" w:cs="Arial"/>
              </w:rPr>
              <w:t xml:space="preserve">2012 </w:t>
            </w:r>
            <w:r w:rsidRPr="00100806">
              <w:rPr>
                <w:rFonts w:ascii="Arial" w:hAnsi="Arial" w:cs="Arial"/>
              </w:rPr>
              <w:t xml:space="preserve">Medii anuale </w:t>
            </w:r>
          </w:p>
        </w:tc>
        <w:tc>
          <w:tcPr>
            <w:tcW w:w="1080" w:type="dxa"/>
          </w:tcPr>
          <w:p w:rsidR="00774E01" w:rsidRPr="00100806" w:rsidRDefault="00774E01" w:rsidP="00CD0BF7">
            <w:pPr>
              <w:jc w:val="center"/>
              <w:rPr>
                <w:rFonts w:ascii="Arial" w:hAnsi="Arial" w:cs="Arial"/>
              </w:rPr>
            </w:pPr>
            <w:r>
              <w:rPr>
                <w:rFonts w:ascii="Arial" w:hAnsi="Arial" w:cs="Arial"/>
              </w:rPr>
              <w:t>-</w:t>
            </w:r>
          </w:p>
        </w:tc>
        <w:tc>
          <w:tcPr>
            <w:tcW w:w="1167" w:type="dxa"/>
          </w:tcPr>
          <w:p w:rsidR="00774E01" w:rsidRPr="00100806" w:rsidRDefault="00774E01" w:rsidP="00CD0BF7">
            <w:pPr>
              <w:jc w:val="center"/>
              <w:rPr>
                <w:rFonts w:ascii="Arial" w:hAnsi="Arial" w:cs="Arial"/>
              </w:rPr>
            </w:pPr>
            <w:r w:rsidRPr="00100806">
              <w:rPr>
                <w:rFonts w:ascii="Arial" w:hAnsi="Arial" w:cs="Arial"/>
              </w:rPr>
              <w:t>10,63</w:t>
            </w:r>
          </w:p>
        </w:tc>
        <w:tc>
          <w:tcPr>
            <w:tcW w:w="1167" w:type="dxa"/>
          </w:tcPr>
          <w:p w:rsidR="00774E01" w:rsidRPr="00100806" w:rsidRDefault="00774E01" w:rsidP="00CD0BF7">
            <w:pPr>
              <w:jc w:val="center"/>
              <w:rPr>
                <w:rFonts w:ascii="Arial" w:hAnsi="Arial" w:cs="Arial"/>
              </w:rPr>
            </w:pPr>
            <w:r w:rsidRPr="00100806">
              <w:rPr>
                <w:rFonts w:ascii="Arial" w:hAnsi="Arial" w:cs="Arial"/>
              </w:rPr>
              <w:t>14,55</w:t>
            </w:r>
          </w:p>
        </w:tc>
        <w:tc>
          <w:tcPr>
            <w:tcW w:w="1265" w:type="dxa"/>
          </w:tcPr>
          <w:p w:rsidR="00774E01" w:rsidRPr="00100806" w:rsidRDefault="00774E01" w:rsidP="00CD0BF7">
            <w:pPr>
              <w:jc w:val="center"/>
              <w:rPr>
                <w:rFonts w:ascii="Arial" w:hAnsi="Arial" w:cs="Arial"/>
              </w:rPr>
            </w:pPr>
            <w:r w:rsidRPr="00100806">
              <w:rPr>
                <w:rFonts w:ascii="Arial" w:hAnsi="Arial" w:cs="Arial"/>
              </w:rPr>
              <w:t>10,71</w:t>
            </w:r>
          </w:p>
        </w:tc>
        <w:tc>
          <w:tcPr>
            <w:tcW w:w="1265" w:type="dxa"/>
          </w:tcPr>
          <w:p w:rsidR="00774E01" w:rsidRPr="00100806" w:rsidRDefault="00774E01" w:rsidP="00CD0BF7">
            <w:pPr>
              <w:jc w:val="center"/>
              <w:rPr>
                <w:rFonts w:ascii="Arial" w:hAnsi="Arial" w:cs="Arial"/>
              </w:rPr>
            </w:pPr>
            <w:r w:rsidRPr="00100806">
              <w:rPr>
                <w:rFonts w:ascii="Arial" w:hAnsi="Arial" w:cs="Arial"/>
              </w:rPr>
              <w:t>17,3</w:t>
            </w:r>
          </w:p>
        </w:tc>
      </w:tr>
      <w:tr w:rsidR="00774E01" w:rsidRPr="00654D79" w:rsidTr="00CD0BF7">
        <w:trPr>
          <w:jc w:val="center"/>
        </w:trPr>
        <w:tc>
          <w:tcPr>
            <w:tcW w:w="2480" w:type="dxa"/>
          </w:tcPr>
          <w:p w:rsidR="00774E01" w:rsidRDefault="00774E01" w:rsidP="00CD0BF7">
            <w:pPr>
              <w:rPr>
                <w:rFonts w:ascii="Arial" w:hAnsi="Arial" w:cs="Arial"/>
              </w:rPr>
            </w:pPr>
            <w:r>
              <w:rPr>
                <w:rFonts w:ascii="Arial" w:hAnsi="Arial" w:cs="Arial"/>
              </w:rPr>
              <w:t>2013 Medii anuale</w:t>
            </w:r>
          </w:p>
        </w:tc>
        <w:tc>
          <w:tcPr>
            <w:tcW w:w="1080" w:type="dxa"/>
          </w:tcPr>
          <w:p w:rsidR="00774E01" w:rsidRDefault="00774E01" w:rsidP="00CD0BF7">
            <w:pPr>
              <w:jc w:val="center"/>
              <w:rPr>
                <w:rFonts w:ascii="Arial" w:hAnsi="Arial" w:cs="Arial"/>
              </w:rPr>
            </w:pPr>
            <w:r>
              <w:rPr>
                <w:rFonts w:ascii="Arial" w:hAnsi="Arial" w:cs="Arial"/>
              </w:rPr>
              <w:t>-</w:t>
            </w:r>
          </w:p>
        </w:tc>
        <w:tc>
          <w:tcPr>
            <w:tcW w:w="1167" w:type="dxa"/>
          </w:tcPr>
          <w:p w:rsidR="00774E01" w:rsidRPr="00100806" w:rsidRDefault="00774E01" w:rsidP="00CD0BF7">
            <w:pPr>
              <w:jc w:val="center"/>
              <w:rPr>
                <w:rFonts w:ascii="Arial" w:hAnsi="Arial" w:cs="Arial"/>
              </w:rPr>
            </w:pPr>
            <w:r>
              <w:rPr>
                <w:rFonts w:ascii="Arial" w:hAnsi="Arial" w:cs="Arial"/>
              </w:rPr>
              <w:t>-</w:t>
            </w:r>
          </w:p>
        </w:tc>
        <w:tc>
          <w:tcPr>
            <w:tcW w:w="1167" w:type="dxa"/>
          </w:tcPr>
          <w:p w:rsidR="00774E01" w:rsidRPr="00100806" w:rsidRDefault="00774E01" w:rsidP="00CD0BF7">
            <w:pPr>
              <w:jc w:val="center"/>
              <w:rPr>
                <w:rFonts w:ascii="Arial" w:hAnsi="Arial" w:cs="Arial"/>
              </w:rPr>
            </w:pPr>
            <w:r>
              <w:rPr>
                <w:rFonts w:ascii="Arial" w:hAnsi="Arial" w:cs="Arial"/>
              </w:rPr>
              <w:t>-</w:t>
            </w:r>
          </w:p>
        </w:tc>
        <w:tc>
          <w:tcPr>
            <w:tcW w:w="1265" w:type="dxa"/>
          </w:tcPr>
          <w:p w:rsidR="00774E01" w:rsidRPr="00100806" w:rsidRDefault="00774E01" w:rsidP="00CD0BF7">
            <w:pPr>
              <w:jc w:val="center"/>
              <w:rPr>
                <w:rFonts w:ascii="Arial" w:hAnsi="Arial" w:cs="Arial"/>
              </w:rPr>
            </w:pPr>
            <w:r>
              <w:rPr>
                <w:rFonts w:ascii="Arial" w:hAnsi="Arial" w:cs="Arial"/>
              </w:rPr>
              <w:t>2,06</w:t>
            </w:r>
          </w:p>
        </w:tc>
        <w:tc>
          <w:tcPr>
            <w:tcW w:w="1265" w:type="dxa"/>
          </w:tcPr>
          <w:p w:rsidR="00774E01" w:rsidRPr="00100806" w:rsidRDefault="00774E01" w:rsidP="00CD0BF7">
            <w:pPr>
              <w:jc w:val="center"/>
              <w:rPr>
                <w:rFonts w:ascii="Arial" w:hAnsi="Arial" w:cs="Arial"/>
              </w:rPr>
            </w:pPr>
            <w:r>
              <w:rPr>
                <w:rFonts w:ascii="Arial" w:hAnsi="Arial" w:cs="Arial"/>
              </w:rPr>
              <w:t>13,97</w:t>
            </w:r>
          </w:p>
        </w:tc>
      </w:tr>
      <w:tr w:rsidR="00774E01" w:rsidRPr="00654D79" w:rsidTr="00CD0BF7">
        <w:trPr>
          <w:jc w:val="center"/>
        </w:trPr>
        <w:tc>
          <w:tcPr>
            <w:tcW w:w="2480" w:type="dxa"/>
          </w:tcPr>
          <w:p w:rsidR="00774E01" w:rsidRDefault="00774E01" w:rsidP="00CD0BF7">
            <w:pPr>
              <w:rPr>
                <w:rFonts w:ascii="Arial" w:hAnsi="Arial" w:cs="Arial"/>
              </w:rPr>
            </w:pPr>
            <w:r>
              <w:rPr>
                <w:rFonts w:ascii="Arial" w:hAnsi="Arial" w:cs="Arial"/>
              </w:rPr>
              <w:t>2014 Medii anuale</w:t>
            </w:r>
          </w:p>
        </w:tc>
        <w:tc>
          <w:tcPr>
            <w:tcW w:w="1080" w:type="dxa"/>
          </w:tcPr>
          <w:p w:rsidR="00774E01" w:rsidRDefault="00774E01" w:rsidP="00CD0BF7">
            <w:pPr>
              <w:jc w:val="center"/>
              <w:rPr>
                <w:rFonts w:ascii="Arial" w:hAnsi="Arial" w:cs="Arial"/>
              </w:rPr>
            </w:pPr>
            <w:r>
              <w:rPr>
                <w:rFonts w:ascii="Arial" w:hAnsi="Arial" w:cs="Arial"/>
              </w:rPr>
              <w:t>-</w:t>
            </w:r>
          </w:p>
        </w:tc>
        <w:tc>
          <w:tcPr>
            <w:tcW w:w="1167" w:type="dxa"/>
          </w:tcPr>
          <w:p w:rsidR="00774E01" w:rsidRDefault="00774E01" w:rsidP="00CD0BF7">
            <w:pPr>
              <w:jc w:val="center"/>
              <w:rPr>
                <w:rFonts w:ascii="Arial" w:hAnsi="Arial" w:cs="Arial"/>
              </w:rPr>
            </w:pPr>
            <w:r>
              <w:rPr>
                <w:rFonts w:ascii="Arial" w:hAnsi="Arial" w:cs="Arial"/>
              </w:rPr>
              <w:t>-</w:t>
            </w:r>
          </w:p>
        </w:tc>
        <w:tc>
          <w:tcPr>
            <w:tcW w:w="1167" w:type="dxa"/>
          </w:tcPr>
          <w:p w:rsidR="00774E01" w:rsidRDefault="00774E01" w:rsidP="00CD0BF7">
            <w:pPr>
              <w:jc w:val="center"/>
              <w:rPr>
                <w:rFonts w:ascii="Arial" w:hAnsi="Arial" w:cs="Arial"/>
              </w:rPr>
            </w:pPr>
            <w:r>
              <w:rPr>
                <w:rFonts w:ascii="Arial" w:hAnsi="Arial" w:cs="Arial"/>
              </w:rPr>
              <w:t>-</w:t>
            </w:r>
          </w:p>
        </w:tc>
        <w:tc>
          <w:tcPr>
            <w:tcW w:w="1265" w:type="dxa"/>
          </w:tcPr>
          <w:p w:rsidR="00774E01" w:rsidRDefault="00774E01" w:rsidP="00CD0BF7">
            <w:pPr>
              <w:jc w:val="center"/>
              <w:rPr>
                <w:rFonts w:ascii="Arial" w:hAnsi="Arial" w:cs="Arial"/>
              </w:rPr>
            </w:pPr>
            <w:r>
              <w:rPr>
                <w:rFonts w:ascii="Arial" w:hAnsi="Arial" w:cs="Arial"/>
              </w:rPr>
              <w:t>-</w:t>
            </w:r>
          </w:p>
        </w:tc>
        <w:tc>
          <w:tcPr>
            <w:tcW w:w="1265" w:type="dxa"/>
          </w:tcPr>
          <w:p w:rsidR="00774E01" w:rsidRDefault="00774E01" w:rsidP="00CD0BF7">
            <w:pPr>
              <w:jc w:val="center"/>
              <w:rPr>
                <w:rFonts w:ascii="Arial" w:hAnsi="Arial" w:cs="Arial"/>
              </w:rPr>
            </w:pPr>
            <w:r>
              <w:rPr>
                <w:rFonts w:ascii="Arial" w:hAnsi="Arial" w:cs="Arial"/>
              </w:rPr>
              <w:t>-</w:t>
            </w:r>
          </w:p>
        </w:tc>
      </w:tr>
    </w:tbl>
    <w:p w:rsidR="00774E01" w:rsidRPr="00654D79" w:rsidRDefault="00774E01" w:rsidP="00774E01">
      <w:pPr>
        <w:tabs>
          <w:tab w:val="num" w:pos="0"/>
        </w:tabs>
        <w:rPr>
          <w:rFonts w:ascii="Arial" w:hAnsi="Arial" w:cs="Arial"/>
          <w:color w:val="008000"/>
          <w:highlight w:val="cyan"/>
        </w:rPr>
      </w:pPr>
    </w:p>
    <w:p w:rsidR="00943E06" w:rsidRPr="00E12EEB" w:rsidRDefault="00A15695" w:rsidP="00943E06">
      <w:pPr>
        <w:tabs>
          <w:tab w:val="num" w:pos="0"/>
        </w:tabs>
        <w:jc w:val="both"/>
        <w:rPr>
          <w:rFonts w:ascii="Arial" w:hAnsi="Arial" w:cs="Arial"/>
        </w:rPr>
      </w:pPr>
      <w:r>
        <w:rPr>
          <w:rFonts w:ascii="Arial" w:hAnsi="Arial" w:cs="Arial"/>
        </w:rPr>
        <w:t>Î</w:t>
      </w:r>
      <w:r w:rsidR="00332C2F" w:rsidRPr="00E12EEB">
        <w:rPr>
          <w:rFonts w:ascii="Arial" w:hAnsi="Arial" w:cs="Arial"/>
        </w:rPr>
        <w:t>n anul 2014 nu s-au prelevat probe de dioxid de sulf deoarece analizoarele au fost defecte</w:t>
      </w:r>
      <w:r w:rsidR="00261E9E" w:rsidRPr="00E12EEB">
        <w:rPr>
          <w:rFonts w:ascii="Arial" w:hAnsi="Arial" w:cs="Arial"/>
        </w:rPr>
        <w:t>.</w:t>
      </w:r>
    </w:p>
    <w:p w:rsidR="009717FC" w:rsidRPr="00E12EEB" w:rsidRDefault="009717FC" w:rsidP="00943E06">
      <w:pPr>
        <w:tabs>
          <w:tab w:val="num" w:pos="0"/>
        </w:tabs>
        <w:jc w:val="both"/>
        <w:rPr>
          <w:rFonts w:ascii="Arial" w:eastAsia="Times New Roman" w:hAnsi="Arial" w:cs="Arial"/>
          <w:color w:val="000000"/>
          <w:lang w:val="ro-RO" w:eastAsia="ro-RO"/>
        </w:rPr>
      </w:pPr>
      <w:r w:rsidRPr="00E12EEB">
        <w:rPr>
          <w:rFonts w:ascii="Arial" w:eastAsia="Times New Roman" w:hAnsi="Arial" w:cs="Arial"/>
          <w:color w:val="000000"/>
          <w:lang w:val="ro-RO" w:eastAsia="ro-RO"/>
        </w:rPr>
        <w:t xml:space="preserve">În ultimii ani populaţia din </w:t>
      </w:r>
      <w:r w:rsidR="0005468F">
        <w:rPr>
          <w:rFonts w:ascii="Arial" w:eastAsia="Times New Roman" w:hAnsi="Arial" w:cs="Arial"/>
          <w:color w:val="000000"/>
          <w:lang w:val="ro-RO" w:eastAsia="ro-RO"/>
        </w:rPr>
        <w:t xml:space="preserve">aglomerarea </w:t>
      </w:r>
      <w:r w:rsidRPr="00E12EEB">
        <w:rPr>
          <w:rFonts w:ascii="Arial" w:eastAsia="Times New Roman" w:hAnsi="Arial" w:cs="Arial"/>
          <w:color w:val="000000"/>
          <w:lang w:val="ro-RO" w:eastAsia="ro-RO"/>
        </w:rPr>
        <w:t>Brăila nu a fost expusă la concentraţii mari de dioxid de sulf. Valorile concentraţiei medii anuale de SO</w:t>
      </w:r>
      <w:r w:rsidRPr="00E12EEB">
        <w:rPr>
          <w:rFonts w:ascii="Arial" w:eastAsia="Times New Roman" w:hAnsi="Arial" w:cs="Arial"/>
          <w:color w:val="000000"/>
          <w:vertAlign w:val="subscript"/>
          <w:lang w:val="ro-RO" w:eastAsia="ro-RO"/>
        </w:rPr>
        <w:t>2</w:t>
      </w:r>
      <w:r w:rsidRPr="00E12EEB">
        <w:rPr>
          <w:rFonts w:ascii="Arial" w:eastAsia="Times New Roman" w:hAnsi="Arial" w:cs="Arial"/>
          <w:color w:val="000000"/>
          <w:lang w:val="ro-RO" w:eastAsia="ro-RO"/>
        </w:rPr>
        <w:t xml:space="preserve"> calculate în baza datelor achiziţionate </w:t>
      </w:r>
      <w:r w:rsidR="00EB22EA" w:rsidRPr="00E12EEB">
        <w:rPr>
          <w:rFonts w:ascii="Arial" w:eastAsia="Times New Roman" w:hAnsi="Arial" w:cs="Arial"/>
          <w:color w:val="000000"/>
          <w:lang w:val="ro-RO" w:eastAsia="ro-RO"/>
        </w:rPr>
        <w:t>în</w:t>
      </w:r>
      <w:r w:rsidRPr="00E12EEB">
        <w:rPr>
          <w:rFonts w:ascii="Arial" w:eastAsia="Times New Roman" w:hAnsi="Arial" w:cs="Arial"/>
          <w:color w:val="000000"/>
          <w:lang w:val="ro-RO" w:eastAsia="ro-RO"/>
        </w:rPr>
        <w:t xml:space="preserve"> staţiile de monitorizare din </w:t>
      </w:r>
      <w:r w:rsidR="0005468F">
        <w:rPr>
          <w:rFonts w:ascii="Arial" w:eastAsia="Times New Roman" w:hAnsi="Arial" w:cs="Arial"/>
          <w:color w:val="000000"/>
          <w:lang w:val="ro-RO" w:eastAsia="ro-RO"/>
        </w:rPr>
        <w:t>aglomerarea</w:t>
      </w:r>
      <w:r w:rsidR="00EB22EA" w:rsidRPr="00E12EEB">
        <w:rPr>
          <w:rFonts w:ascii="Arial" w:eastAsia="Times New Roman" w:hAnsi="Arial" w:cs="Arial"/>
          <w:color w:val="000000"/>
          <w:lang w:val="ro-RO" w:eastAsia="ro-RO"/>
        </w:rPr>
        <w:t xml:space="preserve"> Brăila</w:t>
      </w:r>
      <w:r w:rsidRPr="00E12EEB">
        <w:rPr>
          <w:rFonts w:ascii="Arial" w:eastAsia="Times New Roman" w:hAnsi="Arial" w:cs="Arial"/>
          <w:color w:val="000000"/>
          <w:lang w:val="ro-RO" w:eastAsia="ro-RO"/>
        </w:rPr>
        <w:t xml:space="preserve"> în perioada 2008 - 201</w:t>
      </w:r>
      <w:r w:rsidR="00D919F0" w:rsidRPr="00E12EEB">
        <w:rPr>
          <w:rFonts w:ascii="Arial" w:eastAsia="Times New Roman" w:hAnsi="Arial" w:cs="Arial"/>
          <w:color w:val="000000"/>
          <w:lang w:val="ro-RO" w:eastAsia="ro-RO"/>
        </w:rPr>
        <w:t>3</w:t>
      </w:r>
      <w:r w:rsidRPr="00E12EEB">
        <w:rPr>
          <w:rFonts w:ascii="Arial" w:eastAsia="Times New Roman" w:hAnsi="Arial" w:cs="Arial"/>
          <w:color w:val="000000"/>
          <w:lang w:val="ro-RO" w:eastAsia="ro-RO"/>
        </w:rPr>
        <w:t xml:space="preserve"> sunt prezentate în tabelul de mai sus.</w:t>
      </w:r>
    </w:p>
    <w:p w:rsidR="00E12EEB" w:rsidRPr="00E12EEB" w:rsidRDefault="00E12EEB" w:rsidP="00943E06">
      <w:pPr>
        <w:tabs>
          <w:tab w:val="num" w:pos="0"/>
        </w:tabs>
        <w:jc w:val="both"/>
        <w:rPr>
          <w:rFonts w:ascii="Arial" w:hAnsi="Arial" w:cs="Arial"/>
        </w:rPr>
      </w:pPr>
      <w:r w:rsidRPr="00E12EEB">
        <w:rPr>
          <w:rFonts w:ascii="Arial" w:hAnsi="Arial" w:cs="Arial"/>
        </w:rPr>
        <w:t>Conform datelor din tabelul anterior se observă că valorile concentraţiilor medii anuale înregistrate la cele cinci staţii de monitorizare sunt mici, dioxidul de sulf nefiind un motiv de îngrijorare pentru sănătatea populaţiei din aglomerarea Brăila</w:t>
      </w:r>
      <w:r w:rsidR="0005468F">
        <w:rPr>
          <w:rFonts w:ascii="Arial" w:hAnsi="Arial" w:cs="Arial"/>
        </w:rPr>
        <w:t>.</w:t>
      </w:r>
    </w:p>
    <w:p w:rsidR="00261E9E" w:rsidRDefault="00261E9E" w:rsidP="00261E9E">
      <w:pPr>
        <w:tabs>
          <w:tab w:val="left" w:pos="709"/>
        </w:tabs>
        <w:ind w:left="720" w:right="31"/>
        <w:rPr>
          <w:rFonts w:ascii="Arial" w:hAnsi="Arial" w:cs="Arial"/>
          <w:b/>
          <w:lang w:val="ro-RO"/>
        </w:rPr>
      </w:pPr>
    </w:p>
    <w:p w:rsidR="0020345C" w:rsidRDefault="0020345C" w:rsidP="00261E9E">
      <w:pPr>
        <w:tabs>
          <w:tab w:val="num" w:pos="0"/>
        </w:tabs>
        <w:rPr>
          <w:rFonts w:ascii="Arial" w:hAnsi="Arial" w:cs="Arial"/>
          <w:lang w:val="ro-RO" w:eastAsia="ro-RO"/>
        </w:rPr>
      </w:pPr>
    </w:p>
    <w:p w:rsidR="00774E01" w:rsidRPr="00C22EC7" w:rsidRDefault="00C22EC7" w:rsidP="00774E01">
      <w:pPr>
        <w:tabs>
          <w:tab w:val="num" w:pos="0"/>
        </w:tabs>
        <w:rPr>
          <w:rFonts w:ascii="Arial" w:hAnsi="Arial" w:cs="Arial"/>
          <w:b/>
        </w:rPr>
      </w:pPr>
      <w:r>
        <w:rPr>
          <w:rFonts w:ascii="Arial" w:hAnsi="Arial" w:cs="Arial"/>
          <w:b/>
          <w:lang w:val="ro-RO"/>
        </w:rPr>
        <w:tab/>
      </w:r>
      <w:r w:rsidR="00774E01" w:rsidRPr="00C22EC7">
        <w:rPr>
          <w:rFonts w:ascii="Arial" w:hAnsi="Arial" w:cs="Arial"/>
          <w:b/>
          <w:lang w:val="ro-RO"/>
        </w:rPr>
        <w:t xml:space="preserve">Pulberi în suspensie </w:t>
      </w:r>
      <w:r w:rsidR="00774E01" w:rsidRPr="00C22EC7">
        <w:rPr>
          <w:rFonts w:ascii="Arial" w:hAnsi="Arial" w:cs="Arial"/>
          <w:b/>
        </w:rPr>
        <w:t>– PM10 şi PM2,5 (gravimetric şi nefelometric)</w:t>
      </w:r>
    </w:p>
    <w:p w:rsidR="00C22EC7" w:rsidRPr="00C22EC7" w:rsidRDefault="00C22EC7" w:rsidP="00C22EC7">
      <w:pPr>
        <w:autoSpaceDE w:val="0"/>
        <w:autoSpaceDN w:val="0"/>
        <w:adjustRightInd w:val="0"/>
        <w:rPr>
          <w:rFonts w:ascii="Arial" w:eastAsia="Times New Roman" w:hAnsi="Arial" w:cs="Arial"/>
          <w:b/>
          <w:bCs/>
          <w:i/>
          <w:iCs/>
          <w:color w:val="000000"/>
          <w:lang w:val="ro-RO" w:eastAsia="ro-RO"/>
        </w:rPr>
      </w:pPr>
    </w:p>
    <w:p w:rsidR="00774E01" w:rsidRPr="00C22EC7" w:rsidRDefault="00C22EC7" w:rsidP="00C22EC7">
      <w:pPr>
        <w:tabs>
          <w:tab w:val="left" w:pos="709"/>
        </w:tabs>
        <w:ind w:right="31"/>
        <w:rPr>
          <w:rFonts w:ascii="Arial" w:hAnsi="Arial" w:cs="Arial"/>
        </w:rPr>
      </w:pPr>
      <w:r w:rsidRPr="00C22EC7">
        <w:rPr>
          <w:rFonts w:ascii="Arial" w:eastAsia="Times New Roman" w:hAnsi="Arial" w:cs="Arial"/>
          <w:color w:val="000000"/>
          <w:lang w:val="ro-RO" w:eastAsia="ro-RO"/>
        </w:rPr>
        <w:t xml:space="preserve"> </w:t>
      </w:r>
    </w:p>
    <w:p w:rsidR="00774E01" w:rsidRDefault="00774E01" w:rsidP="00774E01">
      <w:pPr>
        <w:tabs>
          <w:tab w:val="num" w:pos="0"/>
        </w:tabs>
        <w:rPr>
          <w:rFonts w:ascii="Arial" w:hAnsi="Arial" w:cs="Arial"/>
        </w:rPr>
      </w:pPr>
      <w:r>
        <w:rPr>
          <w:rFonts w:ascii="Arial" w:hAnsi="Arial" w:cs="Arial"/>
          <w:noProof/>
          <w:lang w:val="ro-RO" w:eastAsia="ro-RO"/>
        </w:rPr>
        <w:lastRenderedPageBreak/>
        <w:drawing>
          <wp:inline distT="0" distB="0" distL="0" distR="0">
            <wp:extent cx="6019800" cy="2705100"/>
            <wp:effectExtent l="0" t="0" r="0" b="0"/>
            <wp:docPr id="20" name="Object 3"/>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5"/>
              </a:graphicData>
            </a:graphic>
          </wp:inline>
        </w:drawing>
      </w:r>
      <w:r>
        <w:rPr>
          <w:rFonts w:ascii="Arial" w:hAnsi="Arial" w:cs="Arial"/>
        </w:rPr>
        <w:tab/>
      </w:r>
    </w:p>
    <w:p w:rsidR="00774E01" w:rsidRDefault="00774E01" w:rsidP="00A50B64">
      <w:pPr>
        <w:tabs>
          <w:tab w:val="left" w:pos="709"/>
        </w:tabs>
        <w:ind w:right="31"/>
        <w:jc w:val="center"/>
        <w:rPr>
          <w:rFonts w:ascii="Arial" w:hAnsi="Arial" w:cs="Arial"/>
          <w:b/>
        </w:rPr>
      </w:pPr>
      <w:r>
        <w:rPr>
          <w:rFonts w:ascii="Arial" w:hAnsi="Arial" w:cs="Arial"/>
        </w:rPr>
        <w:t>Fig. I</w:t>
      </w:r>
      <w:r w:rsidR="00CD0BF7">
        <w:rPr>
          <w:rFonts w:ascii="Arial" w:hAnsi="Arial" w:cs="Arial"/>
        </w:rPr>
        <w:t>.</w:t>
      </w:r>
      <w:r>
        <w:rPr>
          <w:rFonts w:ascii="Arial" w:hAnsi="Arial" w:cs="Arial"/>
        </w:rPr>
        <w:t xml:space="preserve">1.1.2.3. </w:t>
      </w:r>
      <w:r w:rsidRPr="00654D79">
        <w:rPr>
          <w:rFonts w:ascii="Arial" w:hAnsi="Arial" w:cs="Arial"/>
        </w:rPr>
        <w:t xml:space="preserve">Concentraţia medie anuală PM10 şi PM2,5 în </w:t>
      </w:r>
      <w:r w:rsidR="00A50B64">
        <w:rPr>
          <w:rFonts w:ascii="Arial" w:hAnsi="Arial" w:cs="Arial"/>
        </w:rPr>
        <w:t xml:space="preserve">perioada </w:t>
      </w:r>
      <w:r w:rsidRPr="00654D79">
        <w:rPr>
          <w:rFonts w:ascii="Arial" w:hAnsi="Arial" w:cs="Arial"/>
        </w:rPr>
        <w:t>2008</w:t>
      </w:r>
      <w:r w:rsidR="00A50B64">
        <w:rPr>
          <w:rFonts w:ascii="Arial" w:hAnsi="Arial" w:cs="Arial"/>
        </w:rPr>
        <w:t>-</w:t>
      </w:r>
      <w:r>
        <w:rPr>
          <w:rFonts w:ascii="Arial" w:hAnsi="Arial" w:cs="Arial"/>
        </w:rPr>
        <w:t xml:space="preserve"> 2014</w:t>
      </w:r>
    </w:p>
    <w:p w:rsidR="00774E01" w:rsidRDefault="00774E01" w:rsidP="00774E01">
      <w:pPr>
        <w:tabs>
          <w:tab w:val="num" w:pos="0"/>
        </w:tabs>
        <w:rPr>
          <w:rFonts w:ascii="Arial" w:hAnsi="Arial" w:cs="Arial"/>
        </w:rPr>
      </w:pPr>
    </w:p>
    <w:p w:rsidR="00774E01" w:rsidRPr="00BF20E8" w:rsidRDefault="00C31547" w:rsidP="00774E01">
      <w:pPr>
        <w:tabs>
          <w:tab w:val="num" w:pos="0"/>
        </w:tabs>
        <w:rPr>
          <w:rFonts w:ascii="Arial" w:hAnsi="Arial" w:cs="Arial"/>
          <w:b/>
          <w:lang w:val="ro-RO"/>
        </w:rPr>
      </w:pPr>
      <w:r>
        <w:rPr>
          <w:rFonts w:ascii="Arial" w:hAnsi="Arial" w:cs="Arial"/>
        </w:rPr>
        <w:tab/>
        <w:t xml:space="preserve">     </w:t>
      </w:r>
      <w:r w:rsidR="00774E01">
        <w:rPr>
          <w:rFonts w:ascii="Arial" w:hAnsi="Arial" w:cs="Arial"/>
        </w:rPr>
        <w:t>Tabel I.1.1.2.3.</w:t>
      </w:r>
    </w:p>
    <w:tbl>
      <w:tblPr>
        <w:tblW w:w="0" w:type="auto"/>
        <w:jc w:val="center"/>
        <w:tblInd w:w="26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381"/>
        <w:gridCol w:w="951"/>
        <w:gridCol w:w="951"/>
        <w:gridCol w:w="951"/>
        <w:gridCol w:w="951"/>
        <w:gridCol w:w="951"/>
      </w:tblGrid>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b/>
              </w:rPr>
              <w:t>PM10 nefelometric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774E01" w:rsidRPr="00654D79" w:rsidRDefault="00774E01" w:rsidP="00CD0BF7">
            <w:pPr>
              <w:jc w:val="center"/>
              <w:rPr>
                <w:rFonts w:ascii="Arial" w:hAnsi="Arial" w:cs="Arial"/>
                <w:b/>
              </w:rPr>
            </w:pPr>
            <w:r w:rsidRPr="00654D79">
              <w:rPr>
                <w:rFonts w:ascii="Arial" w:hAnsi="Arial" w:cs="Arial"/>
                <w:b/>
              </w:rPr>
              <w:t>Br1</w:t>
            </w:r>
          </w:p>
        </w:tc>
        <w:tc>
          <w:tcPr>
            <w:tcW w:w="951" w:type="dxa"/>
          </w:tcPr>
          <w:p w:rsidR="00774E01" w:rsidRPr="00654D79" w:rsidRDefault="00774E01" w:rsidP="00CD0BF7">
            <w:pPr>
              <w:jc w:val="center"/>
              <w:rPr>
                <w:rFonts w:ascii="Arial" w:hAnsi="Arial" w:cs="Arial"/>
                <w:b/>
              </w:rPr>
            </w:pPr>
            <w:r w:rsidRPr="00654D79">
              <w:rPr>
                <w:rFonts w:ascii="Arial" w:hAnsi="Arial" w:cs="Arial"/>
                <w:b/>
              </w:rPr>
              <w:t>Br2</w:t>
            </w:r>
          </w:p>
        </w:tc>
        <w:tc>
          <w:tcPr>
            <w:tcW w:w="951" w:type="dxa"/>
          </w:tcPr>
          <w:p w:rsidR="00774E01" w:rsidRPr="00654D79" w:rsidRDefault="00774E01" w:rsidP="00CD0BF7">
            <w:pPr>
              <w:jc w:val="center"/>
              <w:rPr>
                <w:rFonts w:ascii="Arial" w:hAnsi="Arial" w:cs="Arial"/>
                <w:b/>
              </w:rPr>
            </w:pPr>
            <w:r w:rsidRPr="00654D79">
              <w:rPr>
                <w:rFonts w:ascii="Arial" w:hAnsi="Arial" w:cs="Arial"/>
                <w:b/>
              </w:rPr>
              <w:t>Br3</w:t>
            </w:r>
          </w:p>
        </w:tc>
        <w:tc>
          <w:tcPr>
            <w:tcW w:w="951" w:type="dxa"/>
          </w:tcPr>
          <w:p w:rsidR="00774E01" w:rsidRPr="00654D79" w:rsidRDefault="00774E01" w:rsidP="00CD0BF7">
            <w:pPr>
              <w:jc w:val="center"/>
              <w:rPr>
                <w:rFonts w:ascii="Arial" w:hAnsi="Arial" w:cs="Arial"/>
                <w:b/>
              </w:rPr>
            </w:pPr>
            <w:r w:rsidRPr="00654D79">
              <w:rPr>
                <w:rFonts w:ascii="Arial" w:hAnsi="Arial" w:cs="Arial"/>
                <w:b/>
              </w:rPr>
              <w:t>Br4</w:t>
            </w:r>
          </w:p>
        </w:tc>
        <w:tc>
          <w:tcPr>
            <w:tcW w:w="951" w:type="dxa"/>
          </w:tcPr>
          <w:p w:rsidR="00774E01" w:rsidRPr="00654D79" w:rsidRDefault="00774E01" w:rsidP="00CD0BF7">
            <w:pPr>
              <w:jc w:val="center"/>
              <w:rPr>
                <w:rFonts w:ascii="Arial" w:hAnsi="Arial" w:cs="Arial"/>
                <w:b/>
              </w:rPr>
            </w:pPr>
            <w:r w:rsidRPr="00654D79">
              <w:rPr>
                <w:rFonts w:ascii="Arial" w:hAnsi="Arial" w:cs="Arial"/>
                <w:b/>
              </w:rPr>
              <w:t>Br5</w:t>
            </w: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sz w:val="22"/>
                <w:szCs w:val="22"/>
              </w:rPr>
            </w:pPr>
            <w:r w:rsidRPr="00654D79">
              <w:rPr>
                <w:rFonts w:ascii="Arial" w:hAnsi="Arial" w:cs="Arial"/>
              </w:rPr>
              <w:t xml:space="preserve">2008 Medii anuale </w:t>
            </w:r>
          </w:p>
        </w:tc>
        <w:tc>
          <w:tcPr>
            <w:tcW w:w="951" w:type="dxa"/>
          </w:tcPr>
          <w:p w:rsidR="00774E01" w:rsidRPr="00654D79" w:rsidRDefault="00774E01" w:rsidP="00CD0BF7">
            <w:pPr>
              <w:jc w:val="center"/>
              <w:rPr>
                <w:rFonts w:ascii="Arial" w:hAnsi="Arial" w:cs="Arial"/>
              </w:rPr>
            </w:pPr>
            <w:r w:rsidRPr="00654D79">
              <w:rPr>
                <w:rFonts w:ascii="Arial" w:hAnsi="Arial" w:cs="Arial"/>
              </w:rPr>
              <w:t>28,54</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32,54</w:t>
            </w:r>
          </w:p>
        </w:tc>
        <w:tc>
          <w:tcPr>
            <w:tcW w:w="951" w:type="dxa"/>
          </w:tcPr>
          <w:p w:rsidR="00774E01" w:rsidRPr="00654D79" w:rsidRDefault="00774E01" w:rsidP="00CD0BF7">
            <w:pPr>
              <w:jc w:val="center"/>
              <w:rPr>
                <w:rFonts w:ascii="Arial" w:hAnsi="Arial" w:cs="Arial"/>
              </w:rPr>
            </w:pPr>
            <w:r w:rsidRPr="00654D79">
              <w:rPr>
                <w:rFonts w:ascii="Arial" w:hAnsi="Arial" w:cs="Arial"/>
              </w:rPr>
              <w:t>38,29</w:t>
            </w:r>
          </w:p>
        </w:tc>
        <w:tc>
          <w:tcPr>
            <w:tcW w:w="951" w:type="dxa"/>
          </w:tcPr>
          <w:p w:rsidR="00774E01" w:rsidRPr="00654D79" w:rsidRDefault="00774E01" w:rsidP="00CD0BF7">
            <w:pPr>
              <w:jc w:val="center"/>
              <w:rPr>
                <w:rFonts w:ascii="Arial" w:hAnsi="Arial" w:cs="Arial"/>
              </w:rPr>
            </w:pPr>
            <w:r w:rsidRPr="00654D79">
              <w:rPr>
                <w:rFonts w:ascii="Arial" w:hAnsi="Arial" w:cs="Arial"/>
              </w:rPr>
              <w:t>24,76</w:t>
            </w: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2009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22,64</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22,25</w:t>
            </w:r>
          </w:p>
        </w:tc>
        <w:tc>
          <w:tcPr>
            <w:tcW w:w="951" w:type="dxa"/>
          </w:tcPr>
          <w:p w:rsidR="00774E01" w:rsidRPr="00654D79" w:rsidRDefault="00774E01" w:rsidP="00CD0BF7">
            <w:pPr>
              <w:jc w:val="center"/>
              <w:rPr>
                <w:rFonts w:ascii="Arial" w:hAnsi="Arial" w:cs="Arial"/>
              </w:rPr>
            </w:pPr>
            <w:r w:rsidRPr="00654D79">
              <w:rPr>
                <w:rFonts w:ascii="Arial" w:hAnsi="Arial" w:cs="Arial"/>
              </w:rPr>
              <w:t>27,16</w:t>
            </w:r>
          </w:p>
        </w:tc>
        <w:tc>
          <w:tcPr>
            <w:tcW w:w="951" w:type="dxa"/>
            <w:tcBorders>
              <w:bottom w:val="single" w:sz="4" w:space="0" w:color="auto"/>
            </w:tcBorders>
          </w:tcPr>
          <w:p w:rsidR="00774E01" w:rsidRPr="00654D79" w:rsidRDefault="00774E01" w:rsidP="00CD0BF7">
            <w:pPr>
              <w:jc w:val="center"/>
              <w:rPr>
                <w:rFonts w:ascii="Arial" w:hAnsi="Arial" w:cs="Arial"/>
              </w:rPr>
            </w:pPr>
            <w:r w:rsidRPr="00654D79">
              <w:rPr>
                <w:rFonts w:ascii="Arial" w:hAnsi="Arial" w:cs="Arial"/>
              </w:rPr>
              <w:t>28,87</w:t>
            </w: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2010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29,07</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27,26</w:t>
            </w:r>
          </w:p>
        </w:tc>
        <w:tc>
          <w:tcPr>
            <w:tcW w:w="951" w:type="dxa"/>
          </w:tcPr>
          <w:p w:rsidR="00774E01" w:rsidRPr="00654D79" w:rsidRDefault="00774E01" w:rsidP="00CD0BF7">
            <w:pPr>
              <w:jc w:val="center"/>
              <w:rPr>
                <w:rFonts w:ascii="Arial" w:hAnsi="Arial" w:cs="Arial"/>
              </w:rPr>
            </w:pPr>
            <w:r w:rsidRPr="00654D79">
              <w:rPr>
                <w:rFonts w:ascii="Arial" w:hAnsi="Arial" w:cs="Arial"/>
              </w:rPr>
              <w:t>19,83</w:t>
            </w:r>
          </w:p>
        </w:tc>
        <w:tc>
          <w:tcPr>
            <w:tcW w:w="951" w:type="dxa"/>
            <w:tcBorders>
              <w:bottom w:val="single" w:sz="4" w:space="0" w:color="auto"/>
            </w:tcBorders>
          </w:tcPr>
          <w:p w:rsidR="00774E01" w:rsidRPr="00654D79" w:rsidRDefault="00774E01" w:rsidP="00CD0BF7">
            <w:pPr>
              <w:jc w:val="center"/>
              <w:rPr>
                <w:rFonts w:ascii="Arial" w:hAnsi="Arial" w:cs="Arial"/>
              </w:rPr>
            </w:pPr>
            <w:r w:rsidRPr="00654D79">
              <w:rPr>
                <w:rFonts w:ascii="Arial" w:hAnsi="Arial" w:cs="Arial"/>
              </w:rPr>
              <w:t>29,10</w:t>
            </w: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29,51</w:t>
            </w:r>
          </w:p>
        </w:tc>
        <w:tc>
          <w:tcPr>
            <w:tcW w:w="951" w:type="dxa"/>
          </w:tcPr>
          <w:p w:rsidR="00774E01" w:rsidRPr="00654D79" w:rsidRDefault="00774E01" w:rsidP="00CD0BF7">
            <w:pPr>
              <w:jc w:val="center"/>
              <w:rPr>
                <w:rFonts w:ascii="Arial" w:hAnsi="Arial" w:cs="Arial"/>
              </w:rPr>
            </w:pPr>
            <w:r>
              <w:rPr>
                <w:rFonts w:ascii="Arial" w:hAnsi="Arial" w:cs="Arial"/>
              </w:rPr>
              <w:t>32,89</w:t>
            </w:r>
          </w:p>
        </w:tc>
        <w:tc>
          <w:tcPr>
            <w:tcW w:w="951" w:type="dxa"/>
          </w:tcPr>
          <w:p w:rsidR="00774E01" w:rsidRPr="00654D79" w:rsidRDefault="00774E01" w:rsidP="00CD0BF7">
            <w:pPr>
              <w:jc w:val="center"/>
              <w:rPr>
                <w:rFonts w:ascii="Arial" w:hAnsi="Arial" w:cs="Arial"/>
              </w:rPr>
            </w:pPr>
            <w:r>
              <w:rPr>
                <w:rFonts w:ascii="Arial" w:hAnsi="Arial" w:cs="Arial"/>
              </w:rPr>
              <w:t>30,65</w:t>
            </w:r>
          </w:p>
        </w:tc>
        <w:tc>
          <w:tcPr>
            <w:tcW w:w="951" w:type="dxa"/>
            <w:tcBorders>
              <w:bottom w:val="single" w:sz="4" w:space="0" w:color="auto"/>
            </w:tcBorders>
          </w:tcPr>
          <w:p w:rsidR="00774E01" w:rsidRPr="00654D79" w:rsidRDefault="00774E01" w:rsidP="00CD0BF7">
            <w:pPr>
              <w:jc w:val="center"/>
              <w:rPr>
                <w:rFonts w:ascii="Arial" w:hAnsi="Arial" w:cs="Arial"/>
              </w:rPr>
            </w:pPr>
            <w:r>
              <w:rPr>
                <w:rFonts w:ascii="Arial" w:hAnsi="Arial" w:cs="Arial"/>
              </w:rPr>
              <w:t>35,40</w:t>
            </w: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Pr>
                <w:rFonts w:ascii="Arial" w:hAnsi="Arial" w:cs="Arial"/>
              </w:rPr>
              <w:t>2012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22,61</w:t>
            </w:r>
          </w:p>
        </w:tc>
        <w:tc>
          <w:tcPr>
            <w:tcW w:w="951" w:type="dxa"/>
          </w:tcPr>
          <w:p w:rsidR="00774E01" w:rsidRDefault="00774E01" w:rsidP="00CD0BF7">
            <w:pPr>
              <w:jc w:val="center"/>
              <w:rPr>
                <w:rFonts w:ascii="Arial" w:hAnsi="Arial" w:cs="Arial"/>
              </w:rPr>
            </w:pPr>
            <w:r>
              <w:rPr>
                <w:rFonts w:ascii="Arial" w:hAnsi="Arial" w:cs="Arial"/>
              </w:rPr>
              <w:t>27,42</w:t>
            </w:r>
          </w:p>
        </w:tc>
        <w:tc>
          <w:tcPr>
            <w:tcW w:w="951" w:type="dxa"/>
          </w:tcPr>
          <w:p w:rsidR="00774E01" w:rsidRDefault="00774E01" w:rsidP="00CD0BF7">
            <w:pPr>
              <w:jc w:val="center"/>
              <w:rPr>
                <w:rFonts w:ascii="Arial" w:hAnsi="Arial" w:cs="Arial"/>
              </w:rPr>
            </w:pPr>
            <w:r>
              <w:rPr>
                <w:rFonts w:ascii="Arial" w:hAnsi="Arial" w:cs="Arial"/>
              </w:rPr>
              <w:t>27,83</w:t>
            </w:r>
          </w:p>
        </w:tc>
        <w:tc>
          <w:tcPr>
            <w:tcW w:w="951" w:type="dxa"/>
            <w:tcBorders>
              <w:bottom w:val="single" w:sz="4" w:space="0" w:color="auto"/>
            </w:tcBorders>
          </w:tcPr>
          <w:p w:rsidR="00774E01" w:rsidRDefault="00774E01" w:rsidP="00CD0BF7">
            <w:pPr>
              <w:jc w:val="center"/>
              <w:rPr>
                <w:rFonts w:ascii="Arial" w:hAnsi="Arial" w:cs="Arial"/>
              </w:rPr>
            </w:pPr>
            <w:r>
              <w:rPr>
                <w:rFonts w:ascii="Arial" w:hAnsi="Arial" w:cs="Arial"/>
              </w:rPr>
              <w:t>28,31</w:t>
            </w:r>
          </w:p>
        </w:tc>
      </w:tr>
      <w:tr w:rsidR="00774E01" w:rsidRPr="00654D79" w:rsidTr="00CD0BF7">
        <w:trPr>
          <w:jc w:val="center"/>
        </w:trPr>
        <w:tc>
          <w:tcPr>
            <w:tcW w:w="3381" w:type="dxa"/>
          </w:tcPr>
          <w:p w:rsidR="00774E01" w:rsidRDefault="00774E01" w:rsidP="00CD0BF7">
            <w:pPr>
              <w:tabs>
                <w:tab w:val="num" w:pos="0"/>
              </w:tabs>
              <w:rPr>
                <w:rFonts w:ascii="Arial" w:hAnsi="Arial" w:cs="Arial"/>
              </w:rPr>
            </w:pPr>
            <w:r>
              <w:rPr>
                <w:rFonts w:ascii="Arial" w:hAnsi="Arial" w:cs="Arial"/>
              </w:rPr>
              <w:t>2013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43,22</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Borders>
              <w:bottom w:val="single" w:sz="4" w:space="0" w:color="auto"/>
            </w:tcBorders>
          </w:tcPr>
          <w:p w:rsidR="00774E01" w:rsidRDefault="00774E01" w:rsidP="00CD0BF7">
            <w:pPr>
              <w:jc w:val="center"/>
              <w:rPr>
                <w:rFonts w:ascii="Arial" w:hAnsi="Arial" w:cs="Arial"/>
              </w:rPr>
            </w:pPr>
            <w:r>
              <w:rPr>
                <w:rFonts w:ascii="Arial" w:hAnsi="Arial" w:cs="Arial"/>
              </w:rPr>
              <w:t>36,15</w:t>
            </w:r>
          </w:p>
        </w:tc>
      </w:tr>
      <w:tr w:rsidR="00774E01" w:rsidRPr="00654D79" w:rsidTr="00CD0BF7">
        <w:trPr>
          <w:jc w:val="center"/>
        </w:trPr>
        <w:tc>
          <w:tcPr>
            <w:tcW w:w="3381" w:type="dxa"/>
          </w:tcPr>
          <w:p w:rsidR="00774E01" w:rsidRDefault="00774E01" w:rsidP="00CD0BF7">
            <w:pPr>
              <w:tabs>
                <w:tab w:val="num" w:pos="0"/>
              </w:tabs>
              <w:rPr>
                <w:rFonts w:ascii="Arial" w:hAnsi="Arial" w:cs="Arial"/>
              </w:rPr>
            </w:pPr>
            <w:r>
              <w:rPr>
                <w:rFonts w:ascii="Arial" w:hAnsi="Arial" w:cs="Arial"/>
              </w:rPr>
              <w:t>2014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Borders>
              <w:bottom w:val="single" w:sz="4" w:space="0" w:color="auto"/>
            </w:tcBorders>
          </w:tcPr>
          <w:p w:rsidR="00774E01" w:rsidRDefault="00774E01" w:rsidP="00CD0BF7">
            <w:pPr>
              <w:jc w:val="center"/>
              <w:rPr>
                <w:rFonts w:ascii="Arial" w:hAnsi="Arial" w:cs="Arial"/>
              </w:rPr>
            </w:pPr>
            <w:r>
              <w:rPr>
                <w:rFonts w:ascii="Arial" w:hAnsi="Arial" w:cs="Arial"/>
              </w:rPr>
              <w:t>46,03</w:t>
            </w: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b/>
              </w:rPr>
              <w:t>PM10 gravimetric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774E01" w:rsidRPr="00654D79" w:rsidRDefault="00774E01" w:rsidP="00CD0BF7">
            <w:pPr>
              <w:jc w:val="center"/>
              <w:rPr>
                <w:rFonts w:ascii="Arial" w:hAnsi="Arial" w:cs="Arial"/>
                <w:b/>
              </w:rPr>
            </w:pPr>
            <w:r w:rsidRPr="00654D79">
              <w:rPr>
                <w:rFonts w:ascii="Arial" w:hAnsi="Arial" w:cs="Arial"/>
                <w:b/>
              </w:rPr>
              <w:t>Br1</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b/>
              </w:rPr>
            </w:pPr>
            <w:r w:rsidRPr="00654D79">
              <w:rPr>
                <w:rFonts w:ascii="Arial" w:hAnsi="Arial" w:cs="Arial"/>
                <w:b/>
              </w:rPr>
              <w:t>Br3</w:t>
            </w:r>
          </w:p>
        </w:tc>
        <w:tc>
          <w:tcPr>
            <w:tcW w:w="951" w:type="dxa"/>
          </w:tcPr>
          <w:p w:rsidR="00774E01" w:rsidRPr="00654D79" w:rsidRDefault="00774E01" w:rsidP="00CD0BF7">
            <w:pPr>
              <w:jc w:val="center"/>
              <w:rPr>
                <w:rFonts w:ascii="Arial" w:hAnsi="Arial" w:cs="Arial"/>
                <w:b/>
              </w:rPr>
            </w:pPr>
            <w:r w:rsidRPr="00654D79">
              <w:rPr>
                <w:rFonts w:ascii="Arial" w:hAnsi="Arial" w:cs="Arial"/>
                <w:b/>
              </w:rPr>
              <w:t>Br4</w:t>
            </w:r>
          </w:p>
        </w:tc>
        <w:tc>
          <w:tcPr>
            <w:tcW w:w="951" w:type="dxa"/>
            <w:tcBorders>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sz w:val="22"/>
                <w:szCs w:val="22"/>
              </w:rPr>
            </w:pPr>
            <w:r w:rsidRPr="00654D79">
              <w:rPr>
                <w:rFonts w:ascii="Arial" w:hAnsi="Arial" w:cs="Arial"/>
              </w:rPr>
              <w:t xml:space="preserve">2008 Medii anuale </w:t>
            </w:r>
          </w:p>
        </w:tc>
        <w:tc>
          <w:tcPr>
            <w:tcW w:w="951" w:type="dxa"/>
          </w:tcPr>
          <w:p w:rsidR="00774E01" w:rsidRPr="00654D79" w:rsidRDefault="00774E01" w:rsidP="00CD0BF7">
            <w:pPr>
              <w:jc w:val="center"/>
              <w:rPr>
                <w:rFonts w:ascii="Arial" w:hAnsi="Arial" w:cs="Arial"/>
              </w:rPr>
            </w:pPr>
            <w:r w:rsidRPr="00654D79">
              <w:rPr>
                <w:rFonts w:ascii="Arial" w:hAnsi="Arial" w:cs="Arial"/>
              </w:rPr>
              <w:t>25,50</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8,97</w:t>
            </w:r>
          </w:p>
        </w:tc>
        <w:tc>
          <w:tcPr>
            <w:tcW w:w="951" w:type="dxa"/>
          </w:tcPr>
          <w:p w:rsidR="00774E01" w:rsidRPr="00654D79" w:rsidRDefault="00774E01" w:rsidP="00CD0BF7">
            <w:pPr>
              <w:jc w:val="center"/>
              <w:rPr>
                <w:rFonts w:ascii="Arial" w:hAnsi="Arial" w:cs="Arial"/>
              </w:rPr>
            </w:pPr>
            <w:r w:rsidRPr="00654D79">
              <w:rPr>
                <w:rFonts w:ascii="Arial" w:hAnsi="Arial" w:cs="Arial"/>
              </w:rPr>
              <w:t>21,3</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2009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21,5</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23</w:t>
            </w:r>
          </w:p>
        </w:tc>
        <w:tc>
          <w:tcPr>
            <w:tcW w:w="951" w:type="dxa"/>
          </w:tcPr>
          <w:p w:rsidR="00774E01" w:rsidRPr="00654D79" w:rsidRDefault="00774E01" w:rsidP="00CD0BF7">
            <w:pPr>
              <w:jc w:val="center"/>
              <w:rPr>
                <w:rFonts w:ascii="Arial" w:hAnsi="Arial" w:cs="Arial"/>
              </w:rPr>
            </w:pPr>
            <w:r w:rsidRPr="00654D79">
              <w:rPr>
                <w:rFonts w:ascii="Arial" w:hAnsi="Arial" w:cs="Arial"/>
              </w:rPr>
              <w:t>27,3</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2010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34,19</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23,57</w:t>
            </w:r>
          </w:p>
        </w:tc>
        <w:tc>
          <w:tcPr>
            <w:tcW w:w="951" w:type="dxa"/>
          </w:tcPr>
          <w:p w:rsidR="00774E01" w:rsidRPr="00654D79" w:rsidRDefault="00774E01" w:rsidP="00CD0BF7">
            <w:pPr>
              <w:jc w:val="center"/>
              <w:rPr>
                <w:rFonts w:ascii="Arial" w:hAnsi="Arial" w:cs="Arial"/>
              </w:rPr>
            </w:pPr>
            <w:r w:rsidRPr="00654D79">
              <w:rPr>
                <w:rFonts w:ascii="Arial" w:hAnsi="Arial" w:cs="Arial"/>
              </w:rPr>
              <w:t>18,57</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22.76</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Pr>
                <w:rFonts w:ascii="Arial" w:hAnsi="Arial" w:cs="Arial"/>
              </w:rPr>
              <w:t>2012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30,94</w:t>
            </w:r>
          </w:p>
        </w:tc>
        <w:tc>
          <w:tcPr>
            <w:tcW w:w="951" w:type="dxa"/>
          </w:tcPr>
          <w:p w:rsidR="00774E01" w:rsidRDefault="00774E01" w:rsidP="00CD0BF7">
            <w:pPr>
              <w:jc w:val="center"/>
              <w:rPr>
                <w:rFonts w:ascii="Arial" w:hAnsi="Arial" w:cs="Arial"/>
              </w:rPr>
            </w:pPr>
            <w:r>
              <w:rPr>
                <w:rFonts w:ascii="Arial" w:hAnsi="Arial" w:cs="Arial"/>
              </w:rPr>
              <w:t>21,26</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Default="00774E01" w:rsidP="00CD0BF7">
            <w:pPr>
              <w:tabs>
                <w:tab w:val="num" w:pos="0"/>
              </w:tabs>
              <w:rPr>
                <w:rFonts w:ascii="Arial" w:hAnsi="Arial" w:cs="Arial"/>
              </w:rPr>
            </w:pPr>
            <w:r>
              <w:rPr>
                <w:rFonts w:ascii="Arial" w:hAnsi="Arial" w:cs="Arial"/>
              </w:rPr>
              <w:t>2013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39,1</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Default="00774E01" w:rsidP="00CD0BF7">
            <w:pPr>
              <w:tabs>
                <w:tab w:val="num" w:pos="0"/>
              </w:tabs>
              <w:rPr>
                <w:rFonts w:ascii="Arial" w:hAnsi="Arial" w:cs="Arial"/>
              </w:rPr>
            </w:pPr>
            <w:r>
              <w:rPr>
                <w:rFonts w:ascii="Arial" w:hAnsi="Arial" w:cs="Arial"/>
              </w:rPr>
              <w:t>2014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b/>
              </w:rPr>
              <w:t>PM2,5 nefelometric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774E01" w:rsidRPr="00654D79" w:rsidRDefault="00774E01" w:rsidP="00CD0BF7">
            <w:pPr>
              <w:jc w:val="center"/>
              <w:rPr>
                <w:rFonts w:ascii="Arial" w:hAnsi="Arial" w:cs="Arial"/>
                <w:b/>
              </w:rPr>
            </w:pPr>
            <w:r w:rsidRPr="00654D79">
              <w:rPr>
                <w:rFonts w:ascii="Arial" w:hAnsi="Arial" w:cs="Arial"/>
                <w:b/>
              </w:rPr>
              <w:t>-</w:t>
            </w:r>
          </w:p>
        </w:tc>
        <w:tc>
          <w:tcPr>
            <w:tcW w:w="951" w:type="dxa"/>
          </w:tcPr>
          <w:p w:rsidR="00774E01" w:rsidRPr="00654D79" w:rsidRDefault="00774E01" w:rsidP="00CD0BF7">
            <w:pPr>
              <w:jc w:val="center"/>
              <w:rPr>
                <w:rFonts w:ascii="Arial" w:hAnsi="Arial" w:cs="Arial"/>
                <w:b/>
              </w:rPr>
            </w:pPr>
            <w:r w:rsidRPr="00654D79">
              <w:rPr>
                <w:rFonts w:ascii="Arial" w:hAnsi="Arial" w:cs="Arial"/>
                <w:b/>
              </w:rPr>
              <w:t>Br2</w:t>
            </w:r>
          </w:p>
        </w:tc>
        <w:tc>
          <w:tcPr>
            <w:tcW w:w="951" w:type="dxa"/>
          </w:tcPr>
          <w:p w:rsidR="00774E01" w:rsidRPr="00654D79" w:rsidRDefault="00774E01" w:rsidP="00CD0BF7">
            <w:pPr>
              <w:jc w:val="center"/>
              <w:rPr>
                <w:rFonts w:ascii="Arial" w:hAnsi="Arial" w:cs="Arial"/>
                <w:b/>
              </w:rPr>
            </w:pPr>
            <w:r w:rsidRPr="00654D79">
              <w:rPr>
                <w:rFonts w:ascii="Arial" w:hAnsi="Arial" w:cs="Arial"/>
                <w:b/>
              </w:rPr>
              <w:t>-</w:t>
            </w:r>
          </w:p>
        </w:tc>
        <w:tc>
          <w:tcPr>
            <w:tcW w:w="951" w:type="dxa"/>
          </w:tcPr>
          <w:p w:rsidR="00774E01" w:rsidRPr="00654D79" w:rsidRDefault="00774E01" w:rsidP="00CD0BF7">
            <w:pPr>
              <w:jc w:val="center"/>
              <w:rPr>
                <w:rFonts w:ascii="Arial" w:hAnsi="Arial" w:cs="Arial"/>
                <w:b/>
              </w:rPr>
            </w:pPr>
            <w:r w:rsidRPr="00654D79">
              <w:rPr>
                <w:rFonts w:ascii="Arial" w:hAnsi="Arial" w:cs="Arial"/>
                <w:b/>
              </w:rPr>
              <w:t>-</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2009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15,46</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2010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19,20</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b/>
              </w:rPr>
              <w:t>PM2,5 gravimetric</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951" w:type="dxa"/>
          </w:tcPr>
          <w:p w:rsidR="00774E01" w:rsidRPr="00654D79" w:rsidRDefault="00774E01" w:rsidP="00CD0BF7">
            <w:pPr>
              <w:jc w:val="center"/>
              <w:rPr>
                <w:rFonts w:ascii="Arial" w:hAnsi="Arial" w:cs="Arial"/>
                <w:b/>
              </w:rPr>
            </w:pPr>
            <w:r w:rsidRPr="00654D79">
              <w:rPr>
                <w:rFonts w:ascii="Arial" w:hAnsi="Arial" w:cs="Arial"/>
                <w:b/>
              </w:rPr>
              <w:t>-</w:t>
            </w:r>
          </w:p>
        </w:tc>
        <w:tc>
          <w:tcPr>
            <w:tcW w:w="951" w:type="dxa"/>
          </w:tcPr>
          <w:p w:rsidR="00774E01" w:rsidRPr="00654D79" w:rsidRDefault="00774E01" w:rsidP="00CD0BF7">
            <w:pPr>
              <w:jc w:val="center"/>
              <w:rPr>
                <w:rFonts w:ascii="Arial" w:hAnsi="Arial" w:cs="Arial"/>
                <w:b/>
              </w:rPr>
            </w:pPr>
            <w:r w:rsidRPr="00654D79">
              <w:rPr>
                <w:rFonts w:ascii="Arial" w:hAnsi="Arial" w:cs="Arial"/>
                <w:b/>
              </w:rPr>
              <w:t>Br2</w:t>
            </w:r>
          </w:p>
        </w:tc>
        <w:tc>
          <w:tcPr>
            <w:tcW w:w="951" w:type="dxa"/>
          </w:tcPr>
          <w:p w:rsidR="00774E01" w:rsidRPr="00654D79" w:rsidRDefault="00774E01" w:rsidP="00CD0BF7">
            <w:pPr>
              <w:jc w:val="center"/>
              <w:rPr>
                <w:rFonts w:ascii="Arial" w:hAnsi="Arial" w:cs="Arial"/>
                <w:b/>
              </w:rPr>
            </w:pPr>
            <w:r w:rsidRPr="00654D79">
              <w:rPr>
                <w:rFonts w:ascii="Arial" w:hAnsi="Arial" w:cs="Arial"/>
                <w:b/>
              </w:rPr>
              <w:t>-</w:t>
            </w:r>
          </w:p>
        </w:tc>
        <w:tc>
          <w:tcPr>
            <w:tcW w:w="951" w:type="dxa"/>
          </w:tcPr>
          <w:p w:rsidR="00774E01" w:rsidRPr="00654D79" w:rsidRDefault="00774E01" w:rsidP="00CD0BF7">
            <w:pPr>
              <w:jc w:val="center"/>
              <w:rPr>
                <w:rFonts w:ascii="Arial" w:hAnsi="Arial" w:cs="Arial"/>
                <w:b/>
              </w:rPr>
            </w:pPr>
            <w:r w:rsidRPr="00654D79">
              <w:rPr>
                <w:rFonts w:ascii="Arial" w:hAnsi="Arial" w:cs="Arial"/>
                <w:b/>
              </w:rPr>
              <w:t>-</w:t>
            </w:r>
          </w:p>
        </w:tc>
        <w:tc>
          <w:tcPr>
            <w:tcW w:w="951" w:type="dxa"/>
            <w:tcBorders>
              <w:top w:val="nil"/>
              <w:bottom w:val="nil"/>
              <w:right w:val="nil"/>
            </w:tcBorders>
          </w:tcPr>
          <w:p w:rsidR="00774E01" w:rsidRPr="00654D79" w:rsidRDefault="00774E01" w:rsidP="00CD0BF7">
            <w:pPr>
              <w:jc w:val="cente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2009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13,60</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2010 Medii anuale</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19,90</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Pr>
          <w:p w:rsidR="00774E01" w:rsidRPr="00654D79" w:rsidRDefault="00774E01" w:rsidP="00CD0BF7">
            <w:pPr>
              <w:jc w:val="center"/>
              <w:rPr>
                <w:rFonts w:ascii="Arial" w:hAnsi="Arial" w:cs="Arial"/>
              </w:rPr>
            </w:pPr>
            <w:r w:rsidRPr="00654D79">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18,60</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Pr="00654D79" w:rsidRDefault="00774E01" w:rsidP="00CD0BF7">
            <w:pPr>
              <w:tabs>
                <w:tab w:val="num" w:pos="0"/>
              </w:tabs>
              <w:rPr>
                <w:rFonts w:ascii="Arial" w:hAnsi="Arial" w:cs="Arial"/>
              </w:rPr>
            </w:pPr>
            <w:r>
              <w:rPr>
                <w:rFonts w:ascii="Arial" w:hAnsi="Arial" w:cs="Arial"/>
              </w:rPr>
              <w:t>2012 Medii anuale</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21,61</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Pr>
          <w:p w:rsidR="00774E01" w:rsidRPr="00654D79"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Default="00774E01" w:rsidP="00CD0BF7">
            <w:pPr>
              <w:tabs>
                <w:tab w:val="num" w:pos="0"/>
              </w:tabs>
              <w:rPr>
                <w:rFonts w:ascii="Arial" w:hAnsi="Arial" w:cs="Arial"/>
              </w:rPr>
            </w:pPr>
            <w:r>
              <w:rPr>
                <w:rFonts w:ascii="Arial" w:hAnsi="Arial" w:cs="Arial"/>
              </w:rPr>
              <w:t>2013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r w:rsidR="00774E01" w:rsidRPr="00654D79" w:rsidTr="00CD0BF7">
        <w:trPr>
          <w:jc w:val="center"/>
        </w:trPr>
        <w:tc>
          <w:tcPr>
            <w:tcW w:w="3381" w:type="dxa"/>
          </w:tcPr>
          <w:p w:rsidR="00774E01" w:rsidRDefault="00774E01" w:rsidP="00CD0BF7">
            <w:pPr>
              <w:tabs>
                <w:tab w:val="num" w:pos="0"/>
              </w:tabs>
              <w:rPr>
                <w:rFonts w:ascii="Arial" w:hAnsi="Arial" w:cs="Arial"/>
              </w:rPr>
            </w:pPr>
            <w:r>
              <w:rPr>
                <w:rFonts w:ascii="Arial" w:hAnsi="Arial" w:cs="Arial"/>
              </w:rPr>
              <w:t>2014 Medii anuale</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Pr>
          <w:p w:rsidR="00774E01" w:rsidRDefault="00774E01" w:rsidP="00CD0BF7">
            <w:pPr>
              <w:jc w:val="center"/>
              <w:rPr>
                <w:rFonts w:ascii="Arial" w:hAnsi="Arial" w:cs="Arial"/>
              </w:rPr>
            </w:pPr>
            <w:r>
              <w:rPr>
                <w:rFonts w:ascii="Arial" w:hAnsi="Arial" w:cs="Arial"/>
              </w:rPr>
              <w:t>-</w:t>
            </w:r>
          </w:p>
        </w:tc>
        <w:tc>
          <w:tcPr>
            <w:tcW w:w="951" w:type="dxa"/>
            <w:tcBorders>
              <w:top w:val="nil"/>
              <w:bottom w:val="nil"/>
              <w:right w:val="nil"/>
            </w:tcBorders>
          </w:tcPr>
          <w:p w:rsidR="00774E01" w:rsidRPr="00654D79" w:rsidRDefault="00774E01" w:rsidP="00CD0BF7">
            <w:pPr>
              <w:rPr>
                <w:rFonts w:ascii="Arial" w:hAnsi="Arial" w:cs="Arial"/>
              </w:rPr>
            </w:pPr>
          </w:p>
        </w:tc>
      </w:tr>
    </w:tbl>
    <w:p w:rsidR="00774E01" w:rsidRDefault="00774E01" w:rsidP="00774E01">
      <w:pPr>
        <w:tabs>
          <w:tab w:val="left" w:pos="709"/>
        </w:tabs>
        <w:ind w:left="720" w:right="31"/>
        <w:rPr>
          <w:rFonts w:ascii="Arial" w:hAnsi="Arial" w:cs="Arial"/>
          <w:lang w:val="ro-RO"/>
        </w:rPr>
      </w:pPr>
    </w:p>
    <w:p w:rsidR="00A1104F" w:rsidRPr="00504ED5" w:rsidRDefault="00B71F3A" w:rsidP="00A1104F">
      <w:pPr>
        <w:tabs>
          <w:tab w:val="left" w:pos="709"/>
        </w:tabs>
        <w:ind w:left="720" w:right="31"/>
        <w:jc w:val="both"/>
        <w:rPr>
          <w:rFonts w:ascii="Arial" w:hAnsi="Arial" w:cs="Arial"/>
          <w:lang w:val="ro-RO"/>
        </w:rPr>
      </w:pPr>
      <w:r>
        <w:rPr>
          <w:rFonts w:ascii="Arial" w:hAnsi="Arial" w:cs="Arial"/>
        </w:rPr>
        <w:tab/>
      </w:r>
      <w:r w:rsidR="00A1104F" w:rsidRPr="009717FC">
        <w:rPr>
          <w:rFonts w:ascii="Arial" w:hAnsi="Arial" w:cs="Arial"/>
        </w:rPr>
        <w:t xml:space="preserve">Măsurătorile efectuate în staţiile de monitorizare din </w:t>
      </w:r>
      <w:r w:rsidR="0005468F">
        <w:rPr>
          <w:rFonts w:ascii="Arial" w:hAnsi="Arial" w:cs="Arial"/>
        </w:rPr>
        <w:t>aglomerarea</w:t>
      </w:r>
      <w:r w:rsidR="00A1104F" w:rsidRPr="009717FC">
        <w:rPr>
          <w:rFonts w:ascii="Arial" w:hAnsi="Arial" w:cs="Arial"/>
        </w:rPr>
        <w:t xml:space="preserve"> Brăila au indicat o tendinţă generală de descreştere a valorilor medii anuale ale </w:t>
      </w:r>
      <w:r w:rsidR="00A1104F">
        <w:rPr>
          <w:rFonts w:ascii="Arial" w:hAnsi="Arial" w:cs="Arial"/>
        </w:rPr>
        <w:t xml:space="preserve">pulberilor în suspensie </w:t>
      </w:r>
      <w:r w:rsidR="00A1104F" w:rsidRPr="009717FC">
        <w:rPr>
          <w:rFonts w:ascii="Arial" w:hAnsi="Arial" w:cs="Arial"/>
        </w:rPr>
        <w:t>în perioada 2008-2014.</w:t>
      </w:r>
    </w:p>
    <w:p w:rsidR="00261E9E" w:rsidRDefault="00261E9E" w:rsidP="00194BB7">
      <w:pPr>
        <w:pStyle w:val="Default"/>
        <w:rPr>
          <w:rFonts w:ascii="Arial" w:hAnsi="Arial" w:cs="Arial"/>
          <w:b/>
          <w:lang w:val="ro-RO"/>
        </w:rPr>
      </w:pPr>
      <w:r>
        <w:rPr>
          <w:rFonts w:ascii="Arial" w:hAnsi="Arial" w:cs="Arial"/>
          <w:b/>
          <w:lang w:val="ro-RO"/>
        </w:rPr>
        <w:tab/>
      </w:r>
      <w:r>
        <w:rPr>
          <w:rFonts w:ascii="Arial" w:hAnsi="Arial" w:cs="Arial"/>
          <w:b/>
          <w:lang w:val="ro-RO"/>
        </w:rPr>
        <w:tab/>
      </w:r>
    </w:p>
    <w:p w:rsidR="00261E9E" w:rsidRDefault="00B71F3A" w:rsidP="00261E9E">
      <w:pPr>
        <w:tabs>
          <w:tab w:val="left" w:pos="709"/>
        </w:tabs>
        <w:ind w:left="720" w:right="31"/>
        <w:rPr>
          <w:rFonts w:ascii="Arial" w:hAnsi="Arial" w:cs="Arial"/>
          <w:b/>
          <w:lang w:val="ro-RO"/>
        </w:rPr>
      </w:pPr>
      <w:r>
        <w:rPr>
          <w:rFonts w:ascii="Arial" w:hAnsi="Arial" w:cs="Arial"/>
          <w:b/>
          <w:lang w:val="ro-RO"/>
        </w:rPr>
        <w:lastRenderedPageBreak/>
        <w:tab/>
      </w:r>
      <w:r w:rsidR="00261E9E" w:rsidRPr="006C3CE6">
        <w:rPr>
          <w:rFonts w:ascii="Arial" w:hAnsi="Arial" w:cs="Arial"/>
          <w:b/>
          <w:lang w:val="ro-RO"/>
        </w:rPr>
        <w:t>Metale grele – plumb</w:t>
      </w:r>
    </w:p>
    <w:p w:rsidR="00364AA0" w:rsidRPr="00364AA0" w:rsidRDefault="00B71F3A" w:rsidP="00364AA0">
      <w:pPr>
        <w:tabs>
          <w:tab w:val="left" w:pos="709"/>
        </w:tabs>
        <w:ind w:left="720" w:right="31"/>
        <w:jc w:val="both"/>
        <w:rPr>
          <w:rFonts w:ascii="Arial" w:hAnsi="Arial" w:cs="Arial"/>
          <w:b/>
          <w:lang w:val="ro-RO"/>
        </w:rPr>
      </w:pPr>
      <w:r>
        <w:rPr>
          <w:rFonts w:ascii="Arial" w:hAnsi="Arial" w:cs="Arial"/>
        </w:rPr>
        <w:tab/>
      </w:r>
      <w:r w:rsidR="00364AA0" w:rsidRPr="00364AA0">
        <w:rPr>
          <w:rFonts w:ascii="Arial" w:hAnsi="Arial" w:cs="Arial"/>
        </w:rPr>
        <w:t>Metalele grele se găsesc în aerul ambiental sub formă de aerosoli, a căror dimensiune influenţează remanenţa în atmosferă şi implicit posibilitatea de a fi transportaţi la distanţă. Metalele grele provin din surse antropice: procese metalurgice neferoase, arderi ale combustibililor pentru obţinerea energiei, arderea combustibililor în motoarele autovehiculelor, incinerarea deşeurilor.</w:t>
      </w:r>
    </w:p>
    <w:p w:rsidR="00261E9E" w:rsidRPr="00654D79" w:rsidRDefault="00261E9E" w:rsidP="00261E9E">
      <w:pPr>
        <w:tabs>
          <w:tab w:val="num" w:pos="0"/>
        </w:tabs>
        <w:ind w:firstLine="720"/>
        <w:rPr>
          <w:rFonts w:ascii="Arial" w:hAnsi="Arial" w:cs="Arial"/>
          <w:b/>
        </w:rPr>
      </w:pPr>
    </w:p>
    <w:p w:rsidR="00261E9E" w:rsidRPr="00654D79" w:rsidRDefault="008020AE" w:rsidP="00261E9E">
      <w:pPr>
        <w:tabs>
          <w:tab w:val="num" w:pos="0"/>
        </w:tabs>
        <w:jc w:val="center"/>
        <w:rPr>
          <w:rFonts w:ascii="Arial" w:hAnsi="Arial" w:cs="Arial"/>
        </w:rPr>
      </w:pPr>
      <w:r>
        <w:rPr>
          <w:rFonts w:ascii="Arial" w:hAnsi="Arial" w:cs="Arial"/>
          <w:noProof/>
          <w:lang w:val="ro-RO" w:eastAsia="ro-RO"/>
        </w:rPr>
        <w:drawing>
          <wp:inline distT="0" distB="0" distL="0" distR="0">
            <wp:extent cx="5676900" cy="2295525"/>
            <wp:effectExtent l="0" t="0" r="0" b="0"/>
            <wp:docPr id="4" name="Object 4"/>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6"/>
              </a:graphicData>
            </a:graphic>
          </wp:inline>
        </w:drawing>
      </w:r>
    </w:p>
    <w:p w:rsidR="00261E9E" w:rsidRPr="00654D79" w:rsidRDefault="00891443" w:rsidP="00261E9E">
      <w:pPr>
        <w:tabs>
          <w:tab w:val="num" w:pos="0"/>
        </w:tabs>
        <w:jc w:val="center"/>
        <w:rPr>
          <w:rFonts w:ascii="Arial" w:hAnsi="Arial" w:cs="Arial"/>
        </w:rPr>
      </w:pPr>
      <w:r>
        <w:rPr>
          <w:rFonts w:ascii="Arial" w:eastAsia="Times New Roman" w:hAnsi="Arial" w:cs="Arial"/>
          <w:iCs/>
          <w:color w:val="000000"/>
          <w:lang w:val="ro-RO" w:eastAsia="ro-RO"/>
        </w:rPr>
        <w:t xml:space="preserve">Fig. </w:t>
      </w:r>
      <w:r w:rsidRPr="000E3D2C">
        <w:rPr>
          <w:rFonts w:ascii="Arial" w:eastAsia="Times New Roman" w:hAnsi="Arial" w:cs="Arial"/>
          <w:iCs/>
          <w:color w:val="000000"/>
          <w:lang w:val="ro-RO" w:eastAsia="ro-RO"/>
        </w:rPr>
        <w:t>I</w:t>
      </w:r>
      <w:r>
        <w:rPr>
          <w:rFonts w:ascii="Arial" w:eastAsia="Times New Roman" w:hAnsi="Arial" w:cs="Arial"/>
          <w:iCs/>
          <w:color w:val="000000"/>
          <w:lang w:val="ro-RO" w:eastAsia="ro-RO"/>
        </w:rPr>
        <w:t xml:space="preserve">.1.1.2.4. </w:t>
      </w:r>
      <w:r w:rsidR="00261E9E" w:rsidRPr="00654D79">
        <w:rPr>
          <w:rFonts w:ascii="Arial" w:hAnsi="Arial" w:cs="Arial"/>
        </w:rPr>
        <w:t xml:space="preserve">Concentraţia medie anuală a plumbului </w:t>
      </w:r>
      <w:r w:rsidR="00A50B64">
        <w:rPr>
          <w:rFonts w:ascii="Arial" w:hAnsi="Arial" w:cs="Arial"/>
        </w:rPr>
        <w:t>în perioada 2008-2010</w:t>
      </w:r>
    </w:p>
    <w:p w:rsidR="00261E9E" w:rsidRDefault="00261E9E" w:rsidP="00261E9E">
      <w:pPr>
        <w:tabs>
          <w:tab w:val="num" w:pos="0"/>
        </w:tabs>
        <w:jc w:val="both"/>
        <w:rPr>
          <w:rFonts w:ascii="Arial" w:hAnsi="Arial" w:cs="Arial"/>
        </w:rPr>
      </w:pPr>
    </w:p>
    <w:p w:rsidR="00891443" w:rsidRDefault="00F44741" w:rsidP="00261E9E">
      <w:pPr>
        <w:tabs>
          <w:tab w:val="num" w:pos="0"/>
        </w:tabs>
        <w:jc w:val="both"/>
        <w:rPr>
          <w:rFonts w:ascii="Arial" w:hAnsi="Arial" w:cs="Arial"/>
        </w:rPr>
      </w:pPr>
      <w:r>
        <w:rPr>
          <w:rFonts w:ascii="Arial" w:hAnsi="Arial" w:cs="Arial"/>
        </w:rPr>
        <w:tab/>
      </w:r>
      <w:r>
        <w:rPr>
          <w:rFonts w:ascii="Arial" w:hAnsi="Arial" w:cs="Arial"/>
        </w:rPr>
        <w:tab/>
      </w:r>
      <w:r>
        <w:rPr>
          <w:rFonts w:ascii="Arial" w:hAnsi="Arial" w:cs="Arial"/>
        </w:rPr>
        <w:tab/>
      </w:r>
      <w:r w:rsidR="00774E01">
        <w:rPr>
          <w:rFonts w:ascii="Arial" w:hAnsi="Arial" w:cs="Arial"/>
        </w:rPr>
        <w:t>Tabel I.1.1.2.4.</w:t>
      </w:r>
    </w:p>
    <w:tbl>
      <w:tblPr>
        <w:tblW w:w="0" w:type="auto"/>
        <w:jc w:val="center"/>
        <w:tblInd w:w="-9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74"/>
        <w:gridCol w:w="1042"/>
        <w:gridCol w:w="1265"/>
        <w:gridCol w:w="1089"/>
      </w:tblGrid>
      <w:tr w:rsidR="00891443" w:rsidRPr="00654D79" w:rsidTr="00CD0BF7">
        <w:trPr>
          <w:jc w:val="center"/>
        </w:trPr>
        <w:tc>
          <w:tcPr>
            <w:tcW w:w="2574" w:type="dxa"/>
          </w:tcPr>
          <w:p w:rsidR="00891443" w:rsidRPr="00405824" w:rsidRDefault="00891443" w:rsidP="00CD0BF7">
            <w:pPr>
              <w:tabs>
                <w:tab w:val="num" w:pos="0"/>
              </w:tabs>
              <w:rPr>
                <w:rFonts w:ascii="Arial" w:hAnsi="Arial" w:cs="Arial"/>
              </w:rPr>
            </w:pPr>
            <w:r w:rsidRPr="00405824">
              <w:rPr>
                <w:rFonts w:ascii="Arial" w:hAnsi="Arial" w:cs="Arial"/>
              </w:rPr>
              <w:t>Pb   (</w:t>
            </w:r>
            <w:r w:rsidRPr="00405824">
              <w:rPr>
                <w:rFonts w:ascii="Arial" w:hAnsi="Arial" w:cs="Arial"/>
              </w:rPr>
              <w:sym w:font="Symbol" w:char="F06D"/>
            </w:r>
            <w:r w:rsidRPr="00405824">
              <w:rPr>
                <w:rFonts w:ascii="Arial" w:hAnsi="Arial" w:cs="Arial"/>
              </w:rPr>
              <w:t>g/mc)</w:t>
            </w:r>
          </w:p>
        </w:tc>
        <w:tc>
          <w:tcPr>
            <w:tcW w:w="1042" w:type="dxa"/>
          </w:tcPr>
          <w:p w:rsidR="00891443" w:rsidRPr="00654D79" w:rsidRDefault="00891443" w:rsidP="00CD0BF7">
            <w:pPr>
              <w:jc w:val="center"/>
              <w:rPr>
                <w:rFonts w:ascii="Arial" w:hAnsi="Arial" w:cs="Arial"/>
                <w:b/>
              </w:rPr>
            </w:pPr>
            <w:r w:rsidRPr="00654D79">
              <w:rPr>
                <w:rFonts w:ascii="Arial" w:hAnsi="Arial" w:cs="Arial"/>
                <w:b/>
              </w:rPr>
              <w:t>Br1</w:t>
            </w:r>
          </w:p>
        </w:tc>
        <w:tc>
          <w:tcPr>
            <w:tcW w:w="1265" w:type="dxa"/>
          </w:tcPr>
          <w:p w:rsidR="00891443" w:rsidRPr="00654D79" w:rsidRDefault="00891443" w:rsidP="00CD0BF7">
            <w:pPr>
              <w:jc w:val="center"/>
              <w:rPr>
                <w:rFonts w:ascii="Arial" w:hAnsi="Arial" w:cs="Arial"/>
                <w:b/>
              </w:rPr>
            </w:pPr>
            <w:r w:rsidRPr="00654D79">
              <w:rPr>
                <w:rFonts w:ascii="Arial" w:hAnsi="Arial" w:cs="Arial"/>
                <w:b/>
              </w:rPr>
              <w:t>Br3</w:t>
            </w:r>
          </w:p>
        </w:tc>
        <w:tc>
          <w:tcPr>
            <w:tcW w:w="1089" w:type="dxa"/>
          </w:tcPr>
          <w:p w:rsidR="00891443" w:rsidRPr="00654D79" w:rsidRDefault="00891443" w:rsidP="00CD0BF7">
            <w:pPr>
              <w:jc w:val="center"/>
              <w:rPr>
                <w:rFonts w:ascii="Arial" w:hAnsi="Arial" w:cs="Arial"/>
                <w:b/>
              </w:rPr>
            </w:pPr>
            <w:r w:rsidRPr="00654D79">
              <w:rPr>
                <w:rFonts w:ascii="Arial" w:hAnsi="Arial" w:cs="Arial"/>
                <w:b/>
              </w:rPr>
              <w:t>Br4</w:t>
            </w:r>
          </w:p>
        </w:tc>
      </w:tr>
      <w:tr w:rsidR="00891443" w:rsidRPr="00654D79" w:rsidTr="00CD0BF7">
        <w:trPr>
          <w:jc w:val="center"/>
        </w:trPr>
        <w:tc>
          <w:tcPr>
            <w:tcW w:w="2574" w:type="dxa"/>
          </w:tcPr>
          <w:p w:rsidR="00891443" w:rsidRPr="00654D79" w:rsidRDefault="00891443" w:rsidP="00CD0BF7">
            <w:pPr>
              <w:tabs>
                <w:tab w:val="num" w:pos="0"/>
              </w:tabs>
              <w:rPr>
                <w:rFonts w:ascii="Arial" w:hAnsi="Arial" w:cs="Arial"/>
                <w:sz w:val="22"/>
                <w:szCs w:val="22"/>
              </w:rPr>
            </w:pPr>
            <w:r w:rsidRPr="00654D79">
              <w:rPr>
                <w:rFonts w:ascii="Arial" w:hAnsi="Arial" w:cs="Arial"/>
              </w:rPr>
              <w:t>2008 Medii noe şi dec</w:t>
            </w:r>
          </w:p>
        </w:tc>
        <w:tc>
          <w:tcPr>
            <w:tcW w:w="1042" w:type="dxa"/>
          </w:tcPr>
          <w:p w:rsidR="00891443" w:rsidRPr="00654D79" w:rsidRDefault="00891443" w:rsidP="00CD0BF7">
            <w:pPr>
              <w:jc w:val="center"/>
              <w:rPr>
                <w:rFonts w:ascii="Arial" w:hAnsi="Arial" w:cs="Arial"/>
              </w:rPr>
            </w:pPr>
            <w:r w:rsidRPr="00654D79">
              <w:rPr>
                <w:rFonts w:ascii="Arial" w:hAnsi="Arial" w:cs="Arial"/>
              </w:rPr>
              <w:t>0,0092</w:t>
            </w:r>
          </w:p>
        </w:tc>
        <w:tc>
          <w:tcPr>
            <w:tcW w:w="1265" w:type="dxa"/>
          </w:tcPr>
          <w:p w:rsidR="00891443" w:rsidRPr="00654D79" w:rsidRDefault="00891443" w:rsidP="00CD0BF7">
            <w:pPr>
              <w:jc w:val="center"/>
              <w:rPr>
                <w:rFonts w:ascii="Arial" w:hAnsi="Arial" w:cs="Arial"/>
              </w:rPr>
            </w:pPr>
            <w:r w:rsidRPr="00654D79">
              <w:rPr>
                <w:rFonts w:ascii="Arial" w:hAnsi="Arial" w:cs="Arial"/>
              </w:rPr>
              <w:t>0,006</w:t>
            </w:r>
          </w:p>
        </w:tc>
        <w:tc>
          <w:tcPr>
            <w:tcW w:w="1089" w:type="dxa"/>
          </w:tcPr>
          <w:p w:rsidR="00891443" w:rsidRPr="00654D79" w:rsidRDefault="00891443" w:rsidP="00CD0BF7">
            <w:pPr>
              <w:jc w:val="center"/>
              <w:rPr>
                <w:rFonts w:ascii="Arial" w:hAnsi="Arial" w:cs="Arial"/>
              </w:rPr>
            </w:pPr>
            <w:r w:rsidRPr="00654D79">
              <w:rPr>
                <w:rFonts w:ascii="Arial" w:hAnsi="Arial" w:cs="Arial"/>
              </w:rPr>
              <w:t>0,0061</w:t>
            </w:r>
          </w:p>
        </w:tc>
      </w:tr>
      <w:tr w:rsidR="00891443" w:rsidRPr="00654D79" w:rsidTr="00CD0BF7">
        <w:trPr>
          <w:jc w:val="center"/>
        </w:trPr>
        <w:tc>
          <w:tcPr>
            <w:tcW w:w="2574" w:type="dxa"/>
          </w:tcPr>
          <w:p w:rsidR="00891443" w:rsidRPr="00654D79" w:rsidRDefault="00891443" w:rsidP="00CD0BF7">
            <w:pPr>
              <w:tabs>
                <w:tab w:val="num" w:pos="0"/>
              </w:tabs>
              <w:rPr>
                <w:rFonts w:ascii="Arial" w:hAnsi="Arial" w:cs="Arial"/>
              </w:rPr>
            </w:pPr>
            <w:r w:rsidRPr="00654D79">
              <w:rPr>
                <w:rFonts w:ascii="Arial" w:hAnsi="Arial" w:cs="Arial"/>
              </w:rPr>
              <w:t xml:space="preserve">2009 Media anuală </w:t>
            </w:r>
          </w:p>
        </w:tc>
        <w:tc>
          <w:tcPr>
            <w:tcW w:w="1042" w:type="dxa"/>
          </w:tcPr>
          <w:p w:rsidR="00891443" w:rsidRPr="00654D79" w:rsidRDefault="00891443" w:rsidP="00CD0BF7">
            <w:pPr>
              <w:jc w:val="center"/>
              <w:rPr>
                <w:rFonts w:ascii="Arial" w:hAnsi="Arial" w:cs="Arial"/>
              </w:rPr>
            </w:pPr>
            <w:r w:rsidRPr="00654D79">
              <w:rPr>
                <w:rFonts w:ascii="Arial" w:hAnsi="Arial" w:cs="Arial"/>
              </w:rPr>
              <w:t>0,0066</w:t>
            </w:r>
          </w:p>
        </w:tc>
        <w:tc>
          <w:tcPr>
            <w:tcW w:w="1265" w:type="dxa"/>
          </w:tcPr>
          <w:p w:rsidR="00891443" w:rsidRPr="00654D79" w:rsidRDefault="00891443" w:rsidP="00CD0BF7">
            <w:pPr>
              <w:jc w:val="center"/>
              <w:rPr>
                <w:rFonts w:ascii="Arial" w:hAnsi="Arial" w:cs="Arial"/>
              </w:rPr>
            </w:pPr>
            <w:r w:rsidRPr="00654D79">
              <w:rPr>
                <w:rFonts w:ascii="Arial" w:hAnsi="Arial" w:cs="Arial"/>
              </w:rPr>
              <w:t>0,0061</w:t>
            </w:r>
          </w:p>
        </w:tc>
        <w:tc>
          <w:tcPr>
            <w:tcW w:w="1089" w:type="dxa"/>
          </w:tcPr>
          <w:p w:rsidR="00891443" w:rsidRPr="00654D79" w:rsidRDefault="00891443" w:rsidP="00CD0BF7">
            <w:pPr>
              <w:jc w:val="center"/>
              <w:rPr>
                <w:rFonts w:ascii="Arial" w:hAnsi="Arial" w:cs="Arial"/>
              </w:rPr>
            </w:pPr>
            <w:r w:rsidRPr="00654D79">
              <w:rPr>
                <w:rFonts w:ascii="Arial" w:hAnsi="Arial" w:cs="Arial"/>
              </w:rPr>
              <w:t>0,0075</w:t>
            </w:r>
          </w:p>
        </w:tc>
      </w:tr>
      <w:tr w:rsidR="00891443" w:rsidRPr="00654D79" w:rsidTr="00CD0BF7">
        <w:trPr>
          <w:jc w:val="center"/>
        </w:trPr>
        <w:tc>
          <w:tcPr>
            <w:tcW w:w="2574" w:type="dxa"/>
          </w:tcPr>
          <w:p w:rsidR="00891443" w:rsidRPr="00654D79" w:rsidRDefault="00891443" w:rsidP="00CD0BF7">
            <w:pPr>
              <w:tabs>
                <w:tab w:val="num" w:pos="0"/>
              </w:tabs>
              <w:rPr>
                <w:rFonts w:ascii="Arial" w:hAnsi="Arial" w:cs="Arial"/>
              </w:rPr>
            </w:pPr>
            <w:r w:rsidRPr="00654D79">
              <w:rPr>
                <w:rFonts w:ascii="Arial" w:hAnsi="Arial" w:cs="Arial"/>
              </w:rPr>
              <w:t>2010 Medii anuale</w:t>
            </w:r>
          </w:p>
        </w:tc>
        <w:tc>
          <w:tcPr>
            <w:tcW w:w="1042" w:type="dxa"/>
          </w:tcPr>
          <w:p w:rsidR="00891443" w:rsidRPr="00654D79" w:rsidRDefault="00891443" w:rsidP="00CD0BF7">
            <w:pPr>
              <w:jc w:val="center"/>
              <w:rPr>
                <w:rFonts w:ascii="Arial" w:hAnsi="Arial" w:cs="Arial"/>
              </w:rPr>
            </w:pPr>
            <w:r w:rsidRPr="00654D79">
              <w:rPr>
                <w:rFonts w:ascii="Arial" w:hAnsi="Arial" w:cs="Arial"/>
              </w:rPr>
              <w:t>0,0085</w:t>
            </w:r>
          </w:p>
        </w:tc>
        <w:tc>
          <w:tcPr>
            <w:tcW w:w="1265" w:type="dxa"/>
          </w:tcPr>
          <w:p w:rsidR="00891443" w:rsidRPr="00654D79" w:rsidRDefault="00891443" w:rsidP="00CD0BF7">
            <w:pPr>
              <w:jc w:val="center"/>
              <w:rPr>
                <w:rFonts w:ascii="Arial" w:hAnsi="Arial" w:cs="Arial"/>
              </w:rPr>
            </w:pPr>
            <w:r w:rsidRPr="00654D79">
              <w:rPr>
                <w:rFonts w:ascii="Arial" w:hAnsi="Arial" w:cs="Arial"/>
              </w:rPr>
              <w:t>0,0053</w:t>
            </w:r>
          </w:p>
        </w:tc>
        <w:tc>
          <w:tcPr>
            <w:tcW w:w="1089" w:type="dxa"/>
          </w:tcPr>
          <w:p w:rsidR="00891443" w:rsidRPr="00654D79" w:rsidRDefault="00891443" w:rsidP="00CD0BF7">
            <w:pPr>
              <w:jc w:val="center"/>
              <w:rPr>
                <w:rFonts w:ascii="Arial" w:hAnsi="Arial" w:cs="Arial"/>
              </w:rPr>
            </w:pPr>
            <w:r w:rsidRPr="00654D79">
              <w:rPr>
                <w:rFonts w:ascii="Arial" w:hAnsi="Arial" w:cs="Arial"/>
              </w:rPr>
              <w:t>0,0052</w:t>
            </w:r>
          </w:p>
        </w:tc>
      </w:tr>
    </w:tbl>
    <w:p w:rsidR="00261E9E" w:rsidRPr="00C06CAE" w:rsidRDefault="00261E9E" w:rsidP="00261E9E">
      <w:pPr>
        <w:tabs>
          <w:tab w:val="left" w:pos="709"/>
        </w:tabs>
        <w:ind w:left="720" w:right="31"/>
        <w:jc w:val="center"/>
        <w:rPr>
          <w:rFonts w:ascii="Arial" w:hAnsi="Arial" w:cs="Arial"/>
          <w:b/>
          <w:color w:val="FF0000"/>
          <w:lang w:val="ro-RO"/>
        </w:rPr>
      </w:pPr>
    </w:p>
    <w:p w:rsidR="00AD5A7F" w:rsidRDefault="00AD5A7F" w:rsidP="002314E8">
      <w:pPr>
        <w:tabs>
          <w:tab w:val="left" w:pos="709"/>
        </w:tabs>
        <w:ind w:right="31"/>
        <w:jc w:val="both"/>
        <w:rPr>
          <w:rFonts w:ascii="Arial" w:hAnsi="Arial" w:cs="Arial"/>
        </w:rPr>
      </w:pPr>
      <w:r w:rsidRPr="00AD5A7F">
        <w:rPr>
          <w:rFonts w:ascii="Arial" w:hAnsi="Arial" w:cs="Arial"/>
        </w:rPr>
        <w:t xml:space="preserve">Conform datelor din tabelul anterior se observă că valorile concentraţiilor medii anuale pentru metale grele sunt mici şi </w:t>
      </w:r>
      <w:r>
        <w:rPr>
          <w:rFonts w:ascii="Arial" w:hAnsi="Arial" w:cs="Arial"/>
        </w:rPr>
        <w:t xml:space="preserve">în perioada 2008-2010 </w:t>
      </w:r>
      <w:r w:rsidRPr="00AD5A7F">
        <w:rPr>
          <w:rFonts w:ascii="Arial" w:hAnsi="Arial" w:cs="Arial"/>
        </w:rPr>
        <w:t xml:space="preserve">nu </w:t>
      </w:r>
      <w:r>
        <w:rPr>
          <w:rFonts w:ascii="Arial" w:hAnsi="Arial" w:cs="Arial"/>
        </w:rPr>
        <w:t xml:space="preserve">au </w:t>
      </w:r>
      <w:r w:rsidRPr="00AD5A7F">
        <w:rPr>
          <w:rFonts w:ascii="Arial" w:hAnsi="Arial" w:cs="Arial"/>
        </w:rPr>
        <w:t>depăş</w:t>
      </w:r>
      <w:r>
        <w:rPr>
          <w:rFonts w:ascii="Arial" w:hAnsi="Arial" w:cs="Arial"/>
        </w:rPr>
        <w:t>it</w:t>
      </w:r>
      <w:r w:rsidRPr="00AD5A7F">
        <w:rPr>
          <w:rFonts w:ascii="Arial" w:hAnsi="Arial" w:cs="Arial"/>
        </w:rPr>
        <w:t xml:space="preserve"> valoarea limită. </w:t>
      </w:r>
    </w:p>
    <w:p w:rsidR="00261E9E" w:rsidRPr="00AD5A7F" w:rsidRDefault="00AD5A7F" w:rsidP="002314E8">
      <w:pPr>
        <w:tabs>
          <w:tab w:val="left" w:pos="709"/>
        </w:tabs>
        <w:ind w:right="31"/>
        <w:jc w:val="both"/>
        <w:rPr>
          <w:rFonts w:ascii="Arial" w:hAnsi="Arial" w:cs="Arial"/>
          <w:b/>
          <w:lang w:val="ro-RO"/>
        </w:rPr>
      </w:pPr>
      <w:r w:rsidRPr="00AD5A7F">
        <w:rPr>
          <w:rFonts w:ascii="Arial" w:hAnsi="Arial" w:cs="Arial"/>
        </w:rPr>
        <w:t xml:space="preserve">Astfel, metalele grele nu </w:t>
      </w:r>
      <w:r>
        <w:rPr>
          <w:rFonts w:ascii="Arial" w:hAnsi="Arial" w:cs="Arial"/>
        </w:rPr>
        <w:t xml:space="preserve">reprezintă </w:t>
      </w:r>
      <w:r w:rsidRPr="00AD5A7F">
        <w:rPr>
          <w:rFonts w:ascii="Arial" w:hAnsi="Arial" w:cs="Arial"/>
        </w:rPr>
        <w:t xml:space="preserve">un motiv de îngrijorare pentru sănătatea populaţiei din aglomerarea Brăila. Valoarea medie anuală calculată pentru plumb din datele disponibile nu a depăşit valoarea limită anuală de 0,5 μg/m3 </w:t>
      </w:r>
    </w:p>
    <w:p w:rsidR="00261E9E" w:rsidRPr="00AD5A7F" w:rsidRDefault="00261E9E" w:rsidP="00261E9E">
      <w:pPr>
        <w:tabs>
          <w:tab w:val="num" w:pos="0"/>
        </w:tabs>
        <w:ind w:firstLine="720"/>
        <w:jc w:val="both"/>
        <w:rPr>
          <w:rFonts w:ascii="Arial" w:hAnsi="Arial" w:cs="Arial"/>
        </w:rPr>
      </w:pPr>
    </w:p>
    <w:p w:rsidR="00774E01" w:rsidRDefault="00C71C6A" w:rsidP="00B71F3A">
      <w:pPr>
        <w:tabs>
          <w:tab w:val="num" w:pos="0"/>
        </w:tabs>
        <w:rPr>
          <w:rFonts w:ascii="Arial" w:hAnsi="Arial" w:cs="Arial"/>
          <w:b/>
        </w:rPr>
      </w:pPr>
      <w:r>
        <w:rPr>
          <w:rFonts w:ascii="Arial" w:hAnsi="Arial" w:cs="Arial"/>
          <w:b/>
        </w:rPr>
        <w:tab/>
      </w:r>
      <w:r w:rsidR="00774E01" w:rsidRPr="006958F0">
        <w:rPr>
          <w:rFonts w:ascii="Arial" w:hAnsi="Arial" w:cs="Arial"/>
          <w:b/>
        </w:rPr>
        <w:t>Monoxid</w:t>
      </w:r>
      <w:r w:rsidR="00774E01" w:rsidRPr="00654D79">
        <w:rPr>
          <w:rFonts w:ascii="Arial" w:hAnsi="Arial" w:cs="Arial"/>
          <w:b/>
        </w:rPr>
        <w:t xml:space="preserve"> de carbon</w:t>
      </w:r>
    </w:p>
    <w:p w:rsidR="00A1104F" w:rsidRPr="00654D79" w:rsidRDefault="00A1104F" w:rsidP="00774E01">
      <w:pPr>
        <w:tabs>
          <w:tab w:val="num" w:pos="0"/>
        </w:tabs>
        <w:ind w:firstLine="720"/>
        <w:rPr>
          <w:rFonts w:ascii="Arial" w:hAnsi="Arial" w:cs="Arial"/>
          <w:b/>
        </w:rPr>
      </w:pPr>
    </w:p>
    <w:p w:rsidR="00774E01" w:rsidRPr="00654D79" w:rsidRDefault="00774E01" w:rsidP="00774E01">
      <w:pPr>
        <w:tabs>
          <w:tab w:val="num" w:pos="0"/>
        </w:tabs>
        <w:jc w:val="center"/>
        <w:rPr>
          <w:rFonts w:ascii="Arial" w:hAnsi="Arial" w:cs="Arial"/>
        </w:rPr>
      </w:pPr>
      <w:r>
        <w:rPr>
          <w:rFonts w:ascii="Arial" w:hAnsi="Arial" w:cs="Arial"/>
          <w:noProof/>
          <w:lang w:val="ro-RO" w:eastAsia="ro-RO"/>
        </w:rPr>
        <w:drawing>
          <wp:inline distT="0" distB="0" distL="0" distR="0">
            <wp:extent cx="5010150" cy="1828800"/>
            <wp:effectExtent l="0" t="0" r="0" b="0"/>
            <wp:docPr id="21" name="Object 5"/>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7"/>
              </a:graphicData>
            </a:graphic>
          </wp:inline>
        </w:drawing>
      </w:r>
    </w:p>
    <w:p w:rsidR="00774E01" w:rsidRDefault="00CD0BF7" w:rsidP="00CD0BF7">
      <w:pPr>
        <w:tabs>
          <w:tab w:val="num" w:pos="0"/>
        </w:tabs>
        <w:jc w:val="center"/>
        <w:rPr>
          <w:rFonts w:ascii="Arial" w:hAnsi="Arial" w:cs="Arial"/>
        </w:rPr>
      </w:pPr>
      <w:r>
        <w:rPr>
          <w:rFonts w:ascii="Arial" w:hAnsi="Arial" w:cs="Arial"/>
        </w:rPr>
        <w:t>Fig.</w:t>
      </w:r>
      <w:r w:rsidR="00774E01">
        <w:rPr>
          <w:rFonts w:ascii="Arial" w:hAnsi="Arial" w:cs="Arial"/>
        </w:rPr>
        <w:t xml:space="preserve"> I.1.1.2.</w:t>
      </w:r>
      <w:r>
        <w:rPr>
          <w:rFonts w:ascii="Arial" w:hAnsi="Arial" w:cs="Arial"/>
        </w:rPr>
        <w:t>5</w:t>
      </w:r>
      <w:r w:rsidR="00774E01">
        <w:rPr>
          <w:rFonts w:ascii="Arial" w:hAnsi="Arial" w:cs="Arial"/>
        </w:rPr>
        <w:t>.</w:t>
      </w:r>
      <w:r>
        <w:rPr>
          <w:rFonts w:ascii="Arial" w:hAnsi="Arial" w:cs="Arial"/>
        </w:rPr>
        <w:t xml:space="preserve"> </w:t>
      </w:r>
      <w:r w:rsidR="00774E01" w:rsidRPr="00654D79">
        <w:rPr>
          <w:rFonts w:ascii="Arial" w:hAnsi="Arial" w:cs="Arial"/>
        </w:rPr>
        <w:t>Concentraţia medie</w:t>
      </w:r>
      <w:r w:rsidR="00774E01">
        <w:rPr>
          <w:rFonts w:ascii="Arial" w:hAnsi="Arial" w:cs="Arial"/>
        </w:rPr>
        <w:t xml:space="preserve"> anuală a monoxidului de carbon</w:t>
      </w:r>
    </w:p>
    <w:p w:rsidR="00774E01" w:rsidRPr="00654D79" w:rsidRDefault="00774E01" w:rsidP="00774E01">
      <w:pPr>
        <w:jc w:val="center"/>
        <w:rPr>
          <w:rFonts w:ascii="Arial" w:hAnsi="Arial" w:cs="Arial"/>
        </w:rPr>
      </w:pPr>
      <w:r w:rsidRPr="00654D79">
        <w:rPr>
          <w:rFonts w:ascii="Arial" w:hAnsi="Arial" w:cs="Arial"/>
        </w:rPr>
        <w:t xml:space="preserve">în </w:t>
      </w:r>
      <w:r w:rsidR="00A50B64">
        <w:rPr>
          <w:rFonts w:ascii="Arial" w:hAnsi="Arial" w:cs="Arial"/>
        </w:rPr>
        <w:t xml:space="preserve">perioada </w:t>
      </w:r>
      <w:r w:rsidRPr="00654D79">
        <w:rPr>
          <w:rFonts w:ascii="Arial" w:hAnsi="Arial" w:cs="Arial"/>
        </w:rPr>
        <w:t>2008</w:t>
      </w:r>
      <w:r w:rsidR="00A50B64">
        <w:rPr>
          <w:rFonts w:ascii="Arial" w:hAnsi="Arial" w:cs="Arial"/>
        </w:rPr>
        <w:t>-</w:t>
      </w:r>
      <w:r>
        <w:rPr>
          <w:rFonts w:ascii="Arial" w:hAnsi="Arial" w:cs="Arial"/>
        </w:rPr>
        <w:t>2014</w:t>
      </w:r>
    </w:p>
    <w:p w:rsidR="00774E01" w:rsidRDefault="00774E01" w:rsidP="00774E01">
      <w:pPr>
        <w:ind w:left="5159" w:firstLine="737"/>
        <w:jc w:val="center"/>
        <w:rPr>
          <w:rFonts w:ascii="Arial" w:hAnsi="Arial" w:cs="Arial"/>
        </w:rPr>
      </w:pPr>
    </w:p>
    <w:p w:rsidR="00774E01" w:rsidRPr="00654D79" w:rsidRDefault="00125AB3" w:rsidP="00774E01">
      <w:pPr>
        <w:tabs>
          <w:tab w:val="num" w:pos="0"/>
        </w:tabs>
        <w:jc w:val="both"/>
        <w:rPr>
          <w:rFonts w:ascii="Arial" w:hAnsi="Arial" w:cs="Arial"/>
        </w:rPr>
      </w:pPr>
      <w:r>
        <w:rPr>
          <w:rFonts w:ascii="Arial" w:hAnsi="Arial" w:cs="Arial"/>
        </w:rPr>
        <w:tab/>
      </w:r>
      <w:r>
        <w:rPr>
          <w:rFonts w:ascii="Arial" w:hAnsi="Arial" w:cs="Arial"/>
        </w:rPr>
        <w:tab/>
      </w:r>
      <w:r w:rsidR="00774E01">
        <w:rPr>
          <w:rFonts w:ascii="Arial" w:hAnsi="Arial" w:cs="Arial"/>
        </w:rPr>
        <w:t>Tabel I.1.1.2.</w:t>
      </w:r>
      <w:r w:rsidR="00CD0BF7">
        <w:rPr>
          <w:rFonts w:ascii="Arial" w:hAnsi="Arial" w:cs="Arial"/>
        </w:rPr>
        <w:t>5</w:t>
      </w:r>
      <w:r w:rsidR="00774E01">
        <w:rPr>
          <w:rFonts w:ascii="Arial" w:hAnsi="Arial" w:cs="Arial"/>
        </w:rPr>
        <w:t>.</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04"/>
        <w:gridCol w:w="1080"/>
        <w:gridCol w:w="1167"/>
        <w:gridCol w:w="1029"/>
        <w:gridCol w:w="951"/>
        <w:gridCol w:w="1101"/>
      </w:tblGrid>
      <w:tr w:rsidR="00774E01" w:rsidRPr="00654D79" w:rsidTr="00CD0BF7">
        <w:trPr>
          <w:jc w:val="center"/>
        </w:trPr>
        <w:tc>
          <w:tcPr>
            <w:tcW w:w="2204" w:type="dxa"/>
          </w:tcPr>
          <w:p w:rsidR="00774E01" w:rsidRPr="00654D79" w:rsidRDefault="00774E01" w:rsidP="00CD0BF7">
            <w:pPr>
              <w:tabs>
                <w:tab w:val="num" w:pos="0"/>
              </w:tabs>
              <w:rPr>
                <w:rFonts w:ascii="Arial" w:hAnsi="Arial" w:cs="Arial"/>
              </w:rPr>
            </w:pPr>
            <w:r w:rsidRPr="00654D79">
              <w:rPr>
                <w:rFonts w:ascii="Arial" w:hAnsi="Arial" w:cs="Arial"/>
                <w:b/>
              </w:rPr>
              <w:t>CO</w:t>
            </w:r>
            <w:r w:rsidRPr="00654D79">
              <w:rPr>
                <w:rFonts w:ascii="Arial" w:hAnsi="Arial" w:cs="Arial"/>
              </w:rPr>
              <w:t xml:space="preserve">    (mg/mc)</w:t>
            </w:r>
          </w:p>
        </w:tc>
        <w:tc>
          <w:tcPr>
            <w:tcW w:w="1080" w:type="dxa"/>
          </w:tcPr>
          <w:p w:rsidR="00774E01" w:rsidRPr="00654D79" w:rsidRDefault="00774E01" w:rsidP="00CD0BF7">
            <w:pPr>
              <w:jc w:val="center"/>
              <w:rPr>
                <w:rFonts w:ascii="Arial" w:hAnsi="Arial" w:cs="Arial"/>
                <w:b/>
              </w:rPr>
            </w:pPr>
            <w:r w:rsidRPr="00654D79">
              <w:rPr>
                <w:rFonts w:ascii="Arial" w:hAnsi="Arial" w:cs="Arial"/>
                <w:b/>
              </w:rPr>
              <w:t>Br1</w:t>
            </w:r>
          </w:p>
        </w:tc>
        <w:tc>
          <w:tcPr>
            <w:tcW w:w="1167" w:type="dxa"/>
          </w:tcPr>
          <w:p w:rsidR="00774E01" w:rsidRPr="00654D79" w:rsidRDefault="00774E01" w:rsidP="00CD0BF7">
            <w:pPr>
              <w:jc w:val="center"/>
              <w:rPr>
                <w:rFonts w:ascii="Arial" w:hAnsi="Arial" w:cs="Arial"/>
                <w:b/>
              </w:rPr>
            </w:pPr>
            <w:r w:rsidRPr="00654D79">
              <w:rPr>
                <w:rFonts w:ascii="Arial" w:hAnsi="Arial" w:cs="Arial"/>
                <w:b/>
              </w:rPr>
              <w:t>Br2</w:t>
            </w:r>
          </w:p>
        </w:tc>
        <w:tc>
          <w:tcPr>
            <w:tcW w:w="1029" w:type="dxa"/>
          </w:tcPr>
          <w:p w:rsidR="00774E01" w:rsidRPr="00654D79" w:rsidRDefault="00774E01" w:rsidP="00CD0BF7">
            <w:pPr>
              <w:jc w:val="center"/>
              <w:rPr>
                <w:rFonts w:ascii="Arial" w:hAnsi="Arial" w:cs="Arial"/>
                <w:b/>
              </w:rPr>
            </w:pPr>
            <w:r w:rsidRPr="00654D79">
              <w:rPr>
                <w:rFonts w:ascii="Arial" w:hAnsi="Arial" w:cs="Arial"/>
                <w:b/>
              </w:rPr>
              <w:t>Br3</w:t>
            </w:r>
          </w:p>
        </w:tc>
        <w:tc>
          <w:tcPr>
            <w:tcW w:w="951" w:type="dxa"/>
          </w:tcPr>
          <w:p w:rsidR="00774E01" w:rsidRPr="00654D79" w:rsidRDefault="00774E01" w:rsidP="00CD0BF7">
            <w:pPr>
              <w:jc w:val="center"/>
              <w:rPr>
                <w:rFonts w:ascii="Arial" w:hAnsi="Arial" w:cs="Arial"/>
                <w:b/>
              </w:rPr>
            </w:pPr>
            <w:r w:rsidRPr="00654D79">
              <w:rPr>
                <w:rFonts w:ascii="Arial" w:hAnsi="Arial" w:cs="Arial"/>
                <w:b/>
              </w:rPr>
              <w:t>Br4</w:t>
            </w:r>
          </w:p>
        </w:tc>
        <w:tc>
          <w:tcPr>
            <w:tcW w:w="1101" w:type="dxa"/>
          </w:tcPr>
          <w:p w:rsidR="00774E01" w:rsidRPr="00654D79" w:rsidRDefault="00774E01" w:rsidP="00CD0BF7">
            <w:pPr>
              <w:jc w:val="center"/>
              <w:rPr>
                <w:rFonts w:ascii="Arial" w:hAnsi="Arial" w:cs="Arial"/>
                <w:b/>
              </w:rPr>
            </w:pPr>
            <w:r w:rsidRPr="00654D79">
              <w:rPr>
                <w:rFonts w:ascii="Arial" w:hAnsi="Arial" w:cs="Arial"/>
                <w:b/>
              </w:rPr>
              <w:t>Br5</w:t>
            </w:r>
          </w:p>
        </w:tc>
      </w:tr>
      <w:tr w:rsidR="00774E01" w:rsidRPr="00654D79" w:rsidTr="00CD0BF7">
        <w:trPr>
          <w:jc w:val="center"/>
        </w:trPr>
        <w:tc>
          <w:tcPr>
            <w:tcW w:w="2204" w:type="dxa"/>
          </w:tcPr>
          <w:p w:rsidR="00774E01" w:rsidRPr="00654D79" w:rsidRDefault="00774E01" w:rsidP="00CD0BF7">
            <w:pPr>
              <w:tabs>
                <w:tab w:val="num" w:pos="0"/>
              </w:tabs>
              <w:rPr>
                <w:rFonts w:ascii="Arial" w:hAnsi="Arial" w:cs="Arial"/>
                <w:sz w:val="22"/>
                <w:szCs w:val="22"/>
              </w:rPr>
            </w:pPr>
            <w:r w:rsidRPr="00654D79">
              <w:rPr>
                <w:rFonts w:ascii="Arial" w:hAnsi="Arial" w:cs="Arial"/>
              </w:rPr>
              <w:lastRenderedPageBreak/>
              <w:t xml:space="preserve">2008 Medii anuale </w:t>
            </w:r>
          </w:p>
        </w:tc>
        <w:tc>
          <w:tcPr>
            <w:tcW w:w="1080" w:type="dxa"/>
          </w:tcPr>
          <w:p w:rsidR="00774E01" w:rsidRPr="00654D79" w:rsidRDefault="00774E01" w:rsidP="00CD0BF7">
            <w:pPr>
              <w:jc w:val="center"/>
              <w:rPr>
                <w:rFonts w:ascii="Arial" w:hAnsi="Arial" w:cs="Arial"/>
              </w:rPr>
            </w:pPr>
            <w:r w:rsidRPr="00654D79">
              <w:rPr>
                <w:rFonts w:ascii="Arial" w:hAnsi="Arial" w:cs="Arial"/>
              </w:rPr>
              <w:t>0,98</w:t>
            </w:r>
          </w:p>
        </w:tc>
        <w:tc>
          <w:tcPr>
            <w:tcW w:w="1167" w:type="dxa"/>
          </w:tcPr>
          <w:p w:rsidR="00774E01" w:rsidRPr="0086774B" w:rsidRDefault="00774E01" w:rsidP="00CD0BF7">
            <w:pPr>
              <w:jc w:val="center"/>
              <w:rPr>
                <w:rFonts w:ascii="Arial" w:hAnsi="Arial" w:cs="Arial"/>
              </w:rPr>
            </w:pPr>
            <w:r w:rsidRPr="0086774B">
              <w:rPr>
                <w:rFonts w:ascii="Arial" w:hAnsi="Arial" w:cs="Arial"/>
              </w:rPr>
              <w:t>0,123</w:t>
            </w:r>
          </w:p>
        </w:tc>
        <w:tc>
          <w:tcPr>
            <w:tcW w:w="1029" w:type="dxa"/>
          </w:tcPr>
          <w:p w:rsidR="00774E01" w:rsidRPr="0086774B" w:rsidRDefault="00774E01" w:rsidP="00CD0BF7">
            <w:pPr>
              <w:jc w:val="center"/>
              <w:rPr>
                <w:rFonts w:ascii="Arial" w:hAnsi="Arial" w:cs="Arial"/>
              </w:rPr>
            </w:pPr>
            <w:r w:rsidRPr="0086774B">
              <w:rPr>
                <w:rFonts w:ascii="Arial" w:hAnsi="Arial" w:cs="Arial"/>
              </w:rPr>
              <w:t>0,204</w:t>
            </w:r>
          </w:p>
        </w:tc>
        <w:tc>
          <w:tcPr>
            <w:tcW w:w="951" w:type="dxa"/>
          </w:tcPr>
          <w:p w:rsidR="00774E01" w:rsidRPr="0086774B" w:rsidRDefault="00774E01" w:rsidP="00CD0BF7">
            <w:pPr>
              <w:jc w:val="center"/>
              <w:rPr>
                <w:rFonts w:ascii="Arial" w:hAnsi="Arial" w:cs="Arial"/>
              </w:rPr>
            </w:pPr>
            <w:r w:rsidRPr="0086774B">
              <w:rPr>
                <w:rFonts w:ascii="Arial" w:hAnsi="Arial" w:cs="Arial"/>
              </w:rPr>
              <w:t>0,185</w:t>
            </w:r>
          </w:p>
        </w:tc>
        <w:tc>
          <w:tcPr>
            <w:tcW w:w="1101" w:type="dxa"/>
          </w:tcPr>
          <w:p w:rsidR="00774E01" w:rsidRPr="0086774B" w:rsidRDefault="00774E01" w:rsidP="00CD0BF7">
            <w:pPr>
              <w:jc w:val="center"/>
              <w:rPr>
                <w:rFonts w:ascii="Arial" w:hAnsi="Arial" w:cs="Arial"/>
              </w:rPr>
            </w:pPr>
            <w:r w:rsidRPr="0086774B">
              <w:rPr>
                <w:rFonts w:ascii="Arial" w:hAnsi="Arial" w:cs="Arial"/>
              </w:rPr>
              <w:t>0,135</w:t>
            </w:r>
          </w:p>
        </w:tc>
      </w:tr>
      <w:tr w:rsidR="00774E01" w:rsidRPr="00654D79" w:rsidTr="00CD0BF7">
        <w:trPr>
          <w:jc w:val="center"/>
        </w:trPr>
        <w:tc>
          <w:tcPr>
            <w:tcW w:w="2204" w:type="dxa"/>
          </w:tcPr>
          <w:p w:rsidR="00774E01" w:rsidRPr="00654D79" w:rsidRDefault="00774E01" w:rsidP="00CD0BF7">
            <w:pPr>
              <w:tabs>
                <w:tab w:val="num" w:pos="0"/>
              </w:tabs>
              <w:rPr>
                <w:rFonts w:ascii="Arial" w:hAnsi="Arial" w:cs="Arial"/>
              </w:rPr>
            </w:pPr>
            <w:r w:rsidRPr="00654D79">
              <w:rPr>
                <w:rFonts w:ascii="Arial" w:hAnsi="Arial" w:cs="Arial"/>
              </w:rPr>
              <w:t>2009 Medii anuale</w:t>
            </w:r>
          </w:p>
        </w:tc>
        <w:tc>
          <w:tcPr>
            <w:tcW w:w="1080" w:type="dxa"/>
          </w:tcPr>
          <w:p w:rsidR="00774E01" w:rsidRPr="00654D79" w:rsidRDefault="00774E01" w:rsidP="00CD0BF7">
            <w:pPr>
              <w:jc w:val="center"/>
              <w:rPr>
                <w:rFonts w:ascii="Arial" w:hAnsi="Arial" w:cs="Arial"/>
              </w:rPr>
            </w:pPr>
            <w:r w:rsidRPr="00654D79">
              <w:rPr>
                <w:rFonts w:ascii="Arial" w:hAnsi="Arial" w:cs="Arial"/>
              </w:rPr>
              <w:t>0,40</w:t>
            </w:r>
          </w:p>
        </w:tc>
        <w:tc>
          <w:tcPr>
            <w:tcW w:w="1167" w:type="dxa"/>
          </w:tcPr>
          <w:p w:rsidR="00774E01" w:rsidRPr="0086774B" w:rsidRDefault="00774E01" w:rsidP="00CD0BF7">
            <w:pPr>
              <w:jc w:val="center"/>
              <w:rPr>
                <w:rFonts w:ascii="Arial" w:hAnsi="Arial" w:cs="Arial"/>
              </w:rPr>
            </w:pPr>
            <w:r w:rsidRPr="0086774B">
              <w:rPr>
                <w:rFonts w:ascii="Arial" w:hAnsi="Arial" w:cs="Arial"/>
              </w:rPr>
              <w:t>0,123</w:t>
            </w:r>
          </w:p>
        </w:tc>
        <w:tc>
          <w:tcPr>
            <w:tcW w:w="1029" w:type="dxa"/>
          </w:tcPr>
          <w:p w:rsidR="00774E01" w:rsidRPr="0086774B" w:rsidRDefault="00774E01" w:rsidP="00CD0BF7">
            <w:pPr>
              <w:jc w:val="center"/>
              <w:rPr>
                <w:rFonts w:ascii="Arial" w:hAnsi="Arial" w:cs="Arial"/>
              </w:rPr>
            </w:pPr>
            <w:r w:rsidRPr="0086774B">
              <w:rPr>
                <w:rFonts w:ascii="Arial" w:hAnsi="Arial" w:cs="Arial"/>
              </w:rPr>
              <w:t>0,169</w:t>
            </w:r>
          </w:p>
        </w:tc>
        <w:tc>
          <w:tcPr>
            <w:tcW w:w="951" w:type="dxa"/>
          </w:tcPr>
          <w:p w:rsidR="00774E01" w:rsidRPr="0086774B" w:rsidRDefault="00774E01" w:rsidP="00CD0BF7">
            <w:pPr>
              <w:jc w:val="center"/>
              <w:rPr>
                <w:rFonts w:ascii="Arial" w:hAnsi="Arial" w:cs="Arial"/>
              </w:rPr>
            </w:pPr>
            <w:r w:rsidRPr="0086774B">
              <w:rPr>
                <w:rFonts w:ascii="Arial" w:hAnsi="Arial" w:cs="Arial"/>
              </w:rPr>
              <w:t>0,128</w:t>
            </w:r>
          </w:p>
        </w:tc>
        <w:tc>
          <w:tcPr>
            <w:tcW w:w="1101" w:type="dxa"/>
          </w:tcPr>
          <w:p w:rsidR="00774E01" w:rsidRPr="0086774B" w:rsidRDefault="00774E01" w:rsidP="00CD0BF7">
            <w:pPr>
              <w:jc w:val="center"/>
              <w:rPr>
                <w:rFonts w:ascii="Arial" w:hAnsi="Arial" w:cs="Arial"/>
              </w:rPr>
            </w:pPr>
            <w:r w:rsidRPr="0086774B">
              <w:rPr>
                <w:rFonts w:ascii="Arial" w:hAnsi="Arial" w:cs="Arial"/>
              </w:rPr>
              <w:t>0,087</w:t>
            </w:r>
          </w:p>
        </w:tc>
      </w:tr>
      <w:tr w:rsidR="00774E01" w:rsidRPr="00654D79" w:rsidTr="00CD0BF7">
        <w:trPr>
          <w:jc w:val="center"/>
        </w:trPr>
        <w:tc>
          <w:tcPr>
            <w:tcW w:w="2204" w:type="dxa"/>
          </w:tcPr>
          <w:p w:rsidR="00774E01" w:rsidRPr="00654D79" w:rsidRDefault="00774E01" w:rsidP="00CD0BF7">
            <w:pPr>
              <w:tabs>
                <w:tab w:val="num" w:pos="0"/>
              </w:tabs>
              <w:rPr>
                <w:rFonts w:ascii="Arial" w:hAnsi="Arial" w:cs="Arial"/>
              </w:rPr>
            </w:pPr>
            <w:r w:rsidRPr="00654D79">
              <w:rPr>
                <w:rFonts w:ascii="Arial" w:hAnsi="Arial" w:cs="Arial"/>
              </w:rPr>
              <w:t>2010 Medii anuale</w:t>
            </w:r>
          </w:p>
        </w:tc>
        <w:tc>
          <w:tcPr>
            <w:tcW w:w="1080" w:type="dxa"/>
          </w:tcPr>
          <w:p w:rsidR="00774E01" w:rsidRPr="00654D79" w:rsidRDefault="00774E01" w:rsidP="00CD0BF7">
            <w:pPr>
              <w:jc w:val="center"/>
              <w:rPr>
                <w:rFonts w:ascii="Arial" w:hAnsi="Arial" w:cs="Arial"/>
              </w:rPr>
            </w:pPr>
            <w:r w:rsidRPr="00654D79">
              <w:rPr>
                <w:rFonts w:ascii="Arial" w:hAnsi="Arial" w:cs="Arial"/>
              </w:rPr>
              <w:t>0,19</w:t>
            </w:r>
          </w:p>
        </w:tc>
        <w:tc>
          <w:tcPr>
            <w:tcW w:w="1167" w:type="dxa"/>
          </w:tcPr>
          <w:p w:rsidR="00774E01" w:rsidRPr="0086774B" w:rsidRDefault="00774E01" w:rsidP="00CD0BF7">
            <w:pPr>
              <w:jc w:val="center"/>
              <w:rPr>
                <w:rFonts w:ascii="Arial" w:hAnsi="Arial" w:cs="Arial"/>
              </w:rPr>
            </w:pPr>
            <w:r w:rsidRPr="0086774B">
              <w:rPr>
                <w:rFonts w:ascii="Arial" w:hAnsi="Arial" w:cs="Arial"/>
              </w:rPr>
              <w:t>0,13</w:t>
            </w:r>
          </w:p>
        </w:tc>
        <w:tc>
          <w:tcPr>
            <w:tcW w:w="1029" w:type="dxa"/>
          </w:tcPr>
          <w:p w:rsidR="00774E01" w:rsidRPr="0086774B" w:rsidRDefault="00774E01" w:rsidP="00CD0BF7">
            <w:pPr>
              <w:jc w:val="center"/>
              <w:rPr>
                <w:rFonts w:ascii="Arial" w:hAnsi="Arial" w:cs="Arial"/>
              </w:rPr>
            </w:pPr>
            <w:r w:rsidRPr="0086774B">
              <w:rPr>
                <w:rFonts w:ascii="Arial" w:hAnsi="Arial" w:cs="Arial"/>
              </w:rPr>
              <w:t>0,29</w:t>
            </w:r>
          </w:p>
        </w:tc>
        <w:tc>
          <w:tcPr>
            <w:tcW w:w="951" w:type="dxa"/>
          </w:tcPr>
          <w:p w:rsidR="00774E01" w:rsidRPr="0086774B" w:rsidRDefault="00774E01" w:rsidP="00CD0BF7">
            <w:pPr>
              <w:jc w:val="center"/>
              <w:rPr>
                <w:rFonts w:ascii="Arial" w:hAnsi="Arial" w:cs="Arial"/>
              </w:rPr>
            </w:pPr>
            <w:r w:rsidRPr="0086774B">
              <w:rPr>
                <w:rFonts w:ascii="Arial" w:hAnsi="Arial" w:cs="Arial"/>
              </w:rPr>
              <w:t>0,12</w:t>
            </w:r>
          </w:p>
        </w:tc>
        <w:tc>
          <w:tcPr>
            <w:tcW w:w="1101" w:type="dxa"/>
          </w:tcPr>
          <w:p w:rsidR="00774E01" w:rsidRPr="0086774B" w:rsidRDefault="00774E01" w:rsidP="00CD0BF7">
            <w:pPr>
              <w:jc w:val="center"/>
              <w:rPr>
                <w:rFonts w:ascii="Arial" w:hAnsi="Arial" w:cs="Arial"/>
              </w:rPr>
            </w:pPr>
            <w:r w:rsidRPr="0086774B">
              <w:rPr>
                <w:rFonts w:ascii="Arial" w:hAnsi="Arial" w:cs="Arial"/>
              </w:rPr>
              <w:t>0,08</w:t>
            </w:r>
          </w:p>
        </w:tc>
      </w:tr>
      <w:tr w:rsidR="00774E01" w:rsidRPr="00654D79" w:rsidTr="00CD0BF7">
        <w:trPr>
          <w:jc w:val="center"/>
        </w:trPr>
        <w:tc>
          <w:tcPr>
            <w:tcW w:w="2204" w:type="dxa"/>
          </w:tcPr>
          <w:p w:rsidR="00774E01" w:rsidRPr="00654D79" w:rsidRDefault="00774E01" w:rsidP="00CD0BF7">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1080" w:type="dxa"/>
          </w:tcPr>
          <w:p w:rsidR="00774E01" w:rsidRPr="00654D79" w:rsidRDefault="00774E01" w:rsidP="00CD0BF7">
            <w:pPr>
              <w:jc w:val="center"/>
              <w:rPr>
                <w:rFonts w:ascii="Arial" w:hAnsi="Arial" w:cs="Arial"/>
              </w:rPr>
            </w:pPr>
            <w:r>
              <w:rPr>
                <w:rFonts w:ascii="Arial" w:hAnsi="Arial" w:cs="Arial"/>
              </w:rPr>
              <w:t>0,42</w:t>
            </w:r>
          </w:p>
        </w:tc>
        <w:tc>
          <w:tcPr>
            <w:tcW w:w="1167" w:type="dxa"/>
          </w:tcPr>
          <w:p w:rsidR="00774E01" w:rsidRPr="0086774B" w:rsidRDefault="00774E01" w:rsidP="00CD0BF7">
            <w:pPr>
              <w:jc w:val="center"/>
              <w:rPr>
                <w:rFonts w:ascii="Arial" w:hAnsi="Arial" w:cs="Arial"/>
              </w:rPr>
            </w:pPr>
            <w:r w:rsidRPr="0086774B">
              <w:rPr>
                <w:rFonts w:ascii="Arial" w:hAnsi="Arial" w:cs="Arial"/>
              </w:rPr>
              <w:t>0,13</w:t>
            </w:r>
          </w:p>
        </w:tc>
        <w:tc>
          <w:tcPr>
            <w:tcW w:w="1029" w:type="dxa"/>
          </w:tcPr>
          <w:p w:rsidR="00774E01" w:rsidRPr="0086774B" w:rsidRDefault="00774E01" w:rsidP="00CD0BF7">
            <w:pPr>
              <w:jc w:val="center"/>
              <w:rPr>
                <w:rFonts w:ascii="Arial" w:hAnsi="Arial" w:cs="Arial"/>
              </w:rPr>
            </w:pPr>
            <w:r w:rsidRPr="0086774B">
              <w:rPr>
                <w:rFonts w:ascii="Arial" w:hAnsi="Arial" w:cs="Arial"/>
              </w:rPr>
              <w:t>0,13</w:t>
            </w:r>
          </w:p>
        </w:tc>
        <w:tc>
          <w:tcPr>
            <w:tcW w:w="951" w:type="dxa"/>
          </w:tcPr>
          <w:p w:rsidR="00774E01" w:rsidRPr="0086774B" w:rsidRDefault="00774E01" w:rsidP="00CD0BF7">
            <w:pPr>
              <w:jc w:val="center"/>
              <w:rPr>
                <w:rFonts w:ascii="Arial" w:hAnsi="Arial" w:cs="Arial"/>
              </w:rPr>
            </w:pPr>
            <w:r w:rsidRPr="0086774B">
              <w:rPr>
                <w:rFonts w:ascii="Arial" w:hAnsi="Arial" w:cs="Arial"/>
              </w:rPr>
              <w:t>0,16</w:t>
            </w:r>
          </w:p>
        </w:tc>
        <w:tc>
          <w:tcPr>
            <w:tcW w:w="1101" w:type="dxa"/>
          </w:tcPr>
          <w:p w:rsidR="00774E01" w:rsidRPr="0086774B" w:rsidRDefault="00774E01" w:rsidP="00CD0BF7">
            <w:pPr>
              <w:jc w:val="center"/>
              <w:rPr>
                <w:rFonts w:ascii="Arial" w:hAnsi="Arial" w:cs="Arial"/>
              </w:rPr>
            </w:pPr>
            <w:r w:rsidRPr="0086774B">
              <w:rPr>
                <w:rFonts w:ascii="Arial" w:hAnsi="Arial" w:cs="Arial"/>
              </w:rPr>
              <w:t>0,12</w:t>
            </w:r>
          </w:p>
        </w:tc>
      </w:tr>
      <w:tr w:rsidR="00774E01" w:rsidRPr="00654D79" w:rsidTr="00CD0BF7">
        <w:trPr>
          <w:jc w:val="center"/>
        </w:trPr>
        <w:tc>
          <w:tcPr>
            <w:tcW w:w="2204" w:type="dxa"/>
          </w:tcPr>
          <w:p w:rsidR="00774E01" w:rsidRPr="00654D79" w:rsidRDefault="00774E01" w:rsidP="00CD0BF7">
            <w:pPr>
              <w:tabs>
                <w:tab w:val="num" w:pos="0"/>
              </w:tabs>
              <w:rPr>
                <w:rFonts w:ascii="Arial" w:hAnsi="Arial" w:cs="Arial"/>
              </w:rPr>
            </w:pPr>
            <w:r>
              <w:rPr>
                <w:rFonts w:ascii="Arial" w:hAnsi="Arial" w:cs="Arial"/>
              </w:rPr>
              <w:t>2012 Medii anuale</w:t>
            </w:r>
          </w:p>
        </w:tc>
        <w:tc>
          <w:tcPr>
            <w:tcW w:w="1080" w:type="dxa"/>
          </w:tcPr>
          <w:p w:rsidR="00774E01" w:rsidRPr="00100806" w:rsidRDefault="00774E01" w:rsidP="00CD0BF7">
            <w:pPr>
              <w:jc w:val="center"/>
              <w:rPr>
                <w:rFonts w:ascii="Arial" w:hAnsi="Arial" w:cs="Arial"/>
              </w:rPr>
            </w:pPr>
            <w:r w:rsidRPr="00100806">
              <w:rPr>
                <w:rFonts w:ascii="Arial" w:hAnsi="Arial" w:cs="Arial"/>
              </w:rPr>
              <w:t>0,27</w:t>
            </w:r>
          </w:p>
        </w:tc>
        <w:tc>
          <w:tcPr>
            <w:tcW w:w="1167" w:type="dxa"/>
          </w:tcPr>
          <w:p w:rsidR="00774E01" w:rsidRPr="0086774B" w:rsidRDefault="00774E01" w:rsidP="00CD0BF7">
            <w:pPr>
              <w:jc w:val="center"/>
              <w:rPr>
                <w:rFonts w:ascii="Arial" w:hAnsi="Arial" w:cs="Arial"/>
              </w:rPr>
            </w:pPr>
            <w:r w:rsidRPr="0086774B">
              <w:rPr>
                <w:rFonts w:ascii="Arial" w:hAnsi="Arial" w:cs="Arial"/>
              </w:rPr>
              <w:t>0,19</w:t>
            </w:r>
          </w:p>
        </w:tc>
        <w:tc>
          <w:tcPr>
            <w:tcW w:w="1029" w:type="dxa"/>
          </w:tcPr>
          <w:p w:rsidR="00774E01" w:rsidRPr="0086774B" w:rsidRDefault="00774E01" w:rsidP="00CD0BF7">
            <w:pPr>
              <w:jc w:val="center"/>
              <w:rPr>
                <w:rFonts w:ascii="Arial" w:hAnsi="Arial" w:cs="Arial"/>
              </w:rPr>
            </w:pPr>
            <w:r w:rsidRPr="0086774B">
              <w:rPr>
                <w:rFonts w:ascii="Arial" w:hAnsi="Arial" w:cs="Arial"/>
              </w:rPr>
              <w:t>0,15</w:t>
            </w:r>
          </w:p>
        </w:tc>
        <w:tc>
          <w:tcPr>
            <w:tcW w:w="951" w:type="dxa"/>
          </w:tcPr>
          <w:p w:rsidR="00774E01" w:rsidRPr="0086774B" w:rsidRDefault="00774E01" w:rsidP="00CD0BF7">
            <w:pPr>
              <w:jc w:val="center"/>
              <w:rPr>
                <w:rFonts w:ascii="Arial" w:hAnsi="Arial" w:cs="Arial"/>
              </w:rPr>
            </w:pPr>
            <w:r w:rsidRPr="0086774B">
              <w:rPr>
                <w:rFonts w:ascii="Arial" w:hAnsi="Arial" w:cs="Arial"/>
              </w:rPr>
              <w:t>0,42</w:t>
            </w:r>
          </w:p>
        </w:tc>
        <w:tc>
          <w:tcPr>
            <w:tcW w:w="1101" w:type="dxa"/>
          </w:tcPr>
          <w:p w:rsidR="00774E01" w:rsidRPr="0086774B" w:rsidRDefault="00774E01" w:rsidP="00CD0BF7">
            <w:pPr>
              <w:jc w:val="center"/>
              <w:rPr>
                <w:rFonts w:ascii="Arial" w:hAnsi="Arial" w:cs="Arial"/>
              </w:rPr>
            </w:pPr>
            <w:r w:rsidRPr="0086774B">
              <w:rPr>
                <w:rFonts w:ascii="Arial" w:hAnsi="Arial" w:cs="Arial"/>
              </w:rPr>
              <w:t>0,1</w:t>
            </w:r>
          </w:p>
        </w:tc>
      </w:tr>
      <w:tr w:rsidR="00774E01" w:rsidRPr="00654D79" w:rsidTr="00CD0BF7">
        <w:trPr>
          <w:jc w:val="center"/>
        </w:trPr>
        <w:tc>
          <w:tcPr>
            <w:tcW w:w="2204" w:type="dxa"/>
          </w:tcPr>
          <w:p w:rsidR="00774E01" w:rsidRDefault="00774E01" w:rsidP="00CD0BF7">
            <w:pPr>
              <w:tabs>
                <w:tab w:val="num" w:pos="0"/>
              </w:tabs>
              <w:rPr>
                <w:rFonts w:ascii="Arial" w:hAnsi="Arial" w:cs="Arial"/>
              </w:rPr>
            </w:pPr>
            <w:r>
              <w:rPr>
                <w:rFonts w:ascii="Arial" w:hAnsi="Arial" w:cs="Arial"/>
              </w:rPr>
              <w:t>2013 Medii anuale</w:t>
            </w:r>
          </w:p>
        </w:tc>
        <w:tc>
          <w:tcPr>
            <w:tcW w:w="1080" w:type="dxa"/>
          </w:tcPr>
          <w:p w:rsidR="00774E01" w:rsidRPr="00100806" w:rsidRDefault="00774E01" w:rsidP="00CD0BF7">
            <w:pPr>
              <w:jc w:val="center"/>
              <w:rPr>
                <w:rFonts w:ascii="Arial" w:hAnsi="Arial" w:cs="Arial"/>
              </w:rPr>
            </w:pPr>
            <w:r>
              <w:rPr>
                <w:rFonts w:ascii="Arial" w:hAnsi="Arial" w:cs="Arial"/>
              </w:rPr>
              <w:t>-</w:t>
            </w:r>
          </w:p>
        </w:tc>
        <w:tc>
          <w:tcPr>
            <w:tcW w:w="1167" w:type="dxa"/>
          </w:tcPr>
          <w:p w:rsidR="00774E01" w:rsidRPr="0086774B" w:rsidRDefault="00774E01" w:rsidP="00CD0BF7">
            <w:pPr>
              <w:jc w:val="center"/>
              <w:rPr>
                <w:rFonts w:ascii="Arial" w:hAnsi="Arial" w:cs="Arial"/>
              </w:rPr>
            </w:pPr>
            <w:r w:rsidRPr="0086774B">
              <w:rPr>
                <w:rFonts w:ascii="Arial" w:hAnsi="Arial" w:cs="Arial"/>
              </w:rPr>
              <w:t>0,15</w:t>
            </w:r>
          </w:p>
        </w:tc>
        <w:tc>
          <w:tcPr>
            <w:tcW w:w="1029" w:type="dxa"/>
          </w:tcPr>
          <w:p w:rsidR="00774E01" w:rsidRPr="0086774B" w:rsidRDefault="00774E01" w:rsidP="00CD0BF7">
            <w:pPr>
              <w:jc w:val="center"/>
              <w:rPr>
                <w:rFonts w:ascii="Arial" w:hAnsi="Arial" w:cs="Arial"/>
              </w:rPr>
            </w:pPr>
            <w:r w:rsidRPr="0086774B">
              <w:rPr>
                <w:rFonts w:ascii="Arial" w:hAnsi="Arial" w:cs="Arial"/>
              </w:rPr>
              <w:t>0,14</w:t>
            </w:r>
          </w:p>
        </w:tc>
        <w:tc>
          <w:tcPr>
            <w:tcW w:w="951" w:type="dxa"/>
          </w:tcPr>
          <w:p w:rsidR="00774E01" w:rsidRPr="0086774B" w:rsidRDefault="00774E01" w:rsidP="00CD0BF7">
            <w:pPr>
              <w:jc w:val="center"/>
              <w:rPr>
                <w:rFonts w:ascii="Arial" w:hAnsi="Arial" w:cs="Arial"/>
              </w:rPr>
            </w:pPr>
            <w:r w:rsidRPr="0086774B">
              <w:rPr>
                <w:rFonts w:ascii="Arial" w:hAnsi="Arial" w:cs="Arial"/>
              </w:rPr>
              <w:t>0,06</w:t>
            </w:r>
          </w:p>
        </w:tc>
        <w:tc>
          <w:tcPr>
            <w:tcW w:w="1101" w:type="dxa"/>
          </w:tcPr>
          <w:p w:rsidR="00774E01" w:rsidRPr="0086774B" w:rsidRDefault="00774E01" w:rsidP="00CD0BF7">
            <w:pPr>
              <w:jc w:val="center"/>
              <w:rPr>
                <w:rFonts w:ascii="Arial" w:hAnsi="Arial" w:cs="Arial"/>
              </w:rPr>
            </w:pPr>
            <w:r w:rsidRPr="0086774B">
              <w:rPr>
                <w:rFonts w:ascii="Arial" w:hAnsi="Arial" w:cs="Arial"/>
              </w:rPr>
              <w:t>0,08</w:t>
            </w:r>
          </w:p>
        </w:tc>
      </w:tr>
      <w:tr w:rsidR="00774E01" w:rsidRPr="00654D79" w:rsidTr="00CD0BF7">
        <w:trPr>
          <w:jc w:val="center"/>
        </w:trPr>
        <w:tc>
          <w:tcPr>
            <w:tcW w:w="2204" w:type="dxa"/>
          </w:tcPr>
          <w:p w:rsidR="00774E01" w:rsidRDefault="00774E01" w:rsidP="00CD0BF7">
            <w:pPr>
              <w:tabs>
                <w:tab w:val="num" w:pos="0"/>
              </w:tabs>
              <w:rPr>
                <w:rFonts w:ascii="Arial" w:hAnsi="Arial" w:cs="Arial"/>
              </w:rPr>
            </w:pPr>
            <w:r>
              <w:rPr>
                <w:rFonts w:ascii="Arial" w:hAnsi="Arial" w:cs="Arial"/>
              </w:rPr>
              <w:t>2014 Medii anuale</w:t>
            </w:r>
          </w:p>
        </w:tc>
        <w:tc>
          <w:tcPr>
            <w:tcW w:w="1080" w:type="dxa"/>
          </w:tcPr>
          <w:p w:rsidR="00774E01" w:rsidRDefault="00774E01" w:rsidP="00CD0BF7">
            <w:pPr>
              <w:jc w:val="center"/>
              <w:rPr>
                <w:rFonts w:ascii="Arial" w:hAnsi="Arial" w:cs="Arial"/>
              </w:rPr>
            </w:pPr>
            <w:r>
              <w:rPr>
                <w:rFonts w:ascii="Arial" w:hAnsi="Arial" w:cs="Arial"/>
              </w:rPr>
              <w:t>-</w:t>
            </w:r>
          </w:p>
        </w:tc>
        <w:tc>
          <w:tcPr>
            <w:tcW w:w="1167" w:type="dxa"/>
            <w:vAlign w:val="bottom"/>
          </w:tcPr>
          <w:p w:rsidR="00774E01" w:rsidRPr="0086774B" w:rsidRDefault="00774E01" w:rsidP="00CD0BF7">
            <w:pPr>
              <w:jc w:val="center"/>
              <w:rPr>
                <w:rFonts w:ascii="Arial" w:hAnsi="Arial" w:cs="Arial"/>
                <w:bCs/>
              </w:rPr>
            </w:pPr>
            <w:r w:rsidRPr="0086774B">
              <w:rPr>
                <w:rFonts w:ascii="Arial" w:hAnsi="Arial" w:cs="Arial"/>
                <w:bCs/>
              </w:rPr>
              <w:t>0,22</w:t>
            </w:r>
          </w:p>
        </w:tc>
        <w:tc>
          <w:tcPr>
            <w:tcW w:w="1029" w:type="dxa"/>
            <w:vAlign w:val="bottom"/>
          </w:tcPr>
          <w:p w:rsidR="00774E01" w:rsidRPr="0086774B" w:rsidRDefault="00774E01" w:rsidP="00CD0BF7">
            <w:pPr>
              <w:jc w:val="center"/>
              <w:rPr>
                <w:rFonts w:ascii="Arial" w:hAnsi="Arial" w:cs="Arial"/>
                <w:bCs/>
              </w:rPr>
            </w:pPr>
            <w:r w:rsidRPr="0086774B">
              <w:rPr>
                <w:rFonts w:ascii="Arial" w:hAnsi="Arial" w:cs="Arial"/>
                <w:bCs/>
              </w:rPr>
              <w:t>0,21</w:t>
            </w:r>
          </w:p>
        </w:tc>
        <w:tc>
          <w:tcPr>
            <w:tcW w:w="951" w:type="dxa"/>
            <w:vAlign w:val="bottom"/>
          </w:tcPr>
          <w:p w:rsidR="00774E01" w:rsidRPr="0086774B" w:rsidRDefault="00774E01" w:rsidP="00CD0BF7">
            <w:pPr>
              <w:jc w:val="center"/>
              <w:rPr>
                <w:rFonts w:ascii="Arial" w:hAnsi="Arial" w:cs="Arial"/>
                <w:bCs/>
              </w:rPr>
            </w:pPr>
            <w:r w:rsidRPr="0086774B">
              <w:rPr>
                <w:rFonts w:ascii="Arial" w:hAnsi="Arial" w:cs="Arial"/>
                <w:bCs/>
              </w:rPr>
              <w:t>0,11</w:t>
            </w:r>
          </w:p>
        </w:tc>
        <w:tc>
          <w:tcPr>
            <w:tcW w:w="1101" w:type="dxa"/>
            <w:vAlign w:val="bottom"/>
          </w:tcPr>
          <w:p w:rsidR="00774E01" w:rsidRPr="0086774B" w:rsidRDefault="00774E01" w:rsidP="00CD0BF7">
            <w:pPr>
              <w:jc w:val="center"/>
              <w:rPr>
                <w:rFonts w:ascii="Arial" w:hAnsi="Arial" w:cs="Arial"/>
                <w:bCs/>
              </w:rPr>
            </w:pPr>
            <w:r w:rsidRPr="0086774B">
              <w:rPr>
                <w:rFonts w:ascii="Arial" w:hAnsi="Arial" w:cs="Arial"/>
                <w:bCs/>
              </w:rPr>
              <w:t>0,05</w:t>
            </w:r>
          </w:p>
        </w:tc>
      </w:tr>
    </w:tbl>
    <w:p w:rsidR="0020345C" w:rsidRPr="006958F0" w:rsidRDefault="0020345C" w:rsidP="00261E9E">
      <w:pPr>
        <w:tabs>
          <w:tab w:val="left" w:pos="709"/>
        </w:tabs>
        <w:ind w:left="720" w:right="31"/>
        <w:rPr>
          <w:rFonts w:ascii="Arial" w:hAnsi="Arial" w:cs="Arial"/>
          <w:b/>
          <w:lang w:val="ro-RO"/>
        </w:rPr>
      </w:pPr>
    </w:p>
    <w:p w:rsidR="00A1104F" w:rsidRPr="0010606C" w:rsidRDefault="00A1104F" w:rsidP="00B71F3A">
      <w:pPr>
        <w:autoSpaceDE w:val="0"/>
        <w:autoSpaceDN w:val="0"/>
        <w:adjustRightInd w:val="0"/>
        <w:jc w:val="both"/>
        <w:rPr>
          <w:rFonts w:ascii="Arial" w:eastAsia="Times New Roman" w:hAnsi="Arial" w:cs="Arial"/>
          <w:color w:val="000000"/>
          <w:lang w:val="ro-RO" w:eastAsia="ro-RO"/>
        </w:rPr>
      </w:pPr>
      <w:r w:rsidRPr="0010606C">
        <w:rPr>
          <w:rFonts w:ascii="Arial" w:eastAsia="Times New Roman" w:hAnsi="Arial" w:cs="Arial"/>
          <w:color w:val="000000"/>
          <w:lang w:val="ro-RO" w:eastAsia="ro-RO"/>
        </w:rPr>
        <w:t>Populaţia din aglomerarea Br</w:t>
      </w:r>
      <w:r>
        <w:rPr>
          <w:rFonts w:ascii="Arial" w:eastAsia="Times New Roman" w:hAnsi="Arial" w:cs="Arial"/>
          <w:color w:val="000000"/>
          <w:lang w:val="ro-RO" w:eastAsia="ro-RO"/>
        </w:rPr>
        <w:t>ăila</w:t>
      </w:r>
      <w:r w:rsidRPr="0010606C">
        <w:rPr>
          <w:rFonts w:ascii="Arial" w:eastAsia="Times New Roman" w:hAnsi="Arial" w:cs="Arial"/>
          <w:color w:val="000000"/>
          <w:lang w:val="ro-RO" w:eastAsia="ro-RO"/>
        </w:rPr>
        <w:t xml:space="preserve"> nu a fost expusă la concentraţii mari de monoxid de carbon. Valorile concentraţiei medii anuale de CO calculate în baza datelor achiziţionate la staţiile de monitorizare din aglomerarea Br</w:t>
      </w:r>
      <w:r>
        <w:rPr>
          <w:rFonts w:ascii="Arial" w:eastAsia="Times New Roman" w:hAnsi="Arial" w:cs="Arial"/>
          <w:color w:val="000000"/>
          <w:lang w:val="ro-RO" w:eastAsia="ro-RO"/>
        </w:rPr>
        <w:t>ăila</w:t>
      </w:r>
      <w:r w:rsidRPr="0010606C">
        <w:rPr>
          <w:rFonts w:ascii="Arial" w:eastAsia="Times New Roman" w:hAnsi="Arial" w:cs="Arial"/>
          <w:color w:val="000000"/>
          <w:lang w:val="ro-RO" w:eastAsia="ro-RO"/>
        </w:rPr>
        <w:t xml:space="preserve"> în perioada 2008 – 201</w:t>
      </w:r>
      <w:r>
        <w:rPr>
          <w:rFonts w:ascii="Arial" w:eastAsia="Times New Roman" w:hAnsi="Arial" w:cs="Arial"/>
          <w:color w:val="000000"/>
          <w:lang w:val="ro-RO" w:eastAsia="ro-RO"/>
        </w:rPr>
        <w:t>4</w:t>
      </w:r>
      <w:r w:rsidRPr="0010606C">
        <w:rPr>
          <w:rFonts w:ascii="Arial" w:eastAsia="Times New Roman" w:hAnsi="Arial" w:cs="Arial"/>
          <w:color w:val="000000"/>
          <w:lang w:val="ro-RO" w:eastAsia="ro-RO"/>
        </w:rPr>
        <w:t xml:space="preserve"> sunt prezentate în tabelul </w:t>
      </w:r>
      <w:r>
        <w:rPr>
          <w:rFonts w:ascii="Arial" w:eastAsia="Times New Roman" w:hAnsi="Arial" w:cs="Arial"/>
          <w:color w:val="000000"/>
          <w:lang w:val="ro-RO" w:eastAsia="ro-RO"/>
        </w:rPr>
        <w:t>anterior</w:t>
      </w:r>
      <w:r w:rsidRPr="0010606C">
        <w:rPr>
          <w:rFonts w:ascii="Arial" w:eastAsia="Times New Roman" w:hAnsi="Arial" w:cs="Arial"/>
          <w:color w:val="000000"/>
          <w:lang w:val="ro-RO" w:eastAsia="ro-RO"/>
        </w:rPr>
        <w:t xml:space="preserve">. </w:t>
      </w:r>
    </w:p>
    <w:p w:rsidR="00CD0BF7" w:rsidRDefault="00CD0BF7" w:rsidP="005F170E">
      <w:pPr>
        <w:tabs>
          <w:tab w:val="num" w:pos="0"/>
        </w:tabs>
        <w:ind w:firstLine="720"/>
        <w:rPr>
          <w:rFonts w:ascii="Arial" w:hAnsi="Arial" w:cs="Arial"/>
          <w:b/>
        </w:rPr>
      </w:pPr>
    </w:p>
    <w:p w:rsidR="00261E9E" w:rsidRDefault="00C71C6A" w:rsidP="00B71F3A">
      <w:pPr>
        <w:tabs>
          <w:tab w:val="num" w:pos="0"/>
        </w:tabs>
        <w:rPr>
          <w:rFonts w:ascii="Arial" w:hAnsi="Arial" w:cs="Arial"/>
          <w:b/>
        </w:rPr>
      </w:pPr>
      <w:r>
        <w:rPr>
          <w:rFonts w:ascii="Arial" w:hAnsi="Arial" w:cs="Arial"/>
          <w:b/>
        </w:rPr>
        <w:tab/>
      </w:r>
      <w:r w:rsidR="00261E9E" w:rsidRPr="00654D79">
        <w:rPr>
          <w:rFonts w:ascii="Arial" w:hAnsi="Arial" w:cs="Arial"/>
          <w:b/>
        </w:rPr>
        <w:t>Benzen</w:t>
      </w:r>
    </w:p>
    <w:p w:rsidR="00364AA0" w:rsidRPr="00364AA0" w:rsidRDefault="00364AA0" w:rsidP="00B71F3A">
      <w:pPr>
        <w:tabs>
          <w:tab w:val="num" w:pos="0"/>
        </w:tabs>
        <w:jc w:val="both"/>
        <w:rPr>
          <w:rFonts w:ascii="Arial" w:hAnsi="Arial" w:cs="Arial"/>
          <w:b/>
        </w:rPr>
      </w:pPr>
      <w:r w:rsidRPr="00364AA0">
        <w:rPr>
          <w:rFonts w:ascii="Arial" w:hAnsi="Arial" w:cs="Arial"/>
        </w:rPr>
        <w:t>Benzenul provine în special din arderea incompletă a combustibililor (benzină), dar şi din evaporarea solvenţilor organici folosiţi în diferite activităţi industriale şi evaporarea în timpul proceselor de producere, transport şi depozitare a produselor care conţin benzen. Datorită stabilităţii chimice ridicate, benzenul are timp mare de remanenţă în straturile joase ale atmosferei, unde se poate acumula. Benzenul este îndepărtat din atmosferă prin dispersie, la apariţia condiţiilor m</w:t>
      </w:r>
      <w:r w:rsidR="0005468F">
        <w:rPr>
          <w:rFonts w:ascii="Arial" w:hAnsi="Arial" w:cs="Arial"/>
        </w:rPr>
        <w:t>e</w:t>
      </w:r>
      <w:r w:rsidRPr="00364AA0">
        <w:rPr>
          <w:rFonts w:ascii="Arial" w:hAnsi="Arial" w:cs="Arial"/>
        </w:rPr>
        <w:t>teorologice favorabile acestui fenomen sau prin reacţii fotochimice la care benzenul este reactant</w:t>
      </w:r>
      <w:r>
        <w:rPr>
          <w:rFonts w:ascii="Arial" w:hAnsi="Arial" w:cs="Arial"/>
        </w:rPr>
        <w:t>.</w:t>
      </w:r>
    </w:p>
    <w:p w:rsidR="00261E9E" w:rsidRPr="00654D79" w:rsidRDefault="00261E9E" w:rsidP="00261E9E">
      <w:pPr>
        <w:tabs>
          <w:tab w:val="num" w:pos="0"/>
        </w:tabs>
        <w:ind w:firstLine="720"/>
        <w:rPr>
          <w:rFonts w:ascii="Arial" w:hAnsi="Arial" w:cs="Arial"/>
          <w:b/>
        </w:rPr>
      </w:pPr>
    </w:p>
    <w:p w:rsidR="00261E9E" w:rsidRPr="00654D79" w:rsidRDefault="008020AE" w:rsidP="00261E9E">
      <w:pPr>
        <w:tabs>
          <w:tab w:val="num" w:pos="0"/>
        </w:tabs>
        <w:jc w:val="center"/>
        <w:rPr>
          <w:rFonts w:ascii="Arial" w:hAnsi="Arial" w:cs="Arial"/>
        </w:rPr>
      </w:pPr>
      <w:r>
        <w:rPr>
          <w:rFonts w:ascii="Arial" w:hAnsi="Arial" w:cs="Arial"/>
          <w:noProof/>
          <w:lang w:val="ro-RO" w:eastAsia="ro-RO"/>
        </w:rPr>
        <w:drawing>
          <wp:inline distT="0" distB="0" distL="0" distR="0">
            <wp:extent cx="5210175" cy="1781175"/>
            <wp:effectExtent l="0" t="0" r="0" b="0"/>
            <wp:docPr id="6" name="Object 6"/>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8"/>
              </a:graphicData>
            </a:graphic>
          </wp:inline>
        </w:drawing>
      </w:r>
    </w:p>
    <w:p w:rsidR="00261E9E" w:rsidRPr="00654D79" w:rsidRDefault="00891443" w:rsidP="00261E9E">
      <w:pPr>
        <w:tabs>
          <w:tab w:val="num" w:pos="0"/>
        </w:tabs>
        <w:jc w:val="center"/>
        <w:rPr>
          <w:rFonts w:ascii="Arial" w:hAnsi="Arial" w:cs="Arial"/>
        </w:rPr>
      </w:pPr>
      <w:r>
        <w:rPr>
          <w:rFonts w:ascii="Arial" w:eastAsia="Times New Roman" w:hAnsi="Arial" w:cs="Arial"/>
          <w:iCs/>
          <w:color w:val="000000"/>
          <w:lang w:val="ro-RO" w:eastAsia="ro-RO"/>
        </w:rPr>
        <w:t xml:space="preserve">Fig. </w:t>
      </w:r>
      <w:r w:rsidRPr="000E3D2C">
        <w:rPr>
          <w:rFonts w:ascii="Arial" w:eastAsia="Times New Roman" w:hAnsi="Arial" w:cs="Arial"/>
          <w:iCs/>
          <w:color w:val="000000"/>
          <w:lang w:val="ro-RO" w:eastAsia="ro-RO"/>
        </w:rPr>
        <w:t>I</w:t>
      </w:r>
      <w:r>
        <w:rPr>
          <w:rFonts w:ascii="Arial" w:eastAsia="Times New Roman" w:hAnsi="Arial" w:cs="Arial"/>
          <w:iCs/>
          <w:color w:val="000000"/>
          <w:lang w:val="ro-RO" w:eastAsia="ro-RO"/>
        </w:rPr>
        <w:t xml:space="preserve">.1.1.2.6. </w:t>
      </w:r>
      <w:r w:rsidR="00261E9E" w:rsidRPr="00654D79">
        <w:rPr>
          <w:rFonts w:ascii="Arial" w:hAnsi="Arial" w:cs="Arial"/>
        </w:rPr>
        <w:t xml:space="preserve">Concentraţia medie anuală a benzenului în </w:t>
      </w:r>
      <w:r w:rsidR="00A50B64">
        <w:rPr>
          <w:rFonts w:ascii="Arial" w:hAnsi="Arial" w:cs="Arial"/>
        </w:rPr>
        <w:t xml:space="preserve">perioada </w:t>
      </w:r>
      <w:r w:rsidR="00261E9E" w:rsidRPr="00654D79">
        <w:rPr>
          <w:rFonts w:ascii="Arial" w:hAnsi="Arial" w:cs="Arial"/>
        </w:rPr>
        <w:t>2008</w:t>
      </w:r>
      <w:r w:rsidR="00A50B64">
        <w:rPr>
          <w:rFonts w:ascii="Arial" w:hAnsi="Arial" w:cs="Arial"/>
        </w:rPr>
        <w:t>-</w:t>
      </w:r>
      <w:r w:rsidR="00261E9E">
        <w:rPr>
          <w:rFonts w:ascii="Arial" w:hAnsi="Arial" w:cs="Arial"/>
        </w:rPr>
        <w:t>2012</w:t>
      </w:r>
    </w:p>
    <w:p w:rsidR="00261E9E" w:rsidRDefault="00261E9E" w:rsidP="00261E9E">
      <w:pPr>
        <w:jc w:val="both"/>
        <w:rPr>
          <w:rFonts w:ascii="Arial" w:hAnsi="Arial" w:cs="Arial"/>
        </w:rPr>
      </w:pPr>
    </w:p>
    <w:p w:rsidR="00A029DE" w:rsidRPr="00654D79" w:rsidRDefault="00076FA8" w:rsidP="00076FA8">
      <w:pPr>
        <w:tabs>
          <w:tab w:val="num" w:pos="0"/>
        </w:tabs>
        <w:rPr>
          <w:rFonts w:ascii="Arial" w:hAnsi="Arial" w:cs="Arial"/>
        </w:rPr>
      </w:pPr>
      <w:r>
        <w:rPr>
          <w:rFonts w:ascii="Arial" w:hAnsi="Arial" w:cs="Arial"/>
        </w:rPr>
        <w:t xml:space="preserve">                       </w:t>
      </w:r>
      <w:r w:rsidR="00A029DE" w:rsidRPr="00654D79">
        <w:rPr>
          <w:rFonts w:ascii="Arial" w:hAnsi="Arial" w:cs="Arial"/>
        </w:rPr>
        <w:t xml:space="preserve">Tabel </w:t>
      </w:r>
      <w:r w:rsidR="00CD0BF7" w:rsidRPr="000E3D2C">
        <w:rPr>
          <w:rFonts w:ascii="Arial" w:eastAsia="Times New Roman" w:hAnsi="Arial" w:cs="Arial"/>
          <w:iCs/>
          <w:color w:val="000000"/>
          <w:lang w:val="ro-RO" w:eastAsia="ro-RO"/>
        </w:rPr>
        <w:t>I</w:t>
      </w:r>
      <w:r w:rsidR="00CD0BF7">
        <w:rPr>
          <w:rFonts w:ascii="Arial" w:eastAsia="Times New Roman" w:hAnsi="Arial" w:cs="Arial"/>
          <w:iCs/>
          <w:color w:val="000000"/>
          <w:lang w:val="ro-RO" w:eastAsia="ro-RO"/>
        </w:rPr>
        <w:t>.1.1.2.6.</w:t>
      </w:r>
    </w:p>
    <w:tbl>
      <w:tblPr>
        <w:tblW w:w="0" w:type="auto"/>
        <w:jc w:val="center"/>
        <w:tblInd w:w="-73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285"/>
        <w:gridCol w:w="1080"/>
        <w:gridCol w:w="1080"/>
        <w:gridCol w:w="1265"/>
        <w:gridCol w:w="1265"/>
      </w:tblGrid>
      <w:tr w:rsidR="00A029DE" w:rsidRPr="00654D79" w:rsidTr="00AD0E49">
        <w:trPr>
          <w:jc w:val="center"/>
        </w:trPr>
        <w:tc>
          <w:tcPr>
            <w:tcW w:w="2285" w:type="dxa"/>
          </w:tcPr>
          <w:p w:rsidR="00A029DE" w:rsidRPr="00654D79" w:rsidRDefault="00A029DE" w:rsidP="00AD0E49">
            <w:pPr>
              <w:tabs>
                <w:tab w:val="num" w:pos="0"/>
              </w:tabs>
              <w:rPr>
                <w:rFonts w:ascii="Arial" w:hAnsi="Arial" w:cs="Arial"/>
              </w:rPr>
            </w:pPr>
            <w:r w:rsidRPr="00654D79">
              <w:rPr>
                <w:rFonts w:ascii="Arial" w:hAnsi="Arial" w:cs="Arial"/>
                <w:b/>
              </w:rPr>
              <w:t>Benzen</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1080" w:type="dxa"/>
          </w:tcPr>
          <w:p w:rsidR="00A029DE" w:rsidRPr="00654D79" w:rsidRDefault="00A029DE" w:rsidP="00AD0E49">
            <w:pPr>
              <w:jc w:val="center"/>
              <w:rPr>
                <w:rFonts w:ascii="Arial" w:hAnsi="Arial" w:cs="Arial"/>
                <w:b/>
              </w:rPr>
            </w:pPr>
            <w:r w:rsidRPr="00654D79">
              <w:rPr>
                <w:rFonts w:ascii="Arial" w:hAnsi="Arial" w:cs="Arial"/>
                <w:b/>
              </w:rPr>
              <w:t>Br1</w:t>
            </w:r>
          </w:p>
        </w:tc>
        <w:tc>
          <w:tcPr>
            <w:tcW w:w="1080" w:type="dxa"/>
          </w:tcPr>
          <w:p w:rsidR="00A029DE" w:rsidRPr="00654D79" w:rsidRDefault="00A029DE" w:rsidP="00AD0E49">
            <w:pPr>
              <w:jc w:val="center"/>
              <w:rPr>
                <w:rFonts w:ascii="Arial" w:hAnsi="Arial" w:cs="Arial"/>
                <w:b/>
              </w:rPr>
            </w:pPr>
            <w:r w:rsidRPr="00654D79">
              <w:rPr>
                <w:rFonts w:ascii="Arial" w:hAnsi="Arial" w:cs="Arial"/>
                <w:b/>
              </w:rPr>
              <w:t>Br2</w:t>
            </w:r>
          </w:p>
        </w:tc>
        <w:tc>
          <w:tcPr>
            <w:tcW w:w="1265" w:type="dxa"/>
          </w:tcPr>
          <w:p w:rsidR="00A029DE" w:rsidRPr="00654D79" w:rsidRDefault="00A029DE" w:rsidP="00AD0E49">
            <w:pPr>
              <w:jc w:val="center"/>
              <w:rPr>
                <w:rFonts w:ascii="Arial" w:hAnsi="Arial" w:cs="Arial"/>
                <w:b/>
              </w:rPr>
            </w:pPr>
            <w:r w:rsidRPr="00654D79">
              <w:rPr>
                <w:rFonts w:ascii="Arial" w:hAnsi="Arial" w:cs="Arial"/>
                <w:b/>
              </w:rPr>
              <w:t>Br3</w:t>
            </w:r>
          </w:p>
        </w:tc>
        <w:tc>
          <w:tcPr>
            <w:tcW w:w="1265" w:type="dxa"/>
          </w:tcPr>
          <w:p w:rsidR="00A029DE" w:rsidRPr="00654D79" w:rsidRDefault="00A029DE" w:rsidP="00AD0E49">
            <w:pPr>
              <w:jc w:val="center"/>
              <w:rPr>
                <w:rFonts w:ascii="Arial" w:hAnsi="Arial" w:cs="Arial"/>
              </w:rPr>
            </w:pPr>
            <w:r w:rsidRPr="00654D79">
              <w:rPr>
                <w:rFonts w:ascii="Arial" w:hAnsi="Arial" w:cs="Arial"/>
                <w:b/>
              </w:rPr>
              <w:t>Br</w:t>
            </w:r>
            <w:r>
              <w:rPr>
                <w:rFonts w:ascii="Arial" w:hAnsi="Arial" w:cs="Arial"/>
                <w:b/>
              </w:rPr>
              <w:t>5</w:t>
            </w:r>
          </w:p>
        </w:tc>
      </w:tr>
      <w:tr w:rsidR="00A029DE" w:rsidRPr="00654D79" w:rsidTr="00AD0E49">
        <w:trPr>
          <w:jc w:val="center"/>
        </w:trPr>
        <w:tc>
          <w:tcPr>
            <w:tcW w:w="2285" w:type="dxa"/>
          </w:tcPr>
          <w:p w:rsidR="00A029DE" w:rsidRPr="00654D79" w:rsidRDefault="00A029DE" w:rsidP="00AD0E49">
            <w:pPr>
              <w:tabs>
                <w:tab w:val="num" w:pos="0"/>
              </w:tabs>
              <w:rPr>
                <w:rFonts w:ascii="Arial" w:hAnsi="Arial" w:cs="Arial"/>
                <w:sz w:val="22"/>
                <w:szCs w:val="22"/>
              </w:rPr>
            </w:pPr>
            <w:r w:rsidRPr="00654D79">
              <w:rPr>
                <w:rFonts w:ascii="Arial" w:hAnsi="Arial" w:cs="Arial"/>
              </w:rPr>
              <w:t xml:space="preserve">2008 Medii anuale </w:t>
            </w:r>
          </w:p>
        </w:tc>
        <w:tc>
          <w:tcPr>
            <w:tcW w:w="1080" w:type="dxa"/>
          </w:tcPr>
          <w:p w:rsidR="00A029DE" w:rsidRPr="00654D79" w:rsidRDefault="00A029DE" w:rsidP="00AD0E49">
            <w:pPr>
              <w:jc w:val="center"/>
              <w:rPr>
                <w:rFonts w:ascii="Arial" w:hAnsi="Arial" w:cs="Arial"/>
              </w:rPr>
            </w:pPr>
            <w:r w:rsidRPr="00654D79">
              <w:rPr>
                <w:rFonts w:ascii="Arial" w:hAnsi="Arial" w:cs="Arial"/>
              </w:rPr>
              <w:t>-</w:t>
            </w:r>
          </w:p>
        </w:tc>
        <w:tc>
          <w:tcPr>
            <w:tcW w:w="1080" w:type="dxa"/>
          </w:tcPr>
          <w:p w:rsidR="00A029DE" w:rsidRPr="00654D79" w:rsidRDefault="00A029DE" w:rsidP="00AD0E49">
            <w:pPr>
              <w:jc w:val="center"/>
              <w:rPr>
                <w:rFonts w:ascii="Arial" w:hAnsi="Arial" w:cs="Arial"/>
              </w:rPr>
            </w:pPr>
            <w:r w:rsidRPr="00654D79">
              <w:rPr>
                <w:rFonts w:ascii="Arial" w:hAnsi="Arial" w:cs="Arial"/>
              </w:rPr>
              <w:t>3,145</w:t>
            </w:r>
          </w:p>
        </w:tc>
        <w:tc>
          <w:tcPr>
            <w:tcW w:w="1265" w:type="dxa"/>
          </w:tcPr>
          <w:p w:rsidR="00A029DE" w:rsidRPr="00654D79" w:rsidRDefault="00A029DE" w:rsidP="00AD0E49">
            <w:pPr>
              <w:jc w:val="center"/>
              <w:rPr>
                <w:rFonts w:ascii="Arial" w:hAnsi="Arial" w:cs="Arial"/>
              </w:rPr>
            </w:pPr>
            <w:r w:rsidRPr="00654D79">
              <w:rPr>
                <w:rFonts w:ascii="Arial" w:hAnsi="Arial" w:cs="Arial"/>
              </w:rPr>
              <w:t>3,19</w:t>
            </w:r>
          </w:p>
        </w:tc>
        <w:tc>
          <w:tcPr>
            <w:tcW w:w="1265" w:type="dxa"/>
          </w:tcPr>
          <w:p w:rsidR="00A029DE" w:rsidRPr="00654D79" w:rsidRDefault="00A029DE" w:rsidP="00AD0E49">
            <w:pPr>
              <w:jc w:val="center"/>
              <w:rPr>
                <w:rFonts w:ascii="Arial" w:hAnsi="Arial" w:cs="Arial"/>
              </w:rPr>
            </w:pPr>
            <w:r w:rsidRPr="00654D79">
              <w:rPr>
                <w:rFonts w:ascii="Arial" w:hAnsi="Arial" w:cs="Arial"/>
              </w:rPr>
              <w:t>-</w:t>
            </w:r>
          </w:p>
        </w:tc>
      </w:tr>
      <w:tr w:rsidR="00A029DE" w:rsidRPr="00654D79" w:rsidTr="00AD0E49">
        <w:trPr>
          <w:jc w:val="center"/>
        </w:trPr>
        <w:tc>
          <w:tcPr>
            <w:tcW w:w="2285" w:type="dxa"/>
          </w:tcPr>
          <w:p w:rsidR="00A029DE" w:rsidRPr="00654D79" w:rsidRDefault="00A029DE" w:rsidP="00AD0E49">
            <w:pPr>
              <w:tabs>
                <w:tab w:val="num" w:pos="0"/>
              </w:tabs>
              <w:rPr>
                <w:rFonts w:ascii="Arial" w:hAnsi="Arial" w:cs="Arial"/>
              </w:rPr>
            </w:pPr>
            <w:r w:rsidRPr="00654D79">
              <w:rPr>
                <w:rFonts w:ascii="Arial" w:hAnsi="Arial" w:cs="Arial"/>
              </w:rPr>
              <w:t>2009 Medii anuale</w:t>
            </w:r>
          </w:p>
        </w:tc>
        <w:tc>
          <w:tcPr>
            <w:tcW w:w="1080" w:type="dxa"/>
          </w:tcPr>
          <w:p w:rsidR="00A029DE" w:rsidRPr="00654D79" w:rsidRDefault="00A029DE" w:rsidP="00AD0E49">
            <w:pPr>
              <w:jc w:val="center"/>
              <w:rPr>
                <w:rFonts w:ascii="Arial" w:hAnsi="Arial" w:cs="Arial"/>
              </w:rPr>
            </w:pPr>
            <w:r w:rsidRPr="00654D79">
              <w:rPr>
                <w:rFonts w:ascii="Arial" w:hAnsi="Arial" w:cs="Arial"/>
              </w:rPr>
              <w:t>4,65</w:t>
            </w:r>
          </w:p>
        </w:tc>
        <w:tc>
          <w:tcPr>
            <w:tcW w:w="1080" w:type="dxa"/>
          </w:tcPr>
          <w:p w:rsidR="00A029DE" w:rsidRPr="00654D79" w:rsidRDefault="00A029DE" w:rsidP="00AD0E49">
            <w:pPr>
              <w:jc w:val="center"/>
              <w:rPr>
                <w:rFonts w:ascii="Arial" w:hAnsi="Arial" w:cs="Arial"/>
              </w:rPr>
            </w:pPr>
            <w:r w:rsidRPr="00654D79">
              <w:rPr>
                <w:rFonts w:ascii="Arial" w:hAnsi="Arial" w:cs="Arial"/>
              </w:rPr>
              <w:t>0,25</w:t>
            </w:r>
          </w:p>
        </w:tc>
        <w:tc>
          <w:tcPr>
            <w:tcW w:w="1265" w:type="dxa"/>
          </w:tcPr>
          <w:p w:rsidR="00A029DE" w:rsidRPr="00654D79" w:rsidRDefault="00A029DE" w:rsidP="00AD0E49">
            <w:pPr>
              <w:jc w:val="center"/>
              <w:rPr>
                <w:rFonts w:ascii="Arial" w:hAnsi="Arial" w:cs="Arial"/>
              </w:rPr>
            </w:pPr>
            <w:r w:rsidRPr="00654D79">
              <w:rPr>
                <w:rFonts w:ascii="Arial" w:hAnsi="Arial" w:cs="Arial"/>
              </w:rPr>
              <w:t>1,48</w:t>
            </w:r>
          </w:p>
        </w:tc>
        <w:tc>
          <w:tcPr>
            <w:tcW w:w="1265" w:type="dxa"/>
          </w:tcPr>
          <w:p w:rsidR="00A029DE" w:rsidRPr="00654D79" w:rsidRDefault="00A029DE" w:rsidP="00AD0E49">
            <w:pPr>
              <w:jc w:val="center"/>
              <w:rPr>
                <w:rFonts w:ascii="Arial" w:hAnsi="Arial" w:cs="Arial"/>
              </w:rPr>
            </w:pPr>
            <w:r w:rsidRPr="00654D79">
              <w:rPr>
                <w:rFonts w:ascii="Arial" w:hAnsi="Arial" w:cs="Arial"/>
              </w:rPr>
              <w:t>-</w:t>
            </w:r>
          </w:p>
        </w:tc>
      </w:tr>
      <w:tr w:rsidR="00A029DE" w:rsidRPr="00654D79" w:rsidTr="00AD0E49">
        <w:trPr>
          <w:jc w:val="center"/>
        </w:trPr>
        <w:tc>
          <w:tcPr>
            <w:tcW w:w="2285" w:type="dxa"/>
          </w:tcPr>
          <w:p w:rsidR="00A029DE" w:rsidRPr="00654D79" w:rsidRDefault="00A029DE" w:rsidP="00AD0E49">
            <w:pPr>
              <w:tabs>
                <w:tab w:val="num" w:pos="0"/>
              </w:tabs>
              <w:rPr>
                <w:rFonts w:ascii="Arial" w:hAnsi="Arial" w:cs="Arial"/>
              </w:rPr>
            </w:pPr>
            <w:r w:rsidRPr="00654D79">
              <w:rPr>
                <w:rFonts w:ascii="Arial" w:hAnsi="Arial" w:cs="Arial"/>
              </w:rPr>
              <w:t>2010 Medii anuale</w:t>
            </w:r>
          </w:p>
        </w:tc>
        <w:tc>
          <w:tcPr>
            <w:tcW w:w="1080" w:type="dxa"/>
          </w:tcPr>
          <w:p w:rsidR="00A029DE" w:rsidRPr="00654D79" w:rsidRDefault="00A029DE" w:rsidP="00AD0E49">
            <w:pPr>
              <w:jc w:val="center"/>
              <w:rPr>
                <w:rFonts w:ascii="Arial" w:hAnsi="Arial" w:cs="Arial"/>
              </w:rPr>
            </w:pPr>
            <w:r w:rsidRPr="00654D79">
              <w:rPr>
                <w:rFonts w:ascii="Arial" w:hAnsi="Arial" w:cs="Arial"/>
              </w:rPr>
              <w:t>2,41</w:t>
            </w:r>
          </w:p>
        </w:tc>
        <w:tc>
          <w:tcPr>
            <w:tcW w:w="1080" w:type="dxa"/>
          </w:tcPr>
          <w:p w:rsidR="00A029DE" w:rsidRPr="00654D79" w:rsidRDefault="00A029DE" w:rsidP="00AD0E49">
            <w:pPr>
              <w:jc w:val="center"/>
              <w:rPr>
                <w:rFonts w:ascii="Arial" w:hAnsi="Arial" w:cs="Arial"/>
              </w:rPr>
            </w:pPr>
            <w:r w:rsidRPr="00654D79">
              <w:rPr>
                <w:rFonts w:ascii="Arial" w:hAnsi="Arial" w:cs="Arial"/>
              </w:rPr>
              <w:t>0,13</w:t>
            </w:r>
          </w:p>
        </w:tc>
        <w:tc>
          <w:tcPr>
            <w:tcW w:w="1265" w:type="dxa"/>
          </w:tcPr>
          <w:p w:rsidR="00A029DE" w:rsidRPr="00654D79" w:rsidRDefault="00A029DE" w:rsidP="00AD0E49">
            <w:pPr>
              <w:jc w:val="center"/>
              <w:rPr>
                <w:rFonts w:ascii="Arial" w:hAnsi="Arial" w:cs="Arial"/>
              </w:rPr>
            </w:pPr>
            <w:r w:rsidRPr="00654D79">
              <w:rPr>
                <w:rFonts w:ascii="Arial" w:hAnsi="Arial" w:cs="Arial"/>
              </w:rPr>
              <w:t>1,41</w:t>
            </w:r>
          </w:p>
        </w:tc>
        <w:tc>
          <w:tcPr>
            <w:tcW w:w="1265" w:type="dxa"/>
          </w:tcPr>
          <w:p w:rsidR="00A029DE" w:rsidRPr="00654D79" w:rsidRDefault="00A029DE" w:rsidP="00AD0E49">
            <w:pPr>
              <w:jc w:val="center"/>
              <w:rPr>
                <w:rFonts w:ascii="Arial" w:hAnsi="Arial" w:cs="Arial"/>
              </w:rPr>
            </w:pPr>
            <w:r w:rsidRPr="00654D79">
              <w:rPr>
                <w:rFonts w:ascii="Arial" w:hAnsi="Arial" w:cs="Arial"/>
              </w:rPr>
              <w:t>2,10</w:t>
            </w:r>
          </w:p>
        </w:tc>
      </w:tr>
      <w:tr w:rsidR="00A029DE" w:rsidRPr="00654D79" w:rsidTr="00AD0E49">
        <w:trPr>
          <w:jc w:val="center"/>
        </w:trPr>
        <w:tc>
          <w:tcPr>
            <w:tcW w:w="2285" w:type="dxa"/>
          </w:tcPr>
          <w:p w:rsidR="00A029DE" w:rsidRPr="00654D79" w:rsidRDefault="00A029DE" w:rsidP="00AD0E49">
            <w:pPr>
              <w:tabs>
                <w:tab w:val="num" w:pos="0"/>
              </w:tabs>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1080" w:type="dxa"/>
          </w:tcPr>
          <w:p w:rsidR="00A029DE" w:rsidRPr="00654D79" w:rsidRDefault="00A029DE" w:rsidP="00AD0E49">
            <w:pPr>
              <w:jc w:val="center"/>
              <w:rPr>
                <w:rFonts w:ascii="Arial" w:hAnsi="Arial" w:cs="Arial"/>
              </w:rPr>
            </w:pPr>
            <w:r>
              <w:rPr>
                <w:rFonts w:ascii="Arial" w:hAnsi="Arial" w:cs="Arial"/>
              </w:rPr>
              <w:t>-</w:t>
            </w:r>
          </w:p>
        </w:tc>
        <w:tc>
          <w:tcPr>
            <w:tcW w:w="1080" w:type="dxa"/>
          </w:tcPr>
          <w:p w:rsidR="00A029DE" w:rsidRPr="00654D79" w:rsidRDefault="00A029DE" w:rsidP="00AD0E49">
            <w:pPr>
              <w:jc w:val="center"/>
              <w:rPr>
                <w:rFonts w:ascii="Arial" w:hAnsi="Arial" w:cs="Arial"/>
              </w:rPr>
            </w:pPr>
            <w:r>
              <w:rPr>
                <w:rFonts w:ascii="Arial" w:hAnsi="Arial" w:cs="Arial"/>
              </w:rPr>
              <w:t>-</w:t>
            </w:r>
          </w:p>
        </w:tc>
        <w:tc>
          <w:tcPr>
            <w:tcW w:w="1265" w:type="dxa"/>
          </w:tcPr>
          <w:p w:rsidR="00A029DE" w:rsidRPr="00654D79" w:rsidRDefault="00A029DE" w:rsidP="00AD0E49">
            <w:pPr>
              <w:jc w:val="center"/>
              <w:rPr>
                <w:rFonts w:ascii="Arial" w:hAnsi="Arial" w:cs="Arial"/>
              </w:rPr>
            </w:pPr>
            <w:r>
              <w:rPr>
                <w:rFonts w:ascii="Arial" w:hAnsi="Arial" w:cs="Arial"/>
              </w:rPr>
              <w:t>1,42</w:t>
            </w:r>
          </w:p>
        </w:tc>
        <w:tc>
          <w:tcPr>
            <w:tcW w:w="1265" w:type="dxa"/>
          </w:tcPr>
          <w:p w:rsidR="00A029DE" w:rsidRPr="00654D79" w:rsidRDefault="00A029DE" w:rsidP="00AD0E49">
            <w:pPr>
              <w:jc w:val="center"/>
              <w:rPr>
                <w:rFonts w:ascii="Arial" w:hAnsi="Arial" w:cs="Arial"/>
              </w:rPr>
            </w:pPr>
            <w:r>
              <w:rPr>
                <w:rFonts w:ascii="Arial" w:hAnsi="Arial" w:cs="Arial"/>
              </w:rPr>
              <w:t>2,17</w:t>
            </w:r>
          </w:p>
        </w:tc>
      </w:tr>
      <w:tr w:rsidR="00A029DE" w:rsidRPr="00654D79" w:rsidTr="00AD0E49">
        <w:trPr>
          <w:jc w:val="center"/>
        </w:trPr>
        <w:tc>
          <w:tcPr>
            <w:tcW w:w="2285" w:type="dxa"/>
          </w:tcPr>
          <w:p w:rsidR="00A029DE" w:rsidRPr="00654D79" w:rsidRDefault="00A029DE" w:rsidP="00AD0E49">
            <w:pPr>
              <w:tabs>
                <w:tab w:val="num" w:pos="0"/>
              </w:tabs>
              <w:rPr>
                <w:rFonts w:ascii="Arial" w:hAnsi="Arial" w:cs="Arial"/>
              </w:rPr>
            </w:pPr>
            <w:r>
              <w:rPr>
                <w:rFonts w:ascii="Arial" w:hAnsi="Arial" w:cs="Arial"/>
              </w:rPr>
              <w:t>2012 Medii anuale</w:t>
            </w:r>
          </w:p>
        </w:tc>
        <w:tc>
          <w:tcPr>
            <w:tcW w:w="1080" w:type="dxa"/>
          </w:tcPr>
          <w:p w:rsidR="00A029DE" w:rsidRDefault="00A029DE" w:rsidP="00AD0E49">
            <w:pPr>
              <w:jc w:val="center"/>
              <w:rPr>
                <w:rFonts w:ascii="Arial" w:hAnsi="Arial" w:cs="Arial"/>
              </w:rPr>
            </w:pPr>
            <w:r>
              <w:rPr>
                <w:rFonts w:ascii="Arial" w:hAnsi="Arial" w:cs="Arial"/>
              </w:rPr>
              <w:t>-</w:t>
            </w:r>
          </w:p>
        </w:tc>
        <w:tc>
          <w:tcPr>
            <w:tcW w:w="1080" w:type="dxa"/>
          </w:tcPr>
          <w:p w:rsidR="00A029DE" w:rsidRDefault="00A029DE" w:rsidP="00AD0E49">
            <w:pPr>
              <w:jc w:val="center"/>
              <w:rPr>
                <w:rFonts w:ascii="Arial" w:hAnsi="Arial" w:cs="Arial"/>
              </w:rPr>
            </w:pPr>
            <w:r>
              <w:rPr>
                <w:rFonts w:ascii="Arial" w:hAnsi="Arial" w:cs="Arial"/>
              </w:rPr>
              <w:t>-</w:t>
            </w:r>
          </w:p>
        </w:tc>
        <w:tc>
          <w:tcPr>
            <w:tcW w:w="1265" w:type="dxa"/>
          </w:tcPr>
          <w:p w:rsidR="00A029DE" w:rsidRDefault="00A029DE" w:rsidP="00AD0E49">
            <w:pPr>
              <w:jc w:val="center"/>
              <w:rPr>
                <w:rFonts w:ascii="Arial" w:hAnsi="Arial" w:cs="Arial"/>
              </w:rPr>
            </w:pPr>
            <w:r>
              <w:rPr>
                <w:rFonts w:ascii="Arial" w:hAnsi="Arial" w:cs="Arial"/>
              </w:rPr>
              <w:t>2,45</w:t>
            </w:r>
          </w:p>
        </w:tc>
        <w:tc>
          <w:tcPr>
            <w:tcW w:w="1265" w:type="dxa"/>
          </w:tcPr>
          <w:p w:rsidR="00A029DE" w:rsidRDefault="00A029DE" w:rsidP="00AD0E49">
            <w:pPr>
              <w:jc w:val="center"/>
              <w:rPr>
                <w:rFonts w:ascii="Arial" w:hAnsi="Arial" w:cs="Arial"/>
              </w:rPr>
            </w:pPr>
            <w:r>
              <w:rPr>
                <w:rFonts w:ascii="Arial" w:hAnsi="Arial" w:cs="Arial"/>
              </w:rPr>
              <w:t>0,93</w:t>
            </w:r>
          </w:p>
        </w:tc>
      </w:tr>
      <w:tr w:rsidR="00A029DE" w:rsidRPr="00654D79" w:rsidTr="00AD0E49">
        <w:trPr>
          <w:jc w:val="center"/>
        </w:trPr>
        <w:tc>
          <w:tcPr>
            <w:tcW w:w="2285" w:type="dxa"/>
          </w:tcPr>
          <w:p w:rsidR="00A029DE" w:rsidRDefault="00A029DE" w:rsidP="00AD0E49">
            <w:pPr>
              <w:tabs>
                <w:tab w:val="num" w:pos="0"/>
              </w:tabs>
              <w:rPr>
                <w:rFonts w:ascii="Arial" w:hAnsi="Arial" w:cs="Arial"/>
              </w:rPr>
            </w:pPr>
            <w:r>
              <w:rPr>
                <w:rFonts w:ascii="Arial" w:hAnsi="Arial" w:cs="Arial"/>
              </w:rPr>
              <w:t>2013 Medii anuale</w:t>
            </w:r>
          </w:p>
        </w:tc>
        <w:tc>
          <w:tcPr>
            <w:tcW w:w="1080" w:type="dxa"/>
          </w:tcPr>
          <w:p w:rsidR="00A029DE" w:rsidRDefault="00A029DE" w:rsidP="00AD0E49">
            <w:pPr>
              <w:jc w:val="center"/>
              <w:rPr>
                <w:rFonts w:ascii="Arial" w:hAnsi="Arial" w:cs="Arial"/>
              </w:rPr>
            </w:pPr>
            <w:r>
              <w:rPr>
                <w:rFonts w:ascii="Arial" w:hAnsi="Arial" w:cs="Arial"/>
              </w:rPr>
              <w:t>-</w:t>
            </w:r>
          </w:p>
        </w:tc>
        <w:tc>
          <w:tcPr>
            <w:tcW w:w="1080" w:type="dxa"/>
          </w:tcPr>
          <w:p w:rsidR="00A029DE" w:rsidRDefault="00A029DE" w:rsidP="00AD0E49">
            <w:pPr>
              <w:jc w:val="center"/>
              <w:rPr>
                <w:rFonts w:ascii="Arial" w:hAnsi="Arial" w:cs="Arial"/>
              </w:rPr>
            </w:pPr>
            <w:r>
              <w:rPr>
                <w:rFonts w:ascii="Arial" w:hAnsi="Arial" w:cs="Arial"/>
              </w:rPr>
              <w:t>-</w:t>
            </w:r>
          </w:p>
        </w:tc>
        <w:tc>
          <w:tcPr>
            <w:tcW w:w="1265" w:type="dxa"/>
          </w:tcPr>
          <w:p w:rsidR="00A029DE" w:rsidRDefault="00A029DE" w:rsidP="00AD0E49">
            <w:pPr>
              <w:jc w:val="center"/>
              <w:rPr>
                <w:rFonts w:ascii="Arial" w:hAnsi="Arial" w:cs="Arial"/>
              </w:rPr>
            </w:pPr>
            <w:r>
              <w:rPr>
                <w:rFonts w:ascii="Arial" w:hAnsi="Arial" w:cs="Arial"/>
              </w:rPr>
              <w:t>-</w:t>
            </w:r>
          </w:p>
        </w:tc>
        <w:tc>
          <w:tcPr>
            <w:tcW w:w="1265" w:type="dxa"/>
          </w:tcPr>
          <w:p w:rsidR="00A029DE" w:rsidRDefault="00A029DE" w:rsidP="00AD0E49">
            <w:pPr>
              <w:jc w:val="center"/>
              <w:rPr>
                <w:rFonts w:ascii="Arial" w:hAnsi="Arial" w:cs="Arial"/>
              </w:rPr>
            </w:pPr>
            <w:r>
              <w:rPr>
                <w:rFonts w:ascii="Arial" w:hAnsi="Arial" w:cs="Arial"/>
              </w:rPr>
              <w:t>-</w:t>
            </w:r>
          </w:p>
        </w:tc>
      </w:tr>
      <w:tr w:rsidR="00A029DE" w:rsidRPr="00654D79" w:rsidTr="00AD0E49">
        <w:trPr>
          <w:jc w:val="center"/>
        </w:trPr>
        <w:tc>
          <w:tcPr>
            <w:tcW w:w="2285" w:type="dxa"/>
          </w:tcPr>
          <w:p w:rsidR="00A029DE" w:rsidRDefault="00A029DE" w:rsidP="00AD0E49">
            <w:pPr>
              <w:tabs>
                <w:tab w:val="num" w:pos="0"/>
              </w:tabs>
              <w:rPr>
                <w:rFonts w:ascii="Arial" w:hAnsi="Arial" w:cs="Arial"/>
              </w:rPr>
            </w:pPr>
            <w:r>
              <w:rPr>
                <w:rFonts w:ascii="Arial" w:hAnsi="Arial" w:cs="Arial"/>
              </w:rPr>
              <w:t>2014 Medii anuale</w:t>
            </w:r>
          </w:p>
        </w:tc>
        <w:tc>
          <w:tcPr>
            <w:tcW w:w="1080" w:type="dxa"/>
          </w:tcPr>
          <w:p w:rsidR="00A029DE" w:rsidRDefault="00A029DE" w:rsidP="00AD0E49">
            <w:pPr>
              <w:jc w:val="center"/>
              <w:rPr>
                <w:rFonts w:ascii="Arial" w:hAnsi="Arial" w:cs="Arial"/>
              </w:rPr>
            </w:pPr>
            <w:r>
              <w:rPr>
                <w:rFonts w:ascii="Arial" w:hAnsi="Arial" w:cs="Arial"/>
              </w:rPr>
              <w:t>-</w:t>
            </w:r>
          </w:p>
        </w:tc>
        <w:tc>
          <w:tcPr>
            <w:tcW w:w="1080" w:type="dxa"/>
          </w:tcPr>
          <w:p w:rsidR="00A029DE" w:rsidRDefault="00A029DE" w:rsidP="00AD0E49">
            <w:pPr>
              <w:jc w:val="center"/>
              <w:rPr>
                <w:rFonts w:ascii="Arial" w:hAnsi="Arial" w:cs="Arial"/>
              </w:rPr>
            </w:pPr>
            <w:r>
              <w:rPr>
                <w:rFonts w:ascii="Arial" w:hAnsi="Arial" w:cs="Arial"/>
              </w:rPr>
              <w:t>-</w:t>
            </w:r>
          </w:p>
        </w:tc>
        <w:tc>
          <w:tcPr>
            <w:tcW w:w="1265" w:type="dxa"/>
          </w:tcPr>
          <w:p w:rsidR="00A029DE" w:rsidRDefault="00A029DE" w:rsidP="00AD0E49">
            <w:pPr>
              <w:jc w:val="center"/>
              <w:rPr>
                <w:rFonts w:ascii="Arial" w:hAnsi="Arial" w:cs="Arial"/>
              </w:rPr>
            </w:pPr>
            <w:r>
              <w:rPr>
                <w:rFonts w:ascii="Arial" w:hAnsi="Arial" w:cs="Arial"/>
              </w:rPr>
              <w:t>-</w:t>
            </w:r>
          </w:p>
        </w:tc>
        <w:tc>
          <w:tcPr>
            <w:tcW w:w="1265" w:type="dxa"/>
          </w:tcPr>
          <w:p w:rsidR="00A029DE" w:rsidRDefault="00A029DE" w:rsidP="00AD0E49">
            <w:pPr>
              <w:jc w:val="center"/>
              <w:rPr>
                <w:rFonts w:ascii="Arial" w:hAnsi="Arial" w:cs="Arial"/>
              </w:rPr>
            </w:pPr>
            <w:r>
              <w:rPr>
                <w:rFonts w:ascii="Arial" w:hAnsi="Arial" w:cs="Arial"/>
              </w:rPr>
              <w:t>-</w:t>
            </w:r>
          </w:p>
        </w:tc>
      </w:tr>
    </w:tbl>
    <w:p w:rsidR="00A029DE" w:rsidRDefault="00A029DE" w:rsidP="00261E9E">
      <w:pPr>
        <w:jc w:val="both"/>
        <w:rPr>
          <w:rFonts w:ascii="Arial" w:hAnsi="Arial" w:cs="Arial"/>
        </w:rPr>
      </w:pPr>
    </w:p>
    <w:p w:rsidR="00261E9E" w:rsidRDefault="00261E9E" w:rsidP="00B71F3A">
      <w:pPr>
        <w:jc w:val="both"/>
        <w:rPr>
          <w:rFonts w:ascii="Arial" w:hAnsi="Arial" w:cs="Arial"/>
        </w:rPr>
      </w:pPr>
      <w:r w:rsidRPr="00654D79">
        <w:rPr>
          <w:rFonts w:ascii="Arial" w:hAnsi="Arial" w:cs="Arial"/>
        </w:rPr>
        <w:t>Pentru anul 201</w:t>
      </w:r>
      <w:r w:rsidR="00AA54F6">
        <w:rPr>
          <w:rFonts w:ascii="Arial" w:hAnsi="Arial" w:cs="Arial"/>
        </w:rPr>
        <w:t>4</w:t>
      </w:r>
      <w:r w:rsidRPr="00654D79">
        <w:rPr>
          <w:rFonts w:ascii="Arial" w:hAnsi="Arial" w:cs="Arial"/>
        </w:rPr>
        <w:t xml:space="preserve">, </w:t>
      </w:r>
      <w:r w:rsidR="004B2F47">
        <w:rPr>
          <w:rFonts w:ascii="Arial" w:hAnsi="Arial" w:cs="Arial"/>
        </w:rPr>
        <w:t>nu au</w:t>
      </w:r>
      <w:r w:rsidR="00E42A89">
        <w:rPr>
          <w:rFonts w:ascii="Arial" w:hAnsi="Arial" w:cs="Arial"/>
        </w:rPr>
        <w:t xml:space="preserve"> fost prelevate probe de benzen</w:t>
      </w:r>
      <w:r w:rsidR="004B2F47">
        <w:rPr>
          <w:rFonts w:ascii="Arial" w:hAnsi="Arial" w:cs="Arial"/>
        </w:rPr>
        <w:t xml:space="preserve"> (analizoare defecte)</w:t>
      </w:r>
      <w:r w:rsidRPr="00654D79">
        <w:rPr>
          <w:rFonts w:ascii="Arial" w:hAnsi="Arial" w:cs="Arial"/>
        </w:rPr>
        <w:t>.</w:t>
      </w:r>
    </w:p>
    <w:p w:rsidR="00364AA0" w:rsidRPr="00364AA0" w:rsidRDefault="00364AA0" w:rsidP="00B71F3A">
      <w:pPr>
        <w:jc w:val="both"/>
        <w:rPr>
          <w:rFonts w:ascii="Arial" w:hAnsi="Arial" w:cs="Arial"/>
        </w:rPr>
      </w:pPr>
      <w:r w:rsidRPr="00364AA0">
        <w:rPr>
          <w:rFonts w:ascii="Arial" w:eastAsia="Times New Roman" w:hAnsi="Arial" w:cs="Arial"/>
          <w:color w:val="000000"/>
          <w:lang w:val="ro-RO" w:eastAsia="ro-RO"/>
        </w:rPr>
        <w:t xml:space="preserve">Valorile concentraţiei medii anuale de benzen calculate în baza datelor achiziţionate la staţiile de monitorizare din </w:t>
      </w:r>
      <w:r w:rsidR="002314E8">
        <w:rPr>
          <w:rFonts w:ascii="Arial" w:eastAsia="Times New Roman" w:hAnsi="Arial" w:cs="Arial"/>
          <w:color w:val="000000"/>
          <w:lang w:val="ro-RO" w:eastAsia="ro-RO"/>
        </w:rPr>
        <w:t xml:space="preserve">aglomeraea </w:t>
      </w:r>
      <w:r w:rsidRPr="00364AA0">
        <w:rPr>
          <w:rFonts w:ascii="Arial" w:eastAsia="Times New Roman" w:hAnsi="Arial" w:cs="Arial"/>
          <w:color w:val="000000"/>
          <w:lang w:val="ro-RO" w:eastAsia="ro-RO"/>
        </w:rPr>
        <w:t>Br</w:t>
      </w:r>
      <w:r>
        <w:rPr>
          <w:rFonts w:ascii="Arial" w:eastAsia="Times New Roman" w:hAnsi="Arial" w:cs="Arial"/>
          <w:color w:val="000000"/>
          <w:lang w:val="ro-RO" w:eastAsia="ro-RO"/>
        </w:rPr>
        <w:t>ăila</w:t>
      </w:r>
      <w:r w:rsidR="002314E8">
        <w:rPr>
          <w:rFonts w:ascii="Arial" w:eastAsia="Times New Roman" w:hAnsi="Arial" w:cs="Arial"/>
          <w:color w:val="000000"/>
          <w:lang w:val="ro-RO" w:eastAsia="ro-RO"/>
        </w:rPr>
        <w:t xml:space="preserve"> în perioada 2008</w:t>
      </w:r>
      <w:r w:rsidRPr="00364AA0">
        <w:rPr>
          <w:rFonts w:ascii="Arial" w:eastAsia="Times New Roman" w:hAnsi="Arial" w:cs="Arial"/>
          <w:color w:val="000000"/>
          <w:lang w:val="ro-RO" w:eastAsia="ro-RO"/>
        </w:rPr>
        <w:t>–201</w:t>
      </w:r>
      <w:r>
        <w:rPr>
          <w:rFonts w:ascii="Arial" w:eastAsia="Times New Roman" w:hAnsi="Arial" w:cs="Arial"/>
          <w:color w:val="000000"/>
          <w:lang w:val="ro-RO" w:eastAsia="ro-RO"/>
        </w:rPr>
        <w:t>2</w:t>
      </w:r>
      <w:r w:rsidRPr="00364AA0">
        <w:rPr>
          <w:rFonts w:ascii="Arial" w:eastAsia="Times New Roman" w:hAnsi="Arial" w:cs="Arial"/>
          <w:color w:val="000000"/>
          <w:lang w:val="ro-RO" w:eastAsia="ro-RO"/>
        </w:rPr>
        <w:t xml:space="preserve"> sunt prezentate mai </w:t>
      </w:r>
      <w:r>
        <w:rPr>
          <w:rFonts w:ascii="Arial" w:eastAsia="Times New Roman" w:hAnsi="Arial" w:cs="Arial"/>
          <w:color w:val="000000"/>
          <w:lang w:val="ro-RO" w:eastAsia="ro-RO"/>
        </w:rPr>
        <w:t>su</w:t>
      </w:r>
      <w:r w:rsidRPr="00364AA0">
        <w:rPr>
          <w:rFonts w:ascii="Arial" w:eastAsia="Times New Roman" w:hAnsi="Arial" w:cs="Arial"/>
          <w:color w:val="000000"/>
          <w:lang w:val="ro-RO" w:eastAsia="ro-RO"/>
        </w:rPr>
        <w:t>s.</w:t>
      </w:r>
    </w:p>
    <w:p w:rsidR="00364AA0" w:rsidRDefault="00364AA0" w:rsidP="00364AA0">
      <w:pPr>
        <w:autoSpaceDE w:val="0"/>
        <w:autoSpaceDN w:val="0"/>
        <w:adjustRightInd w:val="0"/>
        <w:ind w:firstLine="720"/>
        <w:rPr>
          <w:rFonts w:ascii="Arial" w:eastAsia="Times New Roman" w:hAnsi="Arial" w:cs="Arial"/>
          <w:color w:val="000000"/>
          <w:lang w:val="ro-RO" w:eastAsia="ro-RO"/>
        </w:rPr>
      </w:pPr>
    </w:p>
    <w:p w:rsidR="00364AA0" w:rsidRPr="00364AA0" w:rsidRDefault="00364AA0" w:rsidP="00B71F3A">
      <w:pPr>
        <w:autoSpaceDE w:val="0"/>
        <w:autoSpaceDN w:val="0"/>
        <w:adjustRightInd w:val="0"/>
        <w:jc w:val="both"/>
        <w:rPr>
          <w:rFonts w:ascii="Arial" w:eastAsia="Times New Roman" w:hAnsi="Arial" w:cs="Arial"/>
          <w:color w:val="000000"/>
          <w:lang w:val="ro-RO" w:eastAsia="ro-RO"/>
        </w:rPr>
      </w:pPr>
      <w:r w:rsidRPr="00364AA0">
        <w:rPr>
          <w:rFonts w:ascii="Arial" w:eastAsia="Times New Roman" w:hAnsi="Arial" w:cs="Arial"/>
          <w:color w:val="000000"/>
          <w:lang w:val="ro-RO" w:eastAsia="ro-RO"/>
        </w:rPr>
        <w:t xml:space="preserve">Conform datelor din tabelul anterior se observă că valorile concentraţiilor medii anuale înregistrate sunt mici, cele mai mari valori fiind măsurate la staţiile amplasate în zone cu trafic intens. Astfel, benzenul nu este un motiv de îngrijorare pentru sănătatea populaţiei din </w:t>
      </w:r>
      <w:r w:rsidRPr="00364AA0">
        <w:rPr>
          <w:rFonts w:ascii="Arial" w:eastAsia="Times New Roman" w:hAnsi="Arial" w:cs="Arial"/>
          <w:color w:val="000000"/>
          <w:lang w:val="ro-RO" w:eastAsia="ro-RO"/>
        </w:rPr>
        <w:lastRenderedPageBreak/>
        <w:t>aglomerarea Br</w:t>
      </w:r>
      <w:r>
        <w:rPr>
          <w:rFonts w:ascii="Arial" w:eastAsia="Times New Roman" w:hAnsi="Arial" w:cs="Arial"/>
          <w:color w:val="000000"/>
          <w:lang w:val="ro-RO" w:eastAsia="ro-RO"/>
        </w:rPr>
        <w:t>ăila</w:t>
      </w:r>
      <w:r w:rsidRPr="00364AA0">
        <w:rPr>
          <w:rFonts w:ascii="Arial" w:eastAsia="Times New Roman" w:hAnsi="Arial" w:cs="Arial"/>
          <w:color w:val="000000"/>
          <w:lang w:val="ro-RO" w:eastAsia="ro-RO"/>
        </w:rPr>
        <w:t>, dar este alături de alţi compuşi organici volatili, NO</w:t>
      </w:r>
      <w:r w:rsidRPr="00364AA0">
        <w:rPr>
          <w:rFonts w:ascii="Arial" w:eastAsia="Times New Roman" w:hAnsi="Arial" w:cs="Arial"/>
          <w:color w:val="000000"/>
          <w:vertAlign w:val="subscript"/>
          <w:lang w:val="ro-RO" w:eastAsia="ro-RO"/>
        </w:rPr>
        <w:t>2</w:t>
      </w:r>
      <w:r w:rsidRPr="00364AA0">
        <w:rPr>
          <w:rFonts w:ascii="Arial" w:eastAsia="Times New Roman" w:hAnsi="Arial" w:cs="Arial"/>
          <w:color w:val="000000"/>
          <w:lang w:val="ro-RO" w:eastAsia="ro-RO"/>
        </w:rPr>
        <w:t xml:space="preserve"> şi CO un precursor al ozonului troposferic, cu efectele asociate asupra sănătăţii populaţiei şi a ecosistemelor. Valoarea medie anuală calculată din datele disponibile nu a depăşit valoarea limită anuală de 5 μg/m</w:t>
      </w:r>
      <w:r w:rsidRPr="00364AA0">
        <w:rPr>
          <w:rFonts w:ascii="Arial" w:eastAsia="Times New Roman" w:hAnsi="Arial" w:cs="Arial"/>
          <w:color w:val="000000"/>
          <w:vertAlign w:val="superscript"/>
          <w:lang w:val="ro-RO" w:eastAsia="ro-RO"/>
        </w:rPr>
        <w:t>3</w:t>
      </w:r>
      <w:r>
        <w:rPr>
          <w:rFonts w:ascii="Arial" w:eastAsia="Times New Roman" w:hAnsi="Arial" w:cs="Arial"/>
          <w:color w:val="000000"/>
          <w:lang w:val="ro-RO" w:eastAsia="ro-RO"/>
        </w:rPr>
        <w:t>.</w:t>
      </w:r>
    </w:p>
    <w:p w:rsidR="00364AA0" w:rsidRPr="00364AA0" w:rsidRDefault="00364AA0" w:rsidP="00B71F3A">
      <w:pPr>
        <w:jc w:val="both"/>
        <w:rPr>
          <w:rFonts w:ascii="Arial" w:hAnsi="Arial" w:cs="Arial"/>
        </w:rPr>
      </w:pPr>
      <w:r w:rsidRPr="00364AA0">
        <w:rPr>
          <w:rFonts w:ascii="Arial" w:eastAsia="Times New Roman" w:hAnsi="Arial" w:cs="Arial"/>
          <w:color w:val="000000"/>
          <w:lang w:val="ro-RO" w:eastAsia="ro-RO"/>
        </w:rPr>
        <w:t>Populaţia din aglomerarea Br</w:t>
      </w:r>
      <w:r>
        <w:rPr>
          <w:rFonts w:ascii="Arial" w:eastAsia="Times New Roman" w:hAnsi="Arial" w:cs="Arial"/>
          <w:color w:val="000000"/>
          <w:lang w:val="ro-RO" w:eastAsia="ro-RO"/>
        </w:rPr>
        <w:t>ăila</w:t>
      </w:r>
      <w:r w:rsidRPr="00364AA0">
        <w:rPr>
          <w:rFonts w:ascii="Arial" w:eastAsia="Times New Roman" w:hAnsi="Arial" w:cs="Arial"/>
          <w:color w:val="000000"/>
          <w:lang w:val="ro-RO" w:eastAsia="ro-RO"/>
        </w:rPr>
        <w:t xml:space="preserve"> nu a fost expusă la concentraţii mari de benzen. </w:t>
      </w:r>
    </w:p>
    <w:p w:rsidR="00261E9E" w:rsidRPr="006958F0" w:rsidRDefault="00261E9E" w:rsidP="00261E9E">
      <w:pPr>
        <w:tabs>
          <w:tab w:val="left" w:pos="709"/>
        </w:tabs>
        <w:ind w:left="720" w:right="31"/>
        <w:rPr>
          <w:rFonts w:ascii="Arial" w:hAnsi="Arial" w:cs="Arial"/>
          <w:b/>
          <w:lang w:val="ro-RO"/>
        </w:rPr>
      </w:pPr>
      <w:r w:rsidRPr="006958F0">
        <w:rPr>
          <w:rFonts w:ascii="Arial" w:hAnsi="Arial" w:cs="Arial"/>
          <w:b/>
          <w:lang w:val="ro-RO"/>
        </w:rPr>
        <w:tab/>
      </w:r>
      <w:r w:rsidRPr="006958F0">
        <w:rPr>
          <w:rFonts w:ascii="Arial" w:hAnsi="Arial" w:cs="Arial"/>
          <w:b/>
          <w:lang w:val="ro-RO"/>
        </w:rPr>
        <w:tab/>
      </w:r>
    </w:p>
    <w:p w:rsidR="00CD0BF7" w:rsidRPr="00654D79" w:rsidRDefault="00CD0BF7" w:rsidP="00CD0BF7">
      <w:pPr>
        <w:tabs>
          <w:tab w:val="num" w:pos="0"/>
        </w:tabs>
        <w:ind w:firstLine="720"/>
        <w:rPr>
          <w:rFonts w:ascii="Arial" w:hAnsi="Arial" w:cs="Arial"/>
          <w:b/>
        </w:rPr>
      </w:pPr>
      <w:r w:rsidRPr="00654D79">
        <w:rPr>
          <w:rFonts w:ascii="Arial" w:hAnsi="Arial" w:cs="Arial"/>
          <w:b/>
        </w:rPr>
        <w:t xml:space="preserve">Ozon </w:t>
      </w:r>
    </w:p>
    <w:p w:rsidR="00CD0BF7" w:rsidRDefault="00CD0BF7" w:rsidP="00CD0BF7">
      <w:pPr>
        <w:tabs>
          <w:tab w:val="num" w:pos="0"/>
        </w:tabs>
        <w:ind w:firstLine="720"/>
        <w:rPr>
          <w:rFonts w:ascii="Arial" w:hAnsi="Arial" w:cs="Arial"/>
        </w:rPr>
      </w:pPr>
    </w:p>
    <w:p w:rsidR="00CD0BF7" w:rsidRDefault="00CD0BF7" w:rsidP="00CD0BF7">
      <w:pPr>
        <w:tabs>
          <w:tab w:val="num" w:pos="0"/>
        </w:tabs>
        <w:ind w:firstLine="720"/>
        <w:rPr>
          <w:rFonts w:ascii="Arial" w:hAnsi="Arial" w:cs="Arial"/>
        </w:rPr>
      </w:pPr>
      <w:r>
        <w:rPr>
          <w:rFonts w:ascii="Arial" w:hAnsi="Arial" w:cs="Arial"/>
          <w:noProof/>
          <w:lang w:val="ro-RO" w:eastAsia="ro-RO"/>
        </w:rPr>
        <w:drawing>
          <wp:inline distT="0" distB="0" distL="0" distR="0">
            <wp:extent cx="5067300" cy="1847850"/>
            <wp:effectExtent l="0" t="0" r="0" b="0"/>
            <wp:docPr id="22" name="Object 7"/>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9"/>
              </a:graphicData>
            </a:graphic>
          </wp:inline>
        </w:drawing>
      </w:r>
    </w:p>
    <w:p w:rsidR="00CD0BF7" w:rsidRPr="00654D79" w:rsidRDefault="00CD0BF7" w:rsidP="00CD0BF7">
      <w:pPr>
        <w:tabs>
          <w:tab w:val="num" w:pos="0"/>
        </w:tabs>
        <w:ind w:firstLine="720"/>
        <w:rPr>
          <w:rFonts w:ascii="Arial" w:hAnsi="Arial" w:cs="Arial"/>
          <w:b/>
        </w:rPr>
      </w:pPr>
      <w:r>
        <w:rPr>
          <w:rFonts w:ascii="Arial" w:eastAsia="Times New Roman" w:hAnsi="Arial" w:cs="Arial"/>
          <w:iCs/>
          <w:color w:val="000000"/>
          <w:lang w:val="ro-RO" w:eastAsia="ro-RO"/>
        </w:rPr>
        <w:t xml:space="preserve">Fig. </w:t>
      </w:r>
      <w:r w:rsidRPr="000E3D2C">
        <w:rPr>
          <w:rFonts w:ascii="Arial" w:eastAsia="Times New Roman" w:hAnsi="Arial" w:cs="Arial"/>
          <w:iCs/>
          <w:color w:val="000000"/>
          <w:lang w:val="ro-RO" w:eastAsia="ro-RO"/>
        </w:rPr>
        <w:t>I</w:t>
      </w:r>
      <w:r>
        <w:rPr>
          <w:rFonts w:ascii="Arial" w:eastAsia="Times New Roman" w:hAnsi="Arial" w:cs="Arial"/>
          <w:iCs/>
          <w:color w:val="000000"/>
          <w:lang w:val="ro-RO" w:eastAsia="ro-RO"/>
        </w:rPr>
        <w:t xml:space="preserve">.1.1.2.7. </w:t>
      </w:r>
      <w:r w:rsidRPr="00654D79">
        <w:rPr>
          <w:rFonts w:ascii="Arial" w:hAnsi="Arial" w:cs="Arial"/>
        </w:rPr>
        <w:t xml:space="preserve">Concentraţia medie anuală de ozon în </w:t>
      </w:r>
      <w:r>
        <w:rPr>
          <w:rFonts w:ascii="Arial" w:hAnsi="Arial" w:cs="Arial"/>
        </w:rPr>
        <w:t xml:space="preserve">perioada </w:t>
      </w:r>
      <w:r w:rsidRPr="00654D79">
        <w:rPr>
          <w:rFonts w:ascii="Arial" w:hAnsi="Arial" w:cs="Arial"/>
        </w:rPr>
        <w:t>2008</w:t>
      </w:r>
      <w:r>
        <w:rPr>
          <w:rFonts w:ascii="Arial" w:hAnsi="Arial" w:cs="Arial"/>
        </w:rPr>
        <w:t>-2014</w:t>
      </w:r>
    </w:p>
    <w:p w:rsidR="0010535B" w:rsidRDefault="0010535B" w:rsidP="0010535B">
      <w:pPr>
        <w:tabs>
          <w:tab w:val="num" w:pos="0"/>
        </w:tabs>
        <w:rPr>
          <w:rFonts w:ascii="Arial" w:hAnsi="Arial" w:cs="Arial"/>
        </w:rPr>
      </w:pPr>
    </w:p>
    <w:p w:rsidR="00CD0BF7" w:rsidRPr="00654D79" w:rsidRDefault="0010535B" w:rsidP="0010535B">
      <w:pPr>
        <w:tabs>
          <w:tab w:val="num" w:pos="0"/>
        </w:tabs>
        <w:rPr>
          <w:rFonts w:ascii="Arial" w:hAnsi="Arial" w:cs="Arial"/>
        </w:rPr>
      </w:pPr>
      <w:r>
        <w:rPr>
          <w:rFonts w:ascii="Arial" w:hAnsi="Arial" w:cs="Arial"/>
        </w:rPr>
        <w:t xml:space="preserve">                          </w:t>
      </w:r>
      <w:r w:rsidR="00CD0BF7">
        <w:rPr>
          <w:rFonts w:ascii="Arial" w:hAnsi="Arial" w:cs="Arial"/>
        </w:rPr>
        <w:t xml:space="preserve">Tabel </w:t>
      </w:r>
      <w:r w:rsidR="00CD0BF7" w:rsidRPr="000E3D2C">
        <w:rPr>
          <w:rFonts w:ascii="Arial" w:eastAsia="Times New Roman" w:hAnsi="Arial" w:cs="Arial"/>
          <w:iCs/>
          <w:color w:val="000000"/>
          <w:lang w:val="ro-RO" w:eastAsia="ro-RO"/>
        </w:rPr>
        <w:t>I</w:t>
      </w:r>
      <w:r w:rsidR="00CD0BF7">
        <w:rPr>
          <w:rFonts w:ascii="Arial" w:eastAsia="Times New Roman" w:hAnsi="Arial" w:cs="Arial"/>
          <w:iCs/>
          <w:color w:val="000000"/>
          <w:lang w:val="ro-RO" w:eastAsia="ro-RO"/>
        </w:rPr>
        <w:t>.1.1.2.7.</w:t>
      </w:r>
    </w:p>
    <w:tbl>
      <w:tblPr>
        <w:tblpPr w:leftFromText="180" w:rightFromText="180" w:vertAnchor="text" w:horzAnchor="margin" w:tblpXSpec="center" w:tblpY="34"/>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194"/>
        <w:gridCol w:w="1080"/>
        <w:gridCol w:w="1080"/>
        <w:gridCol w:w="1167"/>
        <w:gridCol w:w="1265"/>
      </w:tblGrid>
      <w:tr w:rsidR="00CD0BF7" w:rsidRPr="00654D79" w:rsidTr="00CD0BF7">
        <w:tc>
          <w:tcPr>
            <w:tcW w:w="2194" w:type="dxa"/>
          </w:tcPr>
          <w:p w:rsidR="00CD0BF7" w:rsidRPr="00654D79" w:rsidRDefault="00CD0BF7" w:rsidP="00CD0BF7">
            <w:pPr>
              <w:tabs>
                <w:tab w:val="num" w:pos="0"/>
              </w:tabs>
              <w:spacing w:before="100" w:beforeAutospacing="1" w:after="100" w:afterAutospacing="1"/>
              <w:jc w:val="center"/>
              <w:rPr>
                <w:rFonts w:ascii="Arial" w:hAnsi="Arial" w:cs="Arial"/>
              </w:rPr>
            </w:pPr>
            <w:r w:rsidRPr="00654D79">
              <w:rPr>
                <w:rFonts w:ascii="Arial" w:hAnsi="Arial" w:cs="Arial"/>
                <w:b/>
              </w:rPr>
              <w:t>O</w:t>
            </w:r>
            <w:r w:rsidRPr="00B36CDA">
              <w:rPr>
                <w:rFonts w:ascii="Arial" w:hAnsi="Arial" w:cs="Arial"/>
                <w:b/>
                <w:vertAlign w:val="subscript"/>
              </w:rPr>
              <w:t>3</w:t>
            </w:r>
            <w:r w:rsidRPr="00654D79">
              <w:rPr>
                <w:rFonts w:ascii="Arial" w:hAnsi="Arial" w:cs="Arial"/>
              </w:rPr>
              <w:t xml:space="preserve">  (</w:t>
            </w:r>
            <w:r w:rsidRPr="00654D79">
              <w:rPr>
                <w:rFonts w:ascii="Arial" w:hAnsi="Arial" w:cs="Arial"/>
              </w:rPr>
              <w:sym w:font="Symbol" w:char="F06D"/>
            </w:r>
            <w:r w:rsidRPr="00654D79">
              <w:rPr>
                <w:rFonts w:ascii="Arial" w:hAnsi="Arial" w:cs="Arial"/>
              </w:rPr>
              <w:t>g/mc)</w:t>
            </w:r>
          </w:p>
        </w:tc>
        <w:tc>
          <w:tcPr>
            <w:tcW w:w="1080" w:type="dxa"/>
          </w:tcPr>
          <w:p w:rsidR="00CD0BF7" w:rsidRPr="00654D79" w:rsidRDefault="00CD0BF7" w:rsidP="00CD0BF7">
            <w:pPr>
              <w:spacing w:before="100" w:beforeAutospacing="1" w:after="100" w:afterAutospacing="1"/>
              <w:jc w:val="center"/>
              <w:rPr>
                <w:rFonts w:ascii="Arial" w:hAnsi="Arial" w:cs="Arial"/>
                <w:b/>
              </w:rPr>
            </w:pPr>
            <w:r w:rsidRPr="00654D79">
              <w:rPr>
                <w:rFonts w:ascii="Arial" w:hAnsi="Arial" w:cs="Arial"/>
                <w:b/>
              </w:rPr>
              <w:t>Br2</w:t>
            </w:r>
          </w:p>
        </w:tc>
        <w:tc>
          <w:tcPr>
            <w:tcW w:w="1080" w:type="dxa"/>
          </w:tcPr>
          <w:p w:rsidR="00CD0BF7" w:rsidRPr="00654D79" w:rsidRDefault="00CD0BF7" w:rsidP="00CD0BF7">
            <w:pPr>
              <w:spacing w:before="100" w:beforeAutospacing="1" w:after="100" w:afterAutospacing="1"/>
              <w:jc w:val="center"/>
              <w:rPr>
                <w:rFonts w:ascii="Arial" w:hAnsi="Arial" w:cs="Arial"/>
                <w:b/>
              </w:rPr>
            </w:pPr>
            <w:r w:rsidRPr="00654D79">
              <w:rPr>
                <w:rFonts w:ascii="Arial" w:hAnsi="Arial" w:cs="Arial"/>
                <w:b/>
              </w:rPr>
              <w:t>Br3</w:t>
            </w:r>
          </w:p>
        </w:tc>
        <w:tc>
          <w:tcPr>
            <w:tcW w:w="1167" w:type="dxa"/>
          </w:tcPr>
          <w:p w:rsidR="00CD0BF7" w:rsidRPr="00654D79" w:rsidRDefault="00CD0BF7" w:rsidP="00CD0BF7">
            <w:pPr>
              <w:spacing w:before="100" w:beforeAutospacing="1" w:after="100" w:afterAutospacing="1"/>
              <w:jc w:val="center"/>
              <w:rPr>
                <w:rFonts w:ascii="Arial" w:hAnsi="Arial" w:cs="Arial"/>
                <w:b/>
              </w:rPr>
            </w:pPr>
            <w:r w:rsidRPr="00654D79">
              <w:rPr>
                <w:rFonts w:ascii="Arial" w:hAnsi="Arial" w:cs="Arial"/>
                <w:b/>
              </w:rPr>
              <w:t>Br4</w:t>
            </w:r>
          </w:p>
        </w:tc>
        <w:tc>
          <w:tcPr>
            <w:tcW w:w="1265" w:type="dxa"/>
          </w:tcPr>
          <w:p w:rsidR="00CD0BF7" w:rsidRPr="00654D79" w:rsidRDefault="00CD0BF7" w:rsidP="00CD0BF7">
            <w:pPr>
              <w:spacing w:before="100" w:beforeAutospacing="1" w:after="100" w:afterAutospacing="1"/>
              <w:jc w:val="center"/>
              <w:rPr>
                <w:rFonts w:ascii="Arial" w:hAnsi="Arial" w:cs="Arial"/>
                <w:b/>
              </w:rPr>
            </w:pPr>
            <w:r w:rsidRPr="00654D79">
              <w:rPr>
                <w:rFonts w:ascii="Arial" w:hAnsi="Arial" w:cs="Arial"/>
                <w:b/>
              </w:rPr>
              <w:t>Br5</w:t>
            </w:r>
          </w:p>
        </w:tc>
      </w:tr>
      <w:tr w:rsidR="00CD0BF7" w:rsidRPr="00654D79" w:rsidTr="00CD0BF7">
        <w:tc>
          <w:tcPr>
            <w:tcW w:w="2194" w:type="dxa"/>
          </w:tcPr>
          <w:p w:rsidR="00CD0BF7" w:rsidRPr="00654D79" w:rsidRDefault="00CD0BF7" w:rsidP="00CD0BF7">
            <w:pPr>
              <w:tabs>
                <w:tab w:val="num" w:pos="0"/>
              </w:tabs>
              <w:spacing w:before="100" w:beforeAutospacing="1" w:after="100" w:afterAutospacing="1"/>
              <w:jc w:val="center"/>
              <w:rPr>
                <w:rFonts w:ascii="Arial" w:hAnsi="Arial" w:cs="Arial"/>
              </w:rPr>
            </w:pPr>
            <w:r w:rsidRPr="00654D79">
              <w:rPr>
                <w:rFonts w:ascii="Arial" w:hAnsi="Arial" w:cs="Arial"/>
              </w:rPr>
              <w:t xml:space="preserve">2008 Medii anuale </w:t>
            </w:r>
          </w:p>
        </w:tc>
        <w:tc>
          <w:tcPr>
            <w:tcW w:w="1080"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w:t>
            </w:r>
          </w:p>
        </w:tc>
        <w:tc>
          <w:tcPr>
            <w:tcW w:w="1080"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33,26</w:t>
            </w:r>
          </w:p>
        </w:tc>
        <w:tc>
          <w:tcPr>
            <w:tcW w:w="1167"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69,48</w:t>
            </w:r>
          </w:p>
        </w:tc>
        <w:tc>
          <w:tcPr>
            <w:tcW w:w="1265"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56,84</w:t>
            </w:r>
          </w:p>
        </w:tc>
      </w:tr>
      <w:tr w:rsidR="00CD0BF7" w:rsidRPr="00654D79" w:rsidTr="00CD0BF7">
        <w:tc>
          <w:tcPr>
            <w:tcW w:w="2194" w:type="dxa"/>
          </w:tcPr>
          <w:p w:rsidR="00CD0BF7" w:rsidRPr="00654D79" w:rsidRDefault="00CD0BF7" w:rsidP="00CD0BF7">
            <w:pPr>
              <w:tabs>
                <w:tab w:val="num" w:pos="0"/>
              </w:tabs>
              <w:spacing w:before="100" w:beforeAutospacing="1" w:after="100" w:afterAutospacing="1"/>
              <w:jc w:val="center"/>
              <w:rPr>
                <w:rFonts w:ascii="Arial" w:hAnsi="Arial" w:cs="Arial"/>
                <w:sz w:val="22"/>
                <w:szCs w:val="22"/>
              </w:rPr>
            </w:pPr>
            <w:r w:rsidRPr="00654D79">
              <w:rPr>
                <w:rFonts w:ascii="Arial" w:hAnsi="Arial" w:cs="Arial"/>
              </w:rPr>
              <w:t>2009 Medii anuale</w:t>
            </w:r>
          </w:p>
        </w:tc>
        <w:tc>
          <w:tcPr>
            <w:tcW w:w="1080"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72,67</w:t>
            </w:r>
          </w:p>
        </w:tc>
        <w:tc>
          <w:tcPr>
            <w:tcW w:w="1080"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69,72</w:t>
            </w:r>
          </w:p>
        </w:tc>
        <w:tc>
          <w:tcPr>
            <w:tcW w:w="1167"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65,60</w:t>
            </w:r>
          </w:p>
        </w:tc>
        <w:tc>
          <w:tcPr>
            <w:tcW w:w="1265"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72,14</w:t>
            </w:r>
          </w:p>
        </w:tc>
      </w:tr>
      <w:tr w:rsidR="00CD0BF7" w:rsidRPr="00654D79" w:rsidTr="00CD0BF7">
        <w:tc>
          <w:tcPr>
            <w:tcW w:w="2194" w:type="dxa"/>
          </w:tcPr>
          <w:p w:rsidR="00CD0BF7" w:rsidRPr="00654D79" w:rsidRDefault="00CD0BF7" w:rsidP="00CD0BF7">
            <w:pPr>
              <w:tabs>
                <w:tab w:val="num" w:pos="0"/>
              </w:tabs>
              <w:spacing w:before="100" w:beforeAutospacing="1" w:after="100" w:afterAutospacing="1"/>
              <w:jc w:val="center"/>
              <w:rPr>
                <w:rFonts w:ascii="Arial" w:hAnsi="Arial" w:cs="Arial"/>
              </w:rPr>
            </w:pPr>
            <w:r w:rsidRPr="00654D79">
              <w:rPr>
                <w:rFonts w:ascii="Arial" w:hAnsi="Arial" w:cs="Arial"/>
              </w:rPr>
              <w:t>2010 Medii anuale</w:t>
            </w:r>
          </w:p>
        </w:tc>
        <w:tc>
          <w:tcPr>
            <w:tcW w:w="1080"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65,38</w:t>
            </w:r>
          </w:p>
        </w:tc>
        <w:tc>
          <w:tcPr>
            <w:tcW w:w="1080"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85,12</w:t>
            </w:r>
          </w:p>
        </w:tc>
        <w:tc>
          <w:tcPr>
            <w:tcW w:w="1167"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67,84</w:t>
            </w:r>
          </w:p>
        </w:tc>
        <w:tc>
          <w:tcPr>
            <w:tcW w:w="1265" w:type="dxa"/>
          </w:tcPr>
          <w:p w:rsidR="00CD0BF7" w:rsidRPr="00654D79" w:rsidRDefault="00CD0BF7" w:rsidP="00CD0BF7">
            <w:pPr>
              <w:spacing w:before="100" w:beforeAutospacing="1" w:after="100" w:afterAutospacing="1"/>
              <w:jc w:val="center"/>
              <w:rPr>
                <w:rFonts w:ascii="Arial" w:hAnsi="Arial" w:cs="Arial"/>
              </w:rPr>
            </w:pPr>
            <w:r w:rsidRPr="00654D79">
              <w:rPr>
                <w:rFonts w:ascii="Arial" w:hAnsi="Arial" w:cs="Arial"/>
              </w:rPr>
              <w:t>64,13</w:t>
            </w:r>
          </w:p>
        </w:tc>
      </w:tr>
      <w:tr w:rsidR="00CD0BF7" w:rsidRPr="00654D79" w:rsidTr="00CD0BF7">
        <w:tc>
          <w:tcPr>
            <w:tcW w:w="2194" w:type="dxa"/>
          </w:tcPr>
          <w:p w:rsidR="00CD0BF7" w:rsidRPr="00654D79" w:rsidRDefault="00CD0BF7" w:rsidP="00CD0BF7">
            <w:pPr>
              <w:tabs>
                <w:tab w:val="num" w:pos="0"/>
              </w:tabs>
              <w:spacing w:before="100" w:beforeAutospacing="1" w:after="100" w:afterAutospacing="1"/>
              <w:jc w:val="center"/>
              <w:rPr>
                <w:rFonts w:ascii="Arial" w:hAnsi="Arial" w:cs="Arial"/>
              </w:rPr>
            </w:pPr>
            <w:r w:rsidRPr="00654D79">
              <w:rPr>
                <w:rFonts w:ascii="Arial" w:hAnsi="Arial" w:cs="Arial"/>
              </w:rPr>
              <w:t>201</w:t>
            </w:r>
            <w:r>
              <w:rPr>
                <w:rFonts w:ascii="Arial" w:hAnsi="Arial" w:cs="Arial"/>
              </w:rPr>
              <w:t>1</w:t>
            </w:r>
            <w:r w:rsidRPr="00654D79">
              <w:rPr>
                <w:rFonts w:ascii="Arial" w:hAnsi="Arial" w:cs="Arial"/>
              </w:rPr>
              <w:t xml:space="preserve"> Medii anuale</w:t>
            </w:r>
          </w:p>
        </w:tc>
        <w:tc>
          <w:tcPr>
            <w:tcW w:w="1080" w:type="dxa"/>
          </w:tcPr>
          <w:p w:rsidR="00CD0BF7" w:rsidRPr="00654D79" w:rsidRDefault="00CD0BF7" w:rsidP="00CD0BF7">
            <w:pPr>
              <w:spacing w:before="100" w:beforeAutospacing="1" w:after="100" w:afterAutospacing="1"/>
              <w:jc w:val="center"/>
              <w:rPr>
                <w:rFonts w:ascii="Arial" w:hAnsi="Arial" w:cs="Arial"/>
              </w:rPr>
            </w:pPr>
            <w:r>
              <w:rPr>
                <w:rFonts w:ascii="Arial" w:hAnsi="Arial" w:cs="Arial"/>
              </w:rPr>
              <w:t>63,30</w:t>
            </w:r>
          </w:p>
        </w:tc>
        <w:tc>
          <w:tcPr>
            <w:tcW w:w="1080" w:type="dxa"/>
          </w:tcPr>
          <w:p w:rsidR="00CD0BF7" w:rsidRPr="00654D79" w:rsidRDefault="00CD0BF7" w:rsidP="00CD0BF7">
            <w:pPr>
              <w:spacing w:before="100" w:beforeAutospacing="1" w:after="100" w:afterAutospacing="1"/>
              <w:jc w:val="center"/>
              <w:rPr>
                <w:rFonts w:ascii="Arial" w:hAnsi="Arial" w:cs="Arial"/>
              </w:rPr>
            </w:pPr>
            <w:r>
              <w:rPr>
                <w:rFonts w:ascii="Arial" w:hAnsi="Arial" w:cs="Arial"/>
              </w:rPr>
              <w:t>47,59</w:t>
            </w:r>
          </w:p>
        </w:tc>
        <w:tc>
          <w:tcPr>
            <w:tcW w:w="1167" w:type="dxa"/>
          </w:tcPr>
          <w:p w:rsidR="00CD0BF7" w:rsidRPr="00654D79" w:rsidRDefault="00CD0BF7" w:rsidP="00CD0BF7">
            <w:pPr>
              <w:spacing w:before="100" w:beforeAutospacing="1" w:after="100" w:afterAutospacing="1"/>
              <w:jc w:val="center"/>
              <w:rPr>
                <w:rFonts w:ascii="Arial" w:hAnsi="Arial" w:cs="Arial"/>
              </w:rPr>
            </w:pPr>
            <w:r>
              <w:rPr>
                <w:rFonts w:ascii="Arial" w:hAnsi="Arial" w:cs="Arial"/>
              </w:rPr>
              <w:t>54,50</w:t>
            </w:r>
          </w:p>
        </w:tc>
        <w:tc>
          <w:tcPr>
            <w:tcW w:w="1265" w:type="dxa"/>
          </w:tcPr>
          <w:p w:rsidR="00CD0BF7" w:rsidRPr="00654D79" w:rsidRDefault="00CD0BF7" w:rsidP="00CD0BF7">
            <w:pPr>
              <w:spacing w:before="100" w:beforeAutospacing="1" w:after="100" w:afterAutospacing="1"/>
              <w:jc w:val="center"/>
              <w:rPr>
                <w:rFonts w:ascii="Arial" w:hAnsi="Arial" w:cs="Arial"/>
              </w:rPr>
            </w:pPr>
            <w:r>
              <w:rPr>
                <w:rFonts w:ascii="Arial" w:hAnsi="Arial" w:cs="Arial"/>
              </w:rPr>
              <w:t>48,42</w:t>
            </w:r>
          </w:p>
        </w:tc>
      </w:tr>
      <w:tr w:rsidR="00CD0BF7" w:rsidRPr="00654D79" w:rsidTr="00CD0BF7">
        <w:tc>
          <w:tcPr>
            <w:tcW w:w="2194" w:type="dxa"/>
          </w:tcPr>
          <w:p w:rsidR="00CD0BF7" w:rsidRPr="00654D79" w:rsidRDefault="00CD0BF7" w:rsidP="00CD0BF7">
            <w:pPr>
              <w:tabs>
                <w:tab w:val="num" w:pos="0"/>
              </w:tabs>
              <w:spacing w:before="100" w:beforeAutospacing="1" w:after="100" w:afterAutospacing="1"/>
              <w:jc w:val="center"/>
              <w:rPr>
                <w:rFonts w:ascii="Arial" w:hAnsi="Arial" w:cs="Arial"/>
              </w:rPr>
            </w:pPr>
            <w:r>
              <w:rPr>
                <w:rFonts w:ascii="Arial" w:hAnsi="Arial" w:cs="Arial"/>
              </w:rPr>
              <w:t>2012 Medii anuale</w:t>
            </w:r>
          </w:p>
        </w:tc>
        <w:tc>
          <w:tcPr>
            <w:tcW w:w="1080" w:type="dxa"/>
          </w:tcPr>
          <w:p w:rsidR="00CD0BF7" w:rsidRDefault="00CD0BF7" w:rsidP="00CD0BF7">
            <w:pPr>
              <w:spacing w:before="100" w:beforeAutospacing="1" w:after="100" w:afterAutospacing="1"/>
              <w:jc w:val="center"/>
              <w:rPr>
                <w:rFonts w:ascii="Arial" w:hAnsi="Arial" w:cs="Arial"/>
              </w:rPr>
            </w:pPr>
            <w:r>
              <w:rPr>
                <w:rFonts w:ascii="Arial" w:hAnsi="Arial" w:cs="Arial"/>
              </w:rPr>
              <w:t>64,78</w:t>
            </w:r>
          </w:p>
        </w:tc>
        <w:tc>
          <w:tcPr>
            <w:tcW w:w="1080" w:type="dxa"/>
          </w:tcPr>
          <w:p w:rsidR="00CD0BF7" w:rsidRDefault="00CD0BF7" w:rsidP="00CD0BF7">
            <w:pPr>
              <w:spacing w:before="100" w:beforeAutospacing="1" w:after="100" w:afterAutospacing="1"/>
              <w:jc w:val="center"/>
              <w:rPr>
                <w:rFonts w:ascii="Arial" w:hAnsi="Arial" w:cs="Arial"/>
              </w:rPr>
            </w:pPr>
            <w:r>
              <w:rPr>
                <w:rFonts w:ascii="Arial" w:hAnsi="Arial" w:cs="Arial"/>
              </w:rPr>
              <w:t>-</w:t>
            </w:r>
          </w:p>
        </w:tc>
        <w:tc>
          <w:tcPr>
            <w:tcW w:w="1167" w:type="dxa"/>
          </w:tcPr>
          <w:p w:rsidR="00CD0BF7" w:rsidRDefault="00CD0BF7" w:rsidP="00CD0BF7">
            <w:pPr>
              <w:spacing w:before="100" w:beforeAutospacing="1" w:after="100" w:afterAutospacing="1"/>
              <w:jc w:val="center"/>
              <w:rPr>
                <w:rFonts w:ascii="Arial" w:hAnsi="Arial" w:cs="Arial"/>
              </w:rPr>
            </w:pPr>
            <w:r>
              <w:rPr>
                <w:rFonts w:ascii="Arial" w:hAnsi="Arial" w:cs="Arial"/>
              </w:rPr>
              <w:t>77,58</w:t>
            </w:r>
          </w:p>
        </w:tc>
        <w:tc>
          <w:tcPr>
            <w:tcW w:w="1265" w:type="dxa"/>
          </w:tcPr>
          <w:p w:rsidR="00CD0BF7" w:rsidRDefault="00CD0BF7" w:rsidP="00CD0BF7">
            <w:pPr>
              <w:spacing w:before="100" w:beforeAutospacing="1" w:after="100" w:afterAutospacing="1"/>
              <w:jc w:val="center"/>
              <w:rPr>
                <w:rFonts w:ascii="Arial" w:hAnsi="Arial" w:cs="Arial"/>
              </w:rPr>
            </w:pPr>
            <w:r>
              <w:rPr>
                <w:rFonts w:ascii="Arial" w:hAnsi="Arial" w:cs="Arial"/>
              </w:rPr>
              <w:t>76,13</w:t>
            </w:r>
          </w:p>
        </w:tc>
      </w:tr>
      <w:tr w:rsidR="00CD0BF7" w:rsidRPr="00654D79" w:rsidTr="00CD0BF7">
        <w:tc>
          <w:tcPr>
            <w:tcW w:w="2194" w:type="dxa"/>
          </w:tcPr>
          <w:p w:rsidR="00CD0BF7" w:rsidRDefault="00CD0BF7" w:rsidP="00CD0BF7">
            <w:pPr>
              <w:tabs>
                <w:tab w:val="num" w:pos="0"/>
              </w:tabs>
              <w:spacing w:before="100" w:beforeAutospacing="1" w:after="100" w:afterAutospacing="1"/>
              <w:jc w:val="center"/>
              <w:rPr>
                <w:rFonts w:ascii="Arial" w:hAnsi="Arial" w:cs="Arial"/>
              </w:rPr>
            </w:pPr>
            <w:r>
              <w:rPr>
                <w:rFonts w:ascii="Arial" w:hAnsi="Arial" w:cs="Arial"/>
              </w:rPr>
              <w:t>2013 Medii anuale</w:t>
            </w:r>
          </w:p>
        </w:tc>
        <w:tc>
          <w:tcPr>
            <w:tcW w:w="1080" w:type="dxa"/>
          </w:tcPr>
          <w:p w:rsidR="00CD0BF7" w:rsidRDefault="00CD0BF7" w:rsidP="00CD0BF7">
            <w:pPr>
              <w:spacing w:before="100" w:beforeAutospacing="1" w:after="100" w:afterAutospacing="1"/>
              <w:jc w:val="center"/>
              <w:rPr>
                <w:rFonts w:ascii="Arial" w:hAnsi="Arial" w:cs="Arial"/>
              </w:rPr>
            </w:pPr>
            <w:r>
              <w:rPr>
                <w:rFonts w:ascii="Arial" w:hAnsi="Arial" w:cs="Arial"/>
              </w:rPr>
              <w:t>57,39</w:t>
            </w:r>
          </w:p>
        </w:tc>
        <w:tc>
          <w:tcPr>
            <w:tcW w:w="1080" w:type="dxa"/>
          </w:tcPr>
          <w:p w:rsidR="00CD0BF7" w:rsidRDefault="00CD0BF7" w:rsidP="00CD0BF7">
            <w:pPr>
              <w:spacing w:before="100" w:beforeAutospacing="1" w:after="100" w:afterAutospacing="1"/>
              <w:jc w:val="center"/>
              <w:rPr>
                <w:rFonts w:ascii="Arial" w:hAnsi="Arial" w:cs="Arial"/>
              </w:rPr>
            </w:pPr>
            <w:r>
              <w:rPr>
                <w:rFonts w:ascii="Arial" w:hAnsi="Arial" w:cs="Arial"/>
              </w:rPr>
              <w:t>-</w:t>
            </w:r>
          </w:p>
        </w:tc>
        <w:tc>
          <w:tcPr>
            <w:tcW w:w="1167" w:type="dxa"/>
          </w:tcPr>
          <w:p w:rsidR="00CD0BF7" w:rsidRDefault="00CD0BF7" w:rsidP="00CD0BF7">
            <w:pPr>
              <w:spacing w:before="100" w:beforeAutospacing="1" w:after="100" w:afterAutospacing="1"/>
              <w:jc w:val="center"/>
              <w:rPr>
                <w:rFonts w:ascii="Arial" w:hAnsi="Arial" w:cs="Arial"/>
              </w:rPr>
            </w:pPr>
            <w:r>
              <w:rPr>
                <w:rFonts w:ascii="Arial" w:hAnsi="Arial" w:cs="Arial"/>
              </w:rPr>
              <w:t>64,56</w:t>
            </w:r>
          </w:p>
        </w:tc>
        <w:tc>
          <w:tcPr>
            <w:tcW w:w="1265" w:type="dxa"/>
          </w:tcPr>
          <w:p w:rsidR="00CD0BF7" w:rsidRDefault="00CD0BF7" w:rsidP="00CD0BF7">
            <w:pPr>
              <w:spacing w:before="100" w:beforeAutospacing="1" w:after="100" w:afterAutospacing="1"/>
              <w:jc w:val="center"/>
              <w:rPr>
                <w:rFonts w:ascii="Arial" w:hAnsi="Arial" w:cs="Arial"/>
              </w:rPr>
            </w:pPr>
            <w:r>
              <w:rPr>
                <w:rFonts w:ascii="Arial" w:hAnsi="Arial" w:cs="Arial"/>
              </w:rPr>
              <w:t>74,3</w:t>
            </w:r>
          </w:p>
        </w:tc>
      </w:tr>
      <w:tr w:rsidR="00CD0BF7" w:rsidRPr="00654D79" w:rsidTr="00CD0BF7">
        <w:tc>
          <w:tcPr>
            <w:tcW w:w="2194" w:type="dxa"/>
          </w:tcPr>
          <w:p w:rsidR="00CD0BF7" w:rsidRDefault="00CD0BF7" w:rsidP="00CD0BF7">
            <w:pPr>
              <w:tabs>
                <w:tab w:val="num" w:pos="0"/>
              </w:tabs>
              <w:spacing w:before="100" w:beforeAutospacing="1" w:after="100" w:afterAutospacing="1"/>
              <w:jc w:val="center"/>
              <w:rPr>
                <w:rFonts w:ascii="Arial" w:hAnsi="Arial" w:cs="Arial"/>
              </w:rPr>
            </w:pPr>
            <w:r>
              <w:rPr>
                <w:rFonts w:ascii="Arial" w:hAnsi="Arial" w:cs="Arial"/>
              </w:rPr>
              <w:t>2014 Medii anuale</w:t>
            </w:r>
          </w:p>
        </w:tc>
        <w:tc>
          <w:tcPr>
            <w:tcW w:w="1080" w:type="dxa"/>
          </w:tcPr>
          <w:p w:rsidR="00CD0BF7" w:rsidRDefault="00CD0BF7" w:rsidP="00CD0BF7">
            <w:pPr>
              <w:spacing w:before="100" w:beforeAutospacing="1" w:after="100" w:afterAutospacing="1"/>
              <w:jc w:val="center"/>
              <w:rPr>
                <w:rFonts w:ascii="Arial" w:hAnsi="Arial" w:cs="Arial"/>
              </w:rPr>
            </w:pPr>
            <w:r>
              <w:rPr>
                <w:rFonts w:ascii="Arial" w:hAnsi="Arial" w:cs="Arial"/>
              </w:rPr>
              <w:t>23,02</w:t>
            </w:r>
          </w:p>
        </w:tc>
        <w:tc>
          <w:tcPr>
            <w:tcW w:w="1080" w:type="dxa"/>
          </w:tcPr>
          <w:p w:rsidR="00CD0BF7" w:rsidRDefault="00CD0BF7" w:rsidP="00CD0BF7">
            <w:pPr>
              <w:spacing w:before="100" w:beforeAutospacing="1" w:after="100" w:afterAutospacing="1"/>
              <w:jc w:val="center"/>
              <w:rPr>
                <w:rFonts w:ascii="Arial" w:hAnsi="Arial" w:cs="Arial"/>
              </w:rPr>
            </w:pPr>
            <w:r>
              <w:rPr>
                <w:rFonts w:ascii="Arial" w:hAnsi="Arial" w:cs="Arial"/>
              </w:rPr>
              <w:t>-</w:t>
            </w:r>
          </w:p>
        </w:tc>
        <w:tc>
          <w:tcPr>
            <w:tcW w:w="1167" w:type="dxa"/>
          </w:tcPr>
          <w:p w:rsidR="00CD0BF7" w:rsidRDefault="00CD0BF7" w:rsidP="00CD0BF7">
            <w:pPr>
              <w:spacing w:before="100" w:beforeAutospacing="1" w:after="100" w:afterAutospacing="1"/>
              <w:jc w:val="center"/>
              <w:rPr>
                <w:rFonts w:ascii="Arial" w:hAnsi="Arial" w:cs="Arial"/>
              </w:rPr>
            </w:pPr>
            <w:r>
              <w:rPr>
                <w:rFonts w:ascii="Arial" w:hAnsi="Arial" w:cs="Arial"/>
              </w:rPr>
              <w:t>29,23</w:t>
            </w:r>
          </w:p>
        </w:tc>
        <w:tc>
          <w:tcPr>
            <w:tcW w:w="1265" w:type="dxa"/>
          </w:tcPr>
          <w:p w:rsidR="00CD0BF7" w:rsidRDefault="00CD0BF7" w:rsidP="00CD0BF7">
            <w:pPr>
              <w:spacing w:before="100" w:beforeAutospacing="1" w:after="100" w:afterAutospacing="1"/>
              <w:jc w:val="center"/>
              <w:rPr>
                <w:rFonts w:ascii="Arial" w:hAnsi="Arial" w:cs="Arial"/>
              </w:rPr>
            </w:pPr>
            <w:r>
              <w:rPr>
                <w:rFonts w:ascii="Arial" w:hAnsi="Arial" w:cs="Arial"/>
              </w:rPr>
              <w:t>67,24</w:t>
            </w:r>
          </w:p>
        </w:tc>
      </w:tr>
    </w:tbl>
    <w:p w:rsidR="00422169" w:rsidRDefault="00422169" w:rsidP="00261E9E">
      <w:pPr>
        <w:tabs>
          <w:tab w:val="num" w:pos="0"/>
        </w:tabs>
        <w:ind w:firstLine="720"/>
        <w:jc w:val="both"/>
        <w:rPr>
          <w:rFonts w:ascii="Arial" w:hAnsi="Arial" w:cs="Arial"/>
        </w:rPr>
      </w:pPr>
    </w:p>
    <w:p w:rsidR="00391784" w:rsidRDefault="00391784" w:rsidP="00261E9E">
      <w:pPr>
        <w:tabs>
          <w:tab w:val="num" w:pos="0"/>
        </w:tabs>
        <w:ind w:firstLine="720"/>
        <w:jc w:val="both"/>
        <w:rPr>
          <w:rFonts w:ascii="Arial" w:hAnsi="Arial" w:cs="Arial"/>
        </w:rPr>
      </w:pPr>
    </w:p>
    <w:p w:rsidR="00D17B10" w:rsidRPr="00896327" w:rsidRDefault="00D17B10" w:rsidP="00261E9E">
      <w:pPr>
        <w:tabs>
          <w:tab w:val="num" w:pos="0"/>
        </w:tabs>
        <w:ind w:firstLine="720"/>
        <w:jc w:val="both"/>
        <w:rPr>
          <w:rFonts w:ascii="Arial" w:hAnsi="Arial" w:cs="Arial"/>
        </w:rPr>
      </w:pPr>
    </w:p>
    <w:p w:rsidR="00CD0BF7" w:rsidRDefault="00CD0BF7" w:rsidP="00987243">
      <w:pPr>
        <w:ind w:firstLine="720"/>
        <w:rPr>
          <w:rFonts w:ascii="Arial" w:hAnsi="Arial" w:cs="Arial"/>
          <w:b/>
          <w:lang w:val="ro-RO"/>
        </w:rPr>
      </w:pPr>
    </w:p>
    <w:p w:rsidR="00CD0BF7" w:rsidRDefault="00CD0BF7" w:rsidP="00987243">
      <w:pPr>
        <w:ind w:firstLine="720"/>
        <w:rPr>
          <w:rFonts w:ascii="Arial" w:hAnsi="Arial" w:cs="Arial"/>
          <w:b/>
          <w:lang w:val="ro-RO"/>
        </w:rPr>
      </w:pPr>
    </w:p>
    <w:p w:rsidR="00CD0BF7" w:rsidRDefault="00CD0BF7" w:rsidP="00987243">
      <w:pPr>
        <w:ind w:firstLine="720"/>
        <w:rPr>
          <w:rFonts w:ascii="Arial" w:hAnsi="Arial" w:cs="Arial"/>
          <w:b/>
          <w:lang w:val="ro-RO"/>
        </w:rPr>
      </w:pPr>
    </w:p>
    <w:p w:rsidR="00CD0BF7" w:rsidRDefault="00CD0BF7" w:rsidP="00CD0BF7">
      <w:pPr>
        <w:ind w:firstLine="720"/>
        <w:rPr>
          <w:rFonts w:ascii="Arial" w:hAnsi="Arial" w:cs="Arial"/>
          <w:b/>
          <w:lang w:val="ro-RO"/>
        </w:rPr>
      </w:pPr>
    </w:p>
    <w:p w:rsidR="00CD0BF7" w:rsidRDefault="00CD0BF7" w:rsidP="00CD0BF7">
      <w:pPr>
        <w:ind w:firstLine="720"/>
        <w:rPr>
          <w:rFonts w:ascii="Arial" w:hAnsi="Arial" w:cs="Arial"/>
          <w:b/>
          <w:lang w:val="ro-RO"/>
        </w:rPr>
      </w:pPr>
    </w:p>
    <w:p w:rsidR="00CD0BF7" w:rsidRDefault="00CD0BF7" w:rsidP="00CD0BF7">
      <w:pPr>
        <w:ind w:firstLine="720"/>
        <w:rPr>
          <w:rFonts w:ascii="Arial" w:hAnsi="Arial" w:cs="Arial"/>
          <w:b/>
          <w:lang w:val="ro-RO"/>
        </w:rPr>
      </w:pPr>
    </w:p>
    <w:p w:rsidR="00CD0BF7" w:rsidRDefault="00CD0BF7" w:rsidP="00CD0BF7">
      <w:pPr>
        <w:ind w:firstLine="720"/>
        <w:rPr>
          <w:rFonts w:ascii="Arial" w:hAnsi="Arial" w:cs="Arial"/>
          <w:b/>
          <w:lang w:val="ro-RO"/>
        </w:rPr>
      </w:pPr>
    </w:p>
    <w:p w:rsidR="002314E8" w:rsidRDefault="00FA0632" w:rsidP="002314E8">
      <w:pPr>
        <w:tabs>
          <w:tab w:val="left" w:pos="709"/>
        </w:tabs>
        <w:ind w:right="31"/>
        <w:jc w:val="both"/>
        <w:rPr>
          <w:rFonts w:ascii="Arial" w:hAnsi="Arial" w:cs="Arial"/>
        </w:rPr>
      </w:pPr>
      <w:r>
        <w:rPr>
          <w:rFonts w:ascii="Arial" w:hAnsi="Arial" w:cs="Arial"/>
        </w:rPr>
        <w:t>În perioada 2008-2014, m</w:t>
      </w:r>
      <w:r w:rsidR="002314E8" w:rsidRPr="009717FC">
        <w:rPr>
          <w:rFonts w:ascii="Arial" w:hAnsi="Arial" w:cs="Arial"/>
        </w:rPr>
        <w:t xml:space="preserve">ăsurătorile efectuate în staţiile de monitorizare din </w:t>
      </w:r>
      <w:r w:rsidR="002314E8">
        <w:rPr>
          <w:rFonts w:ascii="Arial" w:hAnsi="Arial" w:cs="Arial"/>
        </w:rPr>
        <w:t>aglomerarea</w:t>
      </w:r>
      <w:r w:rsidR="002314E8" w:rsidRPr="009717FC">
        <w:rPr>
          <w:rFonts w:ascii="Arial" w:hAnsi="Arial" w:cs="Arial"/>
        </w:rPr>
        <w:t xml:space="preserve"> Brăila </w:t>
      </w:r>
      <w:r w:rsidR="002314E8">
        <w:rPr>
          <w:rFonts w:ascii="Arial" w:hAnsi="Arial" w:cs="Arial"/>
        </w:rPr>
        <w:t>pentru indicatorul O</w:t>
      </w:r>
      <w:r w:rsidR="002314E8" w:rsidRPr="002314E8">
        <w:rPr>
          <w:rFonts w:ascii="Arial" w:hAnsi="Arial" w:cs="Arial"/>
          <w:vertAlign w:val="subscript"/>
        </w:rPr>
        <w:t>3</w:t>
      </w:r>
      <w:r w:rsidR="002314E8">
        <w:rPr>
          <w:rFonts w:ascii="Arial" w:hAnsi="Arial" w:cs="Arial"/>
        </w:rPr>
        <w:t xml:space="preserve"> </w:t>
      </w:r>
      <w:r w:rsidR="002314E8" w:rsidRPr="009717FC">
        <w:rPr>
          <w:rFonts w:ascii="Arial" w:hAnsi="Arial" w:cs="Arial"/>
        </w:rPr>
        <w:t xml:space="preserve">au indicat o tendinţă generală de descreştere </w:t>
      </w:r>
      <w:r w:rsidR="002314E8">
        <w:rPr>
          <w:rFonts w:ascii="Arial" w:hAnsi="Arial" w:cs="Arial"/>
        </w:rPr>
        <w:t>a v</w:t>
      </w:r>
      <w:r w:rsidR="002314E8" w:rsidRPr="00896327">
        <w:rPr>
          <w:rFonts w:ascii="Arial" w:hAnsi="Arial" w:cs="Arial"/>
        </w:rPr>
        <w:t xml:space="preserve">alorile orare pentru ozon </w:t>
      </w:r>
      <w:r w:rsidR="002314E8">
        <w:rPr>
          <w:rFonts w:ascii="Arial" w:hAnsi="Arial" w:cs="Arial"/>
        </w:rPr>
        <w:t xml:space="preserve">fiind </w:t>
      </w:r>
      <w:r w:rsidR="002314E8" w:rsidRPr="00896327">
        <w:rPr>
          <w:rFonts w:ascii="Arial" w:hAnsi="Arial" w:cs="Arial"/>
        </w:rPr>
        <w:t xml:space="preserve">mai mici decât pragul de alertă (240 μg/mc - medie orară), precum şi faţă de pragul de informare (180 μg/mc - medie orară). </w:t>
      </w:r>
    </w:p>
    <w:p w:rsidR="002314E8" w:rsidRDefault="002314E8" w:rsidP="002314E8">
      <w:pPr>
        <w:tabs>
          <w:tab w:val="left" w:pos="709"/>
        </w:tabs>
        <w:ind w:right="31"/>
        <w:jc w:val="both"/>
        <w:rPr>
          <w:rFonts w:ascii="Arial" w:hAnsi="Arial" w:cs="Arial"/>
          <w:b/>
          <w:lang w:val="ro-RO"/>
        </w:rPr>
      </w:pPr>
      <w:r w:rsidRPr="00896327">
        <w:rPr>
          <w:rFonts w:ascii="Arial" w:hAnsi="Arial" w:cs="Arial"/>
        </w:rPr>
        <w:t>De asemenea, concentraţiile maxime a mediilor pe opt ore au fost sub obiectivul pe termen lung pentru protecţia sănătăţii umane</w:t>
      </w:r>
      <w:r w:rsidR="00FA0632">
        <w:rPr>
          <w:rFonts w:ascii="Arial" w:hAnsi="Arial" w:cs="Arial"/>
        </w:rPr>
        <w:t>,</w:t>
      </w:r>
      <w:r w:rsidRPr="00896327">
        <w:rPr>
          <w:rFonts w:ascii="Arial" w:hAnsi="Arial" w:cs="Arial"/>
        </w:rPr>
        <w:t xml:space="preserve"> respectiv valoarea ţintă (120 </w:t>
      </w:r>
      <w:r w:rsidRPr="00896327">
        <w:rPr>
          <w:rFonts w:ascii="Arial" w:hAnsi="Arial" w:cs="Arial"/>
        </w:rPr>
        <w:sym w:font="Symbol" w:char="F06D"/>
      </w:r>
      <w:r w:rsidRPr="00896327">
        <w:rPr>
          <w:rFonts w:ascii="Arial" w:hAnsi="Arial" w:cs="Arial"/>
        </w:rPr>
        <w:t>g/mc).</w:t>
      </w:r>
    </w:p>
    <w:p w:rsidR="00CD0BF7" w:rsidRDefault="00CD0BF7" w:rsidP="00CD0BF7">
      <w:pPr>
        <w:ind w:firstLine="720"/>
        <w:rPr>
          <w:rFonts w:ascii="Arial" w:hAnsi="Arial" w:cs="Arial"/>
        </w:rPr>
      </w:pPr>
    </w:p>
    <w:p w:rsidR="00FA0632" w:rsidRDefault="00FA0632" w:rsidP="00CD0BF7">
      <w:pPr>
        <w:ind w:firstLine="720"/>
        <w:rPr>
          <w:rFonts w:ascii="Arial" w:hAnsi="Arial" w:cs="Arial"/>
          <w:b/>
          <w:lang w:val="ro-RO"/>
        </w:rPr>
      </w:pPr>
    </w:p>
    <w:p w:rsidR="00987243" w:rsidRDefault="00987243" w:rsidP="00CD0BF7">
      <w:pPr>
        <w:ind w:firstLine="720"/>
        <w:rPr>
          <w:rFonts w:ascii="Arial" w:hAnsi="Arial" w:cs="Arial"/>
          <w:b/>
          <w:lang w:val="ro-RO"/>
        </w:rPr>
      </w:pPr>
      <w:r w:rsidRPr="00896327">
        <w:rPr>
          <w:rFonts w:ascii="Arial" w:hAnsi="Arial" w:cs="Arial"/>
          <w:b/>
          <w:lang w:val="ro-RO"/>
        </w:rPr>
        <w:t>Pulberi sedimentabile</w:t>
      </w:r>
      <w:r>
        <w:rPr>
          <w:rFonts w:ascii="Arial" w:hAnsi="Arial" w:cs="Arial"/>
          <w:b/>
          <w:lang w:val="ro-RO"/>
        </w:rPr>
        <w:t xml:space="preserve"> </w:t>
      </w:r>
    </w:p>
    <w:p w:rsidR="00CD0BF7" w:rsidRPr="00CD0BF7" w:rsidRDefault="00CD0BF7" w:rsidP="00CD0BF7">
      <w:pPr>
        <w:ind w:firstLine="720"/>
        <w:rPr>
          <w:rFonts w:ascii="Arial" w:hAnsi="Arial" w:cs="Arial"/>
          <w:b/>
          <w:lang w:val="ro-RO"/>
        </w:rPr>
      </w:pPr>
    </w:p>
    <w:p w:rsidR="0033515A" w:rsidRDefault="00987243" w:rsidP="00B71F3A">
      <w:pPr>
        <w:tabs>
          <w:tab w:val="num" w:pos="0"/>
        </w:tabs>
        <w:rPr>
          <w:rFonts w:ascii="Arial" w:hAnsi="Arial" w:cs="Arial"/>
          <w:b/>
          <w:lang w:val="ro-RO"/>
        </w:rPr>
      </w:pPr>
      <w:r w:rsidRPr="00896327">
        <w:rPr>
          <w:rFonts w:ascii="Arial" w:hAnsi="Arial"/>
        </w:rPr>
        <w:lastRenderedPageBreak/>
        <w:t xml:space="preserve">Concentraţiile medii anuale, pe puncte de prelevare ale pulberilor sedimentabile, </w:t>
      </w:r>
      <w:r w:rsidR="00D17B10" w:rsidRPr="00896327">
        <w:rPr>
          <w:rFonts w:ascii="Arial" w:hAnsi="Arial"/>
        </w:rPr>
        <w:t xml:space="preserve">comparativ </w:t>
      </w:r>
      <w:r w:rsidR="00CD0BF7">
        <w:rPr>
          <w:rFonts w:ascii="Arial" w:hAnsi="Arial"/>
        </w:rPr>
        <w:t>pentru perioada 2010-2014</w:t>
      </w:r>
      <w:r w:rsidR="00D17B10">
        <w:rPr>
          <w:rFonts w:ascii="Arial" w:hAnsi="Arial"/>
        </w:rPr>
        <w:t>,</w:t>
      </w:r>
      <w:r w:rsidR="00D17B10" w:rsidRPr="00896327">
        <w:rPr>
          <w:rFonts w:ascii="Arial" w:hAnsi="Arial"/>
        </w:rPr>
        <w:t xml:space="preserve"> </w:t>
      </w:r>
      <w:r w:rsidRPr="00896327">
        <w:rPr>
          <w:rFonts w:ascii="Arial" w:hAnsi="Arial"/>
        </w:rPr>
        <w:t xml:space="preserve">sunt prezentate în </w:t>
      </w:r>
      <w:r w:rsidR="00CD0BF7">
        <w:rPr>
          <w:rFonts w:ascii="Arial" w:hAnsi="Arial"/>
        </w:rPr>
        <w:t xml:space="preserve">figura şi </w:t>
      </w:r>
      <w:r w:rsidRPr="00896327">
        <w:rPr>
          <w:rFonts w:ascii="Arial" w:hAnsi="Arial"/>
        </w:rPr>
        <w:t xml:space="preserve">tabelul </w:t>
      </w:r>
      <w:r>
        <w:rPr>
          <w:rFonts w:ascii="Arial" w:hAnsi="Arial"/>
        </w:rPr>
        <w:t>de mai jos.</w:t>
      </w:r>
      <w:r w:rsidR="008020AE">
        <w:rPr>
          <w:rFonts w:ascii="Arial" w:hAnsi="Arial" w:cs="Arial"/>
          <w:noProof/>
          <w:lang w:val="ro-RO" w:eastAsia="ro-RO"/>
        </w:rPr>
        <w:drawing>
          <wp:inline distT="0" distB="0" distL="0" distR="0">
            <wp:extent cx="6000750" cy="2495550"/>
            <wp:effectExtent l="0" t="0" r="0" b="0"/>
            <wp:docPr id="8" name="Object 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20"/>
              </a:graphicData>
            </a:graphic>
          </wp:inline>
        </w:drawing>
      </w:r>
    </w:p>
    <w:p w:rsidR="00261E9E" w:rsidRDefault="00261E9E" w:rsidP="005F170E">
      <w:pPr>
        <w:jc w:val="center"/>
        <w:rPr>
          <w:rFonts w:ascii="Arial" w:hAnsi="Arial" w:cs="Arial"/>
          <w:b/>
          <w:lang w:val="ro-RO"/>
        </w:rPr>
      </w:pPr>
    </w:p>
    <w:p w:rsidR="00CD0BF7" w:rsidRPr="00CD0BF7" w:rsidRDefault="00CD0BF7" w:rsidP="005F170E">
      <w:pPr>
        <w:jc w:val="center"/>
        <w:rPr>
          <w:rFonts w:ascii="Arial" w:hAnsi="Arial" w:cs="Arial"/>
          <w:b/>
          <w:lang w:val="ro-RO"/>
        </w:rPr>
      </w:pPr>
      <w:r>
        <w:rPr>
          <w:rFonts w:ascii="Arial" w:eastAsia="Times New Roman" w:hAnsi="Arial" w:cs="Arial"/>
          <w:iCs/>
          <w:color w:val="000000"/>
          <w:lang w:val="ro-RO" w:eastAsia="ro-RO"/>
        </w:rPr>
        <w:t xml:space="preserve">Fig. </w:t>
      </w:r>
      <w:r w:rsidRPr="000E3D2C">
        <w:rPr>
          <w:rFonts w:ascii="Arial" w:eastAsia="Times New Roman" w:hAnsi="Arial" w:cs="Arial"/>
          <w:iCs/>
          <w:color w:val="000000"/>
          <w:lang w:val="ro-RO" w:eastAsia="ro-RO"/>
        </w:rPr>
        <w:t>I</w:t>
      </w:r>
      <w:r>
        <w:rPr>
          <w:rFonts w:ascii="Arial" w:eastAsia="Times New Roman" w:hAnsi="Arial" w:cs="Arial"/>
          <w:iCs/>
          <w:color w:val="000000"/>
          <w:lang w:val="ro-RO" w:eastAsia="ro-RO"/>
        </w:rPr>
        <w:t xml:space="preserve">.1.1.2.8. </w:t>
      </w:r>
      <w:r w:rsidRPr="00654D79">
        <w:rPr>
          <w:rFonts w:ascii="Arial" w:hAnsi="Arial" w:cs="Arial"/>
        </w:rPr>
        <w:t>Concentraţia medie anuală de</w:t>
      </w:r>
      <w:r>
        <w:rPr>
          <w:rFonts w:ascii="Arial" w:hAnsi="Arial" w:cs="Arial"/>
        </w:rPr>
        <w:t xml:space="preserve"> pulberi sedimentabile în perioada 2010-2014</w:t>
      </w:r>
    </w:p>
    <w:p w:rsidR="002E2A4D" w:rsidRDefault="002E2A4D" w:rsidP="002E2A4D">
      <w:pPr>
        <w:tabs>
          <w:tab w:val="num" w:pos="0"/>
        </w:tabs>
        <w:rPr>
          <w:rFonts w:ascii="Arial" w:hAnsi="Arial" w:cs="Arial"/>
          <w:b/>
          <w:lang w:val="ro-RO"/>
        </w:rPr>
      </w:pPr>
    </w:p>
    <w:p w:rsidR="002E2A4D" w:rsidRDefault="002E2A4D" w:rsidP="002E2A4D">
      <w:pPr>
        <w:tabs>
          <w:tab w:val="num" w:pos="0"/>
        </w:tabs>
        <w:rPr>
          <w:rFonts w:ascii="Arial" w:hAnsi="Arial" w:cs="Arial"/>
          <w:b/>
          <w:lang w:val="ro-RO"/>
        </w:rPr>
      </w:pPr>
    </w:p>
    <w:p w:rsidR="00CD0BF7" w:rsidRPr="00CD0BF7" w:rsidRDefault="002E2A4D" w:rsidP="002E2A4D">
      <w:pPr>
        <w:tabs>
          <w:tab w:val="num" w:pos="0"/>
        </w:tabs>
        <w:rPr>
          <w:rFonts w:ascii="Arial" w:hAnsi="Arial" w:cs="Arial"/>
        </w:rPr>
      </w:pPr>
      <w:r>
        <w:rPr>
          <w:rFonts w:ascii="Arial" w:hAnsi="Arial" w:cs="Arial"/>
          <w:b/>
          <w:lang w:val="ro-RO"/>
        </w:rPr>
        <w:t xml:space="preserve">         </w:t>
      </w:r>
      <w:r w:rsidR="00CD0BF7">
        <w:rPr>
          <w:rFonts w:ascii="Arial" w:hAnsi="Arial" w:cs="Arial"/>
        </w:rPr>
        <w:t xml:space="preserve">Tabel </w:t>
      </w:r>
      <w:r w:rsidR="00CD0BF7" w:rsidRPr="000E3D2C">
        <w:rPr>
          <w:rFonts w:ascii="Arial" w:eastAsia="Times New Roman" w:hAnsi="Arial" w:cs="Arial"/>
          <w:iCs/>
          <w:color w:val="000000"/>
          <w:lang w:val="ro-RO" w:eastAsia="ro-RO"/>
        </w:rPr>
        <w:t>I</w:t>
      </w:r>
      <w:r w:rsidR="00CD0BF7">
        <w:rPr>
          <w:rFonts w:ascii="Arial" w:eastAsia="Times New Roman" w:hAnsi="Arial" w:cs="Arial"/>
          <w:iCs/>
          <w:color w:val="000000"/>
          <w:lang w:val="ro-RO" w:eastAsia="ro-RO"/>
        </w:rPr>
        <w:t>.1.1.2.8.</w:t>
      </w:r>
    </w:p>
    <w:tbl>
      <w:tblPr>
        <w:tblW w:w="891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323"/>
        <w:gridCol w:w="2837"/>
        <w:gridCol w:w="850"/>
        <w:gridCol w:w="937"/>
        <w:gridCol w:w="992"/>
        <w:gridCol w:w="992"/>
        <w:gridCol w:w="984"/>
      </w:tblGrid>
      <w:tr w:rsidR="00CD0BF7" w:rsidRPr="0007453E" w:rsidTr="00CD0BF7">
        <w:trPr>
          <w:trHeight w:val="307"/>
          <w:jc w:val="center"/>
        </w:trPr>
        <w:tc>
          <w:tcPr>
            <w:tcW w:w="1323" w:type="dxa"/>
            <w:vMerge w:val="restart"/>
            <w:shd w:val="clear" w:color="auto" w:fill="D9D9D9"/>
            <w:vAlign w:val="center"/>
          </w:tcPr>
          <w:p w:rsidR="00CD0BF7" w:rsidRPr="0007453E" w:rsidRDefault="00CD0BF7" w:rsidP="00CD0BF7">
            <w:pPr>
              <w:tabs>
                <w:tab w:val="num" w:pos="0"/>
              </w:tabs>
              <w:jc w:val="center"/>
              <w:rPr>
                <w:rFonts w:ascii="Arial" w:hAnsi="Arial" w:cs="Arial"/>
                <w:b/>
              </w:rPr>
            </w:pPr>
            <w:r w:rsidRPr="0007453E">
              <w:rPr>
                <w:rFonts w:ascii="Arial" w:hAnsi="Arial" w:cs="Arial"/>
                <w:b/>
              </w:rPr>
              <w:t>JUDEŢUL</w:t>
            </w:r>
          </w:p>
        </w:tc>
        <w:tc>
          <w:tcPr>
            <w:tcW w:w="2837" w:type="dxa"/>
            <w:vMerge w:val="restart"/>
            <w:shd w:val="clear" w:color="auto" w:fill="D9D9D9"/>
            <w:vAlign w:val="center"/>
          </w:tcPr>
          <w:p w:rsidR="00CD0BF7" w:rsidRPr="0007453E" w:rsidRDefault="00CD0BF7" w:rsidP="00CD0BF7">
            <w:pPr>
              <w:tabs>
                <w:tab w:val="num" w:pos="0"/>
              </w:tabs>
              <w:jc w:val="center"/>
              <w:rPr>
                <w:rFonts w:ascii="Arial" w:hAnsi="Arial" w:cs="Arial"/>
                <w:b/>
              </w:rPr>
            </w:pPr>
            <w:r w:rsidRPr="0007453E">
              <w:rPr>
                <w:rFonts w:ascii="Arial" w:hAnsi="Arial" w:cs="Arial"/>
                <w:b/>
              </w:rPr>
              <w:t>Punct de prelevare</w:t>
            </w:r>
          </w:p>
        </w:tc>
        <w:tc>
          <w:tcPr>
            <w:tcW w:w="4755" w:type="dxa"/>
            <w:gridSpan w:val="5"/>
            <w:shd w:val="clear" w:color="auto" w:fill="D9D9D9"/>
            <w:vAlign w:val="center"/>
          </w:tcPr>
          <w:p w:rsidR="00CD0BF7" w:rsidRPr="0007453E" w:rsidRDefault="00CD0BF7" w:rsidP="00CD0BF7">
            <w:pPr>
              <w:tabs>
                <w:tab w:val="num" w:pos="0"/>
              </w:tabs>
              <w:jc w:val="center"/>
              <w:rPr>
                <w:rFonts w:ascii="Arial" w:hAnsi="Arial" w:cs="Arial"/>
                <w:b/>
              </w:rPr>
            </w:pPr>
            <w:r w:rsidRPr="0007453E">
              <w:rPr>
                <w:rFonts w:ascii="Arial" w:hAnsi="Arial" w:cs="Arial"/>
                <w:b/>
              </w:rPr>
              <w:t>Concentraţie medie anuală</w:t>
            </w:r>
          </w:p>
          <w:p w:rsidR="00CD0BF7" w:rsidRPr="0007453E" w:rsidRDefault="00CD0BF7" w:rsidP="00CD0BF7">
            <w:pPr>
              <w:tabs>
                <w:tab w:val="num" w:pos="0"/>
              </w:tabs>
              <w:jc w:val="center"/>
              <w:rPr>
                <w:rFonts w:ascii="Arial" w:hAnsi="Arial" w:cs="Arial"/>
                <w:b/>
              </w:rPr>
            </w:pPr>
            <w:r>
              <w:rPr>
                <w:rFonts w:ascii="Arial" w:hAnsi="Arial" w:cs="Arial"/>
                <w:b/>
              </w:rPr>
              <w:t>(</w:t>
            </w:r>
            <w:r w:rsidRPr="0007453E">
              <w:rPr>
                <w:rFonts w:ascii="Arial" w:hAnsi="Arial" w:cs="Arial"/>
                <w:b/>
              </w:rPr>
              <w:t>g/mp/</w:t>
            </w:r>
            <w:r>
              <w:rPr>
                <w:rFonts w:ascii="Arial" w:hAnsi="Arial" w:cs="Arial"/>
                <w:b/>
              </w:rPr>
              <w:t>luna</w:t>
            </w:r>
            <w:r w:rsidRPr="0007453E">
              <w:rPr>
                <w:rFonts w:ascii="Arial" w:hAnsi="Arial" w:cs="Arial"/>
                <w:b/>
              </w:rPr>
              <w:t>)</w:t>
            </w:r>
          </w:p>
        </w:tc>
      </w:tr>
      <w:tr w:rsidR="00CD0BF7" w:rsidRPr="0007453E" w:rsidTr="00CD0BF7">
        <w:trPr>
          <w:trHeight w:val="307"/>
          <w:jc w:val="center"/>
        </w:trPr>
        <w:tc>
          <w:tcPr>
            <w:tcW w:w="1323" w:type="dxa"/>
            <w:vMerge/>
            <w:tcBorders>
              <w:bottom w:val="single" w:sz="4" w:space="0" w:color="auto"/>
            </w:tcBorders>
            <w:shd w:val="clear" w:color="auto" w:fill="E0E0E0"/>
            <w:vAlign w:val="center"/>
          </w:tcPr>
          <w:p w:rsidR="00CD0BF7" w:rsidRPr="0007453E" w:rsidRDefault="00CD0BF7" w:rsidP="00CD0BF7">
            <w:pPr>
              <w:tabs>
                <w:tab w:val="num" w:pos="0"/>
              </w:tabs>
              <w:jc w:val="center"/>
              <w:rPr>
                <w:rFonts w:ascii="Arial" w:hAnsi="Arial" w:cs="Arial"/>
                <w:b/>
              </w:rPr>
            </w:pPr>
          </w:p>
        </w:tc>
        <w:tc>
          <w:tcPr>
            <w:tcW w:w="2837" w:type="dxa"/>
            <w:vMerge/>
            <w:shd w:val="clear" w:color="auto" w:fill="E0E0E0"/>
            <w:vAlign w:val="center"/>
          </w:tcPr>
          <w:p w:rsidR="00CD0BF7" w:rsidRPr="0007453E" w:rsidRDefault="00CD0BF7" w:rsidP="00CD0BF7">
            <w:pPr>
              <w:tabs>
                <w:tab w:val="num" w:pos="0"/>
              </w:tabs>
              <w:jc w:val="center"/>
              <w:rPr>
                <w:rFonts w:ascii="Arial" w:hAnsi="Arial" w:cs="Arial"/>
                <w:b/>
              </w:rPr>
            </w:pPr>
          </w:p>
        </w:tc>
        <w:tc>
          <w:tcPr>
            <w:tcW w:w="850" w:type="dxa"/>
            <w:shd w:val="clear" w:color="auto" w:fill="E0E0E0"/>
            <w:vAlign w:val="center"/>
          </w:tcPr>
          <w:p w:rsidR="00CD0BF7" w:rsidRPr="0007453E" w:rsidRDefault="00CD0BF7" w:rsidP="00CD0BF7">
            <w:pPr>
              <w:tabs>
                <w:tab w:val="num" w:pos="0"/>
              </w:tabs>
              <w:jc w:val="center"/>
              <w:rPr>
                <w:rFonts w:ascii="Arial" w:hAnsi="Arial" w:cs="Arial"/>
                <w:b/>
              </w:rPr>
            </w:pPr>
            <w:r w:rsidRPr="0007453E">
              <w:rPr>
                <w:rFonts w:ascii="Arial" w:hAnsi="Arial" w:cs="Arial"/>
                <w:b/>
              </w:rPr>
              <w:t>20</w:t>
            </w:r>
            <w:r>
              <w:rPr>
                <w:rFonts w:ascii="Arial" w:hAnsi="Arial" w:cs="Arial"/>
                <w:b/>
              </w:rPr>
              <w:t>10</w:t>
            </w:r>
          </w:p>
        </w:tc>
        <w:tc>
          <w:tcPr>
            <w:tcW w:w="937" w:type="dxa"/>
            <w:shd w:val="clear" w:color="auto" w:fill="E0E0E0"/>
            <w:vAlign w:val="center"/>
          </w:tcPr>
          <w:p w:rsidR="00CD0BF7" w:rsidRPr="0007453E" w:rsidRDefault="00CD0BF7" w:rsidP="00CD0BF7">
            <w:pPr>
              <w:tabs>
                <w:tab w:val="num" w:pos="0"/>
              </w:tabs>
              <w:jc w:val="center"/>
              <w:rPr>
                <w:rFonts w:ascii="Arial" w:hAnsi="Arial" w:cs="Arial"/>
                <w:b/>
              </w:rPr>
            </w:pPr>
            <w:r w:rsidRPr="0007453E">
              <w:rPr>
                <w:rFonts w:ascii="Arial" w:hAnsi="Arial" w:cs="Arial"/>
                <w:b/>
              </w:rPr>
              <w:t>201</w:t>
            </w:r>
            <w:r>
              <w:rPr>
                <w:rFonts w:ascii="Arial" w:hAnsi="Arial" w:cs="Arial"/>
                <w:b/>
              </w:rPr>
              <w:t>1</w:t>
            </w:r>
          </w:p>
        </w:tc>
        <w:tc>
          <w:tcPr>
            <w:tcW w:w="992" w:type="dxa"/>
            <w:shd w:val="clear" w:color="auto" w:fill="E0E0E0"/>
            <w:vAlign w:val="center"/>
          </w:tcPr>
          <w:p w:rsidR="00CD0BF7" w:rsidRPr="0007453E" w:rsidRDefault="00CD0BF7" w:rsidP="00CD0BF7">
            <w:pPr>
              <w:tabs>
                <w:tab w:val="num" w:pos="0"/>
              </w:tabs>
              <w:jc w:val="center"/>
              <w:rPr>
                <w:rFonts w:ascii="Arial" w:hAnsi="Arial" w:cs="Arial"/>
                <w:b/>
              </w:rPr>
            </w:pPr>
            <w:r w:rsidRPr="0007453E">
              <w:rPr>
                <w:rFonts w:ascii="Arial" w:hAnsi="Arial" w:cs="Arial"/>
                <w:b/>
              </w:rPr>
              <w:t>2</w:t>
            </w:r>
            <w:r>
              <w:rPr>
                <w:rFonts w:ascii="Arial" w:hAnsi="Arial" w:cs="Arial"/>
                <w:b/>
              </w:rPr>
              <w:t>012</w:t>
            </w:r>
          </w:p>
        </w:tc>
        <w:tc>
          <w:tcPr>
            <w:tcW w:w="992" w:type="dxa"/>
            <w:shd w:val="clear" w:color="auto" w:fill="E0E0E0"/>
            <w:vAlign w:val="center"/>
          </w:tcPr>
          <w:p w:rsidR="00CD0BF7" w:rsidRPr="0007453E" w:rsidRDefault="00CD0BF7" w:rsidP="00CD0BF7">
            <w:pPr>
              <w:tabs>
                <w:tab w:val="num" w:pos="0"/>
              </w:tabs>
              <w:jc w:val="center"/>
              <w:rPr>
                <w:rFonts w:ascii="Arial" w:hAnsi="Arial" w:cs="Arial"/>
                <w:b/>
              </w:rPr>
            </w:pPr>
            <w:r>
              <w:rPr>
                <w:rFonts w:ascii="Arial" w:hAnsi="Arial" w:cs="Arial"/>
                <w:b/>
              </w:rPr>
              <w:t>2013</w:t>
            </w:r>
          </w:p>
        </w:tc>
        <w:tc>
          <w:tcPr>
            <w:tcW w:w="984" w:type="dxa"/>
            <w:shd w:val="clear" w:color="auto" w:fill="E0E0E0"/>
            <w:vAlign w:val="center"/>
          </w:tcPr>
          <w:p w:rsidR="00CD0BF7" w:rsidRDefault="00CD0BF7" w:rsidP="00CD0BF7">
            <w:pPr>
              <w:tabs>
                <w:tab w:val="num" w:pos="0"/>
              </w:tabs>
              <w:jc w:val="center"/>
              <w:rPr>
                <w:rFonts w:ascii="Arial" w:hAnsi="Arial" w:cs="Arial"/>
                <w:b/>
              </w:rPr>
            </w:pPr>
            <w:r>
              <w:rPr>
                <w:rFonts w:ascii="Arial" w:hAnsi="Arial" w:cs="Arial"/>
                <w:b/>
              </w:rPr>
              <w:t>2014</w:t>
            </w:r>
          </w:p>
        </w:tc>
      </w:tr>
      <w:tr w:rsidR="00CD0BF7" w:rsidRPr="0007453E" w:rsidTr="00CD0BF7">
        <w:trPr>
          <w:trHeight w:val="307"/>
          <w:jc w:val="center"/>
        </w:trPr>
        <w:tc>
          <w:tcPr>
            <w:tcW w:w="1323" w:type="dxa"/>
            <w:vMerge w:val="restart"/>
            <w:shd w:val="clear" w:color="auto" w:fill="D9D9D9"/>
          </w:tcPr>
          <w:p w:rsidR="00CD0BF7" w:rsidRPr="0007453E" w:rsidRDefault="00CD0BF7" w:rsidP="00CD0BF7">
            <w:pPr>
              <w:tabs>
                <w:tab w:val="num" w:pos="0"/>
              </w:tabs>
              <w:jc w:val="center"/>
              <w:rPr>
                <w:rFonts w:ascii="Arial" w:hAnsi="Arial" w:cs="Arial"/>
              </w:rPr>
            </w:pPr>
            <w:r w:rsidRPr="0007453E">
              <w:rPr>
                <w:rFonts w:ascii="Arial" w:hAnsi="Arial" w:cs="Arial"/>
              </w:rPr>
              <w:t>Brăila</w:t>
            </w: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Sediu APM</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6,8</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4,84</w:t>
            </w:r>
          </w:p>
        </w:tc>
        <w:tc>
          <w:tcPr>
            <w:tcW w:w="992" w:type="dxa"/>
          </w:tcPr>
          <w:p w:rsidR="00CD0BF7" w:rsidRPr="002A0558" w:rsidRDefault="00CD0BF7" w:rsidP="00CD0BF7">
            <w:pPr>
              <w:tabs>
                <w:tab w:val="num" w:pos="0"/>
              </w:tabs>
              <w:jc w:val="center"/>
              <w:rPr>
                <w:rFonts w:ascii="Arial" w:hAnsi="Arial" w:cs="Arial"/>
              </w:rPr>
            </w:pPr>
            <w:r w:rsidRPr="002A0558">
              <w:rPr>
                <w:rFonts w:ascii="Arial" w:hAnsi="Arial" w:cs="Arial"/>
              </w:rPr>
              <w:t>5,27</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5,64</w:t>
            </w:r>
          </w:p>
        </w:tc>
        <w:tc>
          <w:tcPr>
            <w:tcW w:w="984" w:type="dxa"/>
          </w:tcPr>
          <w:p w:rsidR="00CD0BF7" w:rsidRDefault="00CD0BF7" w:rsidP="00CD0BF7">
            <w:pPr>
              <w:tabs>
                <w:tab w:val="num" w:pos="0"/>
              </w:tabs>
              <w:jc w:val="center"/>
              <w:rPr>
                <w:rFonts w:ascii="Arial" w:hAnsi="Arial" w:cs="Arial"/>
              </w:rPr>
            </w:pPr>
            <w:r>
              <w:rPr>
                <w:rFonts w:ascii="Arial" w:hAnsi="Arial" w:cs="Arial"/>
              </w:rPr>
              <w:t>4,24</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jc w:val="cente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Uzina de Apă</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5,32</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6,59</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7,01</w:t>
            </w:r>
          </w:p>
        </w:tc>
        <w:tc>
          <w:tcPr>
            <w:tcW w:w="992" w:type="dxa"/>
          </w:tcPr>
          <w:p w:rsidR="00CD0BF7" w:rsidRPr="001C36FB" w:rsidRDefault="00CD0BF7" w:rsidP="00CD0BF7">
            <w:pPr>
              <w:tabs>
                <w:tab w:val="num" w:pos="0"/>
              </w:tabs>
              <w:jc w:val="center"/>
              <w:rPr>
                <w:rFonts w:ascii="Arial" w:hAnsi="Arial" w:cs="Arial"/>
                <w:lang w:val="ro-RO"/>
              </w:rPr>
            </w:pPr>
            <w:r>
              <w:rPr>
                <w:rFonts w:ascii="Arial" w:hAnsi="Arial" w:cs="Arial"/>
                <w:lang w:val="ro-RO"/>
              </w:rPr>
              <w:t>7,75</w:t>
            </w:r>
          </w:p>
        </w:tc>
        <w:tc>
          <w:tcPr>
            <w:tcW w:w="984" w:type="dxa"/>
          </w:tcPr>
          <w:p w:rsidR="00CD0BF7" w:rsidRDefault="00CD0BF7" w:rsidP="00CD0BF7">
            <w:pPr>
              <w:tabs>
                <w:tab w:val="num" w:pos="0"/>
              </w:tabs>
              <w:jc w:val="center"/>
              <w:rPr>
                <w:rFonts w:ascii="Arial" w:hAnsi="Arial" w:cs="Arial"/>
                <w:lang w:val="ro-RO"/>
              </w:rPr>
            </w:pPr>
            <w:r>
              <w:rPr>
                <w:rFonts w:ascii="Arial" w:hAnsi="Arial" w:cs="Arial"/>
                <w:lang w:val="ro-RO"/>
              </w:rPr>
              <w:t>6,23</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jc w:val="cente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Vărsătura</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9,94</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13,15</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15,25</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16,89</w:t>
            </w:r>
          </w:p>
        </w:tc>
        <w:tc>
          <w:tcPr>
            <w:tcW w:w="984" w:type="dxa"/>
          </w:tcPr>
          <w:p w:rsidR="00CD0BF7" w:rsidRDefault="00CD0BF7" w:rsidP="00CD0BF7">
            <w:pPr>
              <w:tabs>
                <w:tab w:val="num" w:pos="0"/>
              </w:tabs>
              <w:jc w:val="center"/>
              <w:rPr>
                <w:rFonts w:ascii="Arial" w:hAnsi="Arial" w:cs="Arial"/>
              </w:rPr>
            </w:pPr>
            <w:r>
              <w:rPr>
                <w:rFonts w:ascii="Arial" w:hAnsi="Arial" w:cs="Arial"/>
              </w:rPr>
              <w:t>16,39</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jc w:val="cente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Str.Gen.Gh.Avramescu</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8,82</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9,67</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13,91</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8,56</w:t>
            </w:r>
          </w:p>
        </w:tc>
        <w:tc>
          <w:tcPr>
            <w:tcW w:w="984" w:type="dxa"/>
          </w:tcPr>
          <w:p w:rsidR="00CD0BF7" w:rsidRDefault="00CD0BF7" w:rsidP="00CD0BF7">
            <w:pPr>
              <w:tabs>
                <w:tab w:val="num" w:pos="0"/>
              </w:tabs>
              <w:jc w:val="center"/>
              <w:rPr>
                <w:rFonts w:ascii="Arial" w:hAnsi="Arial" w:cs="Arial"/>
              </w:rPr>
            </w:pPr>
            <w:r>
              <w:rPr>
                <w:rFonts w:ascii="Arial" w:hAnsi="Arial" w:cs="Arial"/>
              </w:rPr>
              <w:t>6,61</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Staţia Nord</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4,97</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4,09</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5,34</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6,52</w:t>
            </w:r>
          </w:p>
        </w:tc>
        <w:tc>
          <w:tcPr>
            <w:tcW w:w="984" w:type="dxa"/>
          </w:tcPr>
          <w:p w:rsidR="00CD0BF7" w:rsidRDefault="00CD0BF7" w:rsidP="00CD0BF7">
            <w:pPr>
              <w:tabs>
                <w:tab w:val="num" w:pos="0"/>
              </w:tabs>
              <w:jc w:val="center"/>
              <w:rPr>
                <w:rFonts w:ascii="Arial" w:hAnsi="Arial" w:cs="Arial"/>
              </w:rPr>
            </w:pPr>
            <w:r>
              <w:rPr>
                <w:rFonts w:ascii="Arial" w:hAnsi="Arial" w:cs="Arial"/>
              </w:rPr>
              <w:t>5,88</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 xml:space="preserve">SC Hercules </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8,13</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12,6</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8,25</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10,16</w:t>
            </w:r>
          </w:p>
        </w:tc>
        <w:tc>
          <w:tcPr>
            <w:tcW w:w="984" w:type="dxa"/>
          </w:tcPr>
          <w:p w:rsidR="00CD0BF7" w:rsidRDefault="00CD0BF7" w:rsidP="00CD0BF7">
            <w:pPr>
              <w:tabs>
                <w:tab w:val="num" w:pos="0"/>
              </w:tabs>
              <w:jc w:val="center"/>
              <w:rPr>
                <w:rFonts w:ascii="Arial" w:hAnsi="Arial" w:cs="Arial"/>
              </w:rPr>
            </w:pPr>
            <w:r>
              <w:rPr>
                <w:rFonts w:ascii="Arial" w:hAnsi="Arial" w:cs="Arial"/>
              </w:rPr>
              <w:t>8,56</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Termoelectrica Chiscani</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4,18</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5,51</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5,78</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5,86</w:t>
            </w:r>
          </w:p>
        </w:tc>
        <w:tc>
          <w:tcPr>
            <w:tcW w:w="984" w:type="dxa"/>
          </w:tcPr>
          <w:p w:rsidR="00CD0BF7" w:rsidRDefault="00CD0BF7" w:rsidP="00CD0BF7">
            <w:pPr>
              <w:tabs>
                <w:tab w:val="num" w:pos="0"/>
              </w:tabs>
              <w:jc w:val="center"/>
              <w:rPr>
                <w:rFonts w:ascii="Arial" w:hAnsi="Arial" w:cs="Arial"/>
              </w:rPr>
            </w:pPr>
            <w:r>
              <w:rPr>
                <w:rFonts w:ascii="Arial" w:hAnsi="Arial" w:cs="Arial"/>
              </w:rPr>
              <w:t>5,88</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lang w:val="ro-RO"/>
              </w:rPr>
            </w:pPr>
            <w:r w:rsidRPr="003554B0">
              <w:rPr>
                <w:rFonts w:ascii="Arial" w:hAnsi="Arial" w:cs="Arial"/>
                <w:sz w:val="22"/>
                <w:szCs w:val="22"/>
              </w:rPr>
              <w:t>Str. Galați</w:t>
            </w:r>
          </w:p>
        </w:tc>
        <w:tc>
          <w:tcPr>
            <w:tcW w:w="850" w:type="dxa"/>
          </w:tcPr>
          <w:p w:rsidR="00CD0BF7" w:rsidRPr="007C00A7" w:rsidRDefault="00CD0BF7" w:rsidP="00CD0BF7">
            <w:pPr>
              <w:tabs>
                <w:tab w:val="num" w:pos="0"/>
              </w:tabs>
              <w:jc w:val="center"/>
              <w:rPr>
                <w:rFonts w:ascii="Arial" w:hAnsi="Arial" w:cs="Arial"/>
              </w:rPr>
            </w:pPr>
            <w:r>
              <w:rPr>
                <w:rFonts w:ascii="Arial" w:hAnsi="Arial" w:cs="Arial"/>
              </w:rPr>
              <w:t>-</w:t>
            </w:r>
          </w:p>
        </w:tc>
        <w:tc>
          <w:tcPr>
            <w:tcW w:w="937" w:type="dxa"/>
          </w:tcPr>
          <w:p w:rsidR="00CD0BF7" w:rsidRPr="007C00A7" w:rsidRDefault="00CD0BF7" w:rsidP="00CD0BF7">
            <w:pPr>
              <w:tabs>
                <w:tab w:val="num" w:pos="0"/>
              </w:tabs>
              <w:jc w:val="center"/>
              <w:rPr>
                <w:rFonts w:ascii="Arial" w:hAnsi="Arial" w:cs="Arial"/>
              </w:rPr>
            </w:pPr>
            <w:r>
              <w:rPr>
                <w:rFonts w:ascii="Arial" w:hAnsi="Arial" w:cs="Arial"/>
              </w:rPr>
              <w:t>-</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11,12</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11,78</w:t>
            </w:r>
          </w:p>
        </w:tc>
        <w:tc>
          <w:tcPr>
            <w:tcW w:w="984" w:type="dxa"/>
          </w:tcPr>
          <w:p w:rsidR="00CD0BF7" w:rsidRDefault="00CD0BF7" w:rsidP="00CD0BF7">
            <w:pPr>
              <w:tabs>
                <w:tab w:val="num" w:pos="0"/>
              </w:tabs>
              <w:jc w:val="center"/>
              <w:rPr>
                <w:rFonts w:ascii="Arial" w:hAnsi="Arial" w:cs="Arial"/>
              </w:rPr>
            </w:pPr>
            <w:r>
              <w:rPr>
                <w:rFonts w:ascii="Arial" w:hAnsi="Arial" w:cs="Arial"/>
              </w:rPr>
              <w:t>7,68</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lang w:val="ro-RO"/>
              </w:rPr>
            </w:pPr>
            <w:r w:rsidRPr="003554B0">
              <w:rPr>
                <w:rFonts w:ascii="Arial" w:hAnsi="Arial" w:cs="Arial"/>
                <w:sz w:val="22"/>
                <w:szCs w:val="22"/>
                <w:lang w:val="ro-RO"/>
              </w:rPr>
              <w:t>Cazasu</w:t>
            </w:r>
          </w:p>
        </w:tc>
        <w:tc>
          <w:tcPr>
            <w:tcW w:w="850" w:type="dxa"/>
          </w:tcPr>
          <w:p w:rsidR="00CD0BF7" w:rsidRPr="007C00A7" w:rsidRDefault="00CD0BF7" w:rsidP="00CD0BF7">
            <w:pPr>
              <w:tabs>
                <w:tab w:val="num" w:pos="0"/>
              </w:tabs>
              <w:jc w:val="center"/>
              <w:rPr>
                <w:rFonts w:ascii="Arial" w:hAnsi="Arial" w:cs="Arial"/>
              </w:rPr>
            </w:pPr>
            <w:r>
              <w:rPr>
                <w:rFonts w:ascii="Arial" w:hAnsi="Arial" w:cs="Arial"/>
              </w:rPr>
              <w:t>-</w:t>
            </w:r>
          </w:p>
        </w:tc>
        <w:tc>
          <w:tcPr>
            <w:tcW w:w="937" w:type="dxa"/>
          </w:tcPr>
          <w:p w:rsidR="00CD0BF7" w:rsidRPr="007C00A7" w:rsidRDefault="00CD0BF7" w:rsidP="00CD0BF7">
            <w:pPr>
              <w:tabs>
                <w:tab w:val="num" w:pos="0"/>
              </w:tabs>
              <w:jc w:val="center"/>
              <w:rPr>
                <w:rFonts w:ascii="Arial" w:hAnsi="Arial" w:cs="Arial"/>
              </w:rPr>
            </w:pPr>
            <w:r>
              <w:rPr>
                <w:rFonts w:ascii="Arial" w:hAnsi="Arial" w:cs="Arial"/>
              </w:rPr>
              <w:t>-</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4,57</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4,3</w:t>
            </w:r>
          </w:p>
        </w:tc>
        <w:tc>
          <w:tcPr>
            <w:tcW w:w="984" w:type="dxa"/>
          </w:tcPr>
          <w:p w:rsidR="00CD0BF7" w:rsidRDefault="00CD0BF7" w:rsidP="00CD0BF7">
            <w:pPr>
              <w:tabs>
                <w:tab w:val="num" w:pos="0"/>
              </w:tabs>
              <w:jc w:val="center"/>
              <w:rPr>
                <w:rFonts w:ascii="Arial" w:hAnsi="Arial" w:cs="Arial"/>
              </w:rPr>
            </w:pPr>
            <w:r>
              <w:rPr>
                <w:rFonts w:ascii="Arial" w:hAnsi="Arial" w:cs="Arial"/>
              </w:rPr>
              <w:t>4,07</w:t>
            </w:r>
          </w:p>
        </w:tc>
      </w:tr>
      <w:tr w:rsidR="00CD0BF7" w:rsidRPr="0007453E" w:rsidTr="00CD0BF7">
        <w:trPr>
          <w:trHeight w:val="307"/>
          <w:jc w:val="center"/>
        </w:trPr>
        <w:tc>
          <w:tcPr>
            <w:tcW w:w="1323" w:type="dxa"/>
            <w:vMerge/>
            <w:shd w:val="clear" w:color="auto" w:fill="D9D9D9"/>
            <w:vAlign w:val="center"/>
          </w:tcPr>
          <w:p w:rsidR="00CD0BF7" w:rsidRPr="0007453E" w:rsidRDefault="00CD0BF7" w:rsidP="00CD0BF7">
            <w:pPr>
              <w:rPr>
                <w:rFonts w:ascii="Arial" w:hAnsi="Arial" w:cs="Arial"/>
                <w:b/>
              </w:rPr>
            </w:pPr>
          </w:p>
        </w:tc>
        <w:tc>
          <w:tcPr>
            <w:tcW w:w="2837" w:type="dxa"/>
            <w:vAlign w:val="center"/>
          </w:tcPr>
          <w:p w:rsidR="00CD0BF7" w:rsidRPr="003554B0" w:rsidRDefault="00CD0BF7" w:rsidP="00CD0BF7">
            <w:pPr>
              <w:tabs>
                <w:tab w:val="num" w:pos="0"/>
              </w:tabs>
              <w:rPr>
                <w:rFonts w:ascii="Arial" w:hAnsi="Arial" w:cs="Arial"/>
                <w:sz w:val="22"/>
                <w:szCs w:val="22"/>
              </w:rPr>
            </w:pPr>
            <w:r w:rsidRPr="003554B0">
              <w:rPr>
                <w:rFonts w:ascii="Arial" w:hAnsi="Arial" w:cs="Arial"/>
                <w:sz w:val="22"/>
                <w:szCs w:val="22"/>
              </w:rPr>
              <w:t>PrimăriaBrăila</w:t>
            </w:r>
          </w:p>
        </w:tc>
        <w:tc>
          <w:tcPr>
            <w:tcW w:w="850" w:type="dxa"/>
          </w:tcPr>
          <w:p w:rsidR="00CD0BF7" w:rsidRPr="007C00A7" w:rsidRDefault="00CD0BF7" w:rsidP="00CD0BF7">
            <w:pPr>
              <w:tabs>
                <w:tab w:val="num" w:pos="0"/>
              </w:tabs>
              <w:jc w:val="center"/>
              <w:rPr>
                <w:rFonts w:ascii="Arial" w:hAnsi="Arial" w:cs="Arial"/>
              </w:rPr>
            </w:pPr>
            <w:r w:rsidRPr="007C00A7">
              <w:rPr>
                <w:rFonts w:ascii="Arial" w:hAnsi="Arial" w:cs="Arial"/>
              </w:rPr>
              <w:t>-</w:t>
            </w:r>
          </w:p>
        </w:tc>
        <w:tc>
          <w:tcPr>
            <w:tcW w:w="937" w:type="dxa"/>
          </w:tcPr>
          <w:p w:rsidR="00CD0BF7" w:rsidRPr="007C00A7" w:rsidRDefault="00CD0BF7" w:rsidP="00CD0BF7">
            <w:pPr>
              <w:tabs>
                <w:tab w:val="num" w:pos="0"/>
              </w:tabs>
              <w:jc w:val="center"/>
              <w:rPr>
                <w:rFonts w:ascii="Arial" w:hAnsi="Arial" w:cs="Arial"/>
              </w:rPr>
            </w:pPr>
            <w:r w:rsidRPr="007C00A7">
              <w:rPr>
                <w:rFonts w:ascii="Arial" w:hAnsi="Arial" w:cs="Arial"/>
              </w:rPr>
              <w:t>-</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11,94</w:t>
            </w:r>
          </w:p>
        </w:tc>
        <w:tc>
          <w:tcPr>
            <w:tcW w:w="992" w:type="dxa"/>
          </w:tcPr>
          <w:p w:rsidR="00CD0BF7" w:rsidRPr="002A0558" w:rsidRDefault="00CD0BF7" w:rsidP="00CD0BF7">
            <w:pPr>
              <w:tabs>
                <w:tab w:val="num" w:pos="0"/>
              </w:tabs>
              <w:jc w:val="center"/>
              <w:rPr>
                <w:rFonts w:ascii="Arial" w:hAnsi="Arial" w:cs="Arial"/>
              </w:rPr>
            </w:pPr>
            <w:r>
              <w:rPr>
                <w:rFonts w:ascii="Arial" w:hAnsi="Arial" w:cs="Arial"/>
              </w:rPr>
              <w:t>10,9</w:t>
            </w:r>
          </w:p>
        </w:tc>
        <w:tc>
          <w:tcPr>
            <w:tcW w:w="984" w:type="dxa"/>
          </w:tcPr>
          <w:p w:rsidR="00CD0BF7" w:rsidRDefault="00CD0BF7" w:rsidP="00CD0BF7">
            <w:pPr>
              <w:tabs>
                <w:tab w:val="num" w:pos="0"/>
              </w:tabs>
              <w:jc w:val="center"/>
              <w:rPr>
                <w:rFonts w:ascii="Arial" w:hAnsi="Arial" w:cs="Arial"/>
              </w:rPr>
            </w:pPr>
            <w:r>
              <w:rPr>
                <w:rFonts w:ascii="Arial" w:hAnsi="Arial" w:cs="Arial"/>
              </w:rPr>
              <w:t>10,07</w:t>
            </w:r>
          </w:p>
        </w:tc>
      </w:tr>
      <w:tr w:rsidR="00CD0BF7" w:rsidRPr="0007453E" w:rsidTr="00CD0BF7">
        <w:trPr>
          <w:trHeight w:val="307"/>
          <w:jc w:val="center"/>
        </w:trPr>
        <w:tc>
          <w:tcPr>
            <w:tcW w:w="8915" w:type="dxa"/>
            <w:gridSpan w:val="7"/>
            <w:shd w:val="clear" w:color="auto" w:fill="D9D9D9"/>
            <w:vAlign w:val="center"/>
          </w:tcPr>
          <w:p w:rsidR="00CD0BF7" w:rsidRPr="003554B0" w:rsidRDefault="00CD0BF7" w:rsidP="00CD0BF7">
            <w:pPr>
              <w:tabs>
                <w:tab w:val="num" w:pos="0"/>
              </w:tabs>
              <w:jc w:val="center"/>
              <w:rPr>
                <w:rFonts w:ascii="Arial" w:hAnsi="Arial" w:cs="Arial"/>
                <w:b/>
                <w:sz w:val="22"/>
                <w:szCs w:val="22"/>
              </w:rPr>
            </w:pPr>
            <w:r w:rsidRPr="003554B0">
              <w:rPr>
                <w:rFonts w:ascii="Arial" w:hAnsi="Arial" w:cs="Arial"/>
                <w:b/>
                <w:sz w:val="22"/>
                <w:szCs w:val="22"/>
              </w:rPr>
              <w:t>CMA =  17g/mp/luna</w:t>
            </w:r>
          </w:p>
        </w:tc>
      </w:tr>
    </w:tbl>
    <w:p w:rsidR="00CD0BF7" w:rsidRDefault="00CD0BF7" w:rsidP="005F170E">
      <w:pPr>
        <w:jc w:val="center"/>
        <w:rPr>
          <w:rFonts w:ascii="Arial" w:hAnsi="Arial" w:cs="Arial"/>
          <w:b/>
          <w:lang w:val="ro-RO"/>
        </w:rPr>
      </w:pPr>
    </w:p>
    <w:p w:rsidR="00CD0BF7" w:rsidRDefault="00CD0BF7" w:rsidP="005F170E">
      <w:pPr>
        <w:jc w:val="center"/>
        <w:rPr>
          <w:rFonts w:ascii="Arial" w:hAnsi="Arial" w:cs="Arial"/>
          <w:b/>
          <w:lang w:val="ro-RO"/>
        </w:rPr>
      </w:pPr>
    </w:p>
    <w:p w:rsidR="00CD0BF7" w:rsidRDefault="00CD0BF7" w:rsidP="005F170E">
      <w:pPr>
        <w:jc w:val="center"/>
        <w:rPr>
          <w:rFonts w:ascii="Arial" w:hAnsi="Arial" w:cs="Arial"/>
          <w:b/>
          <w:lang w:val="ro-RO"/>
        </w:rPr>
      </w:pPr>
    </w:p>
    <w:p w:rsidR="00CD0BF7" w:rsidRPr="00964D94" w:rsidRDefault="00CD0BF7" w:rsidP="00CD0BF7">
      <w:pPr>
        <w:autoSpaceDE w:val="0"/>
        <w:autoSpaceDN w:val="0"/>
        <w:adjustRightInd w:val="0"/>
        <w:rPr>
          <w:rFonts w:ascii="Arial" w:eastAsia="Times New Roman" w:hAnsi="Arial" w:cs="Arial"/>
          <w:b/>
          <w:color w:val="000000"/>
          <w:lang w:val="ro-RO" w:eastAsia="ro-RO"/>
        </w:rPr>
      </w:pPr>
      <w:r w:rsidRPr="00964D94">
        <w:rPr>
          <w:rFonts w:ascii="Arial" w:eastAsia="Times New Roman" w:hAnsi="Arial" w:cs="Arial"/>
          <w:b/>
          <w:iCs/>
          <w:color w:val="000000"/>
          <w:lang w:val="ro-RO" w:eastAsia="ro-RO"/>
        </w:rPr>
        <w:t xml:space="preserve">I.1.1.3. Depăşiri ale valorilor limită şi valorilor ţintă privind calitatea aerului înconjurător în zonele urbane </w:t>
      </w:r>
    </w:p>
    <w:p w:rsidR="00CD0BF7" w:rsidRDefault="00CD0BF7" w:rsidP="005F170E">
      <w:pPr>
        <w:jc w:val="center"/>
        <w:rPr>
          <w:rFonts w:ascii="Arial" w:hAnsi="Arial" w:cs="Arial"/>
          <w:b/>
          <w:lang w:val="ro-RO"/>
        </w:rPr>
      </w:pPr>
    </w:p>
    <w:p w:rsidR="00387256" w:rsidRDefault="00387256" w:rsidP="00387256">
      <w:pPr>
        <w:jc w:val="both"/>
        <w:rPr>
          <w:rFonts w:ascii="Arial" w:hAnsi="Arial" w:cs="Arial"/>
          <w:b/>
          <w:lang w:val="ro-RO"/>
        </w:rPr>
      </w:pPr>
      <w:r>
        <w:rPr>
          <w:rFonts w:ascii="Arial" w:hAnsi="Arial" w:cs="Arial"/>
          <w:b/>
          <w:lang w:val="ro-RO"/>
        </w:rPr>
        <w:t>În anul 2014 nu au fost depaşiri ale valorilor limită la indicatorul PM10 şi nici ale valorii ţintă pentru ozon.</w:t>
      </w:r>
    </w:p>
    <w:p w:rsidR="00387256" w:rsidRDefault="00387256" w:rsidP="00387256">
      <w:pPr>
        <w:jc w:val="both"/>
        <w:rPr>
          <w:rFonts w:ascii="Arial" w:hAnsi="Arial" w:cs="Arial"/>
          <w:b/>
          <w:lang w:val="ro-RO"/>
        </w:rPr>
      </w:pPr>
    </w:p>
    <w:p w:rsidR="00D53FFE" w:rsidRPr="00E018F0" w:rsidRDefault="00D53FFE" w:rsidP="00D53FFE">
      <w:pPr>
        <w:jc w:val="both"/>
        <w:rPr>
          <w:rFonts w:ascii="Arial" w:hAnsi="Arial" w:cs="Arial"/>
          <w:b/>
        </w:rPr>
      </w:pPr>
      <w:r w:rsidRPr="00E018F0">
        <w:rPr>
          <w:rFonts w:ascii="Arial" w:hAnsi="Arial" w:cs="Arial"/>
          <w:b/>
          <w:lang w:val="fr-BE"/>
        </w:rPr>
        <w:t>I.2. Factorii determinan</w:t>
      </w:r>
      <w:r w:rsidRPr="00E018F0">
        <w:rPr>
          <w:rFonts w:ascii="Arial" w:hAnsi="Arial" w:cs="Arial"/>
          <w:b/>
        </w:rPr>
        <w:t>ți și presiunile care afectează starea de calitate a aerului înconjurător</w:t>
      </w:r>
    </w:p>
    <w:p w:rsidR="00D53FFE" w:rsidRDefault="00D53FFE" w:rsidP="00D53FFE">
      <w:pPr>
        <w:ind w:firstLine="708"/>
        <w:jc w:val="both"/>
        <w:rPr>
          <w:rFonts w:ascii="Arial" w:hAnsi="Arial" w:cs="Arial"/>
          <w:b/>
        </w:rPr>
      </w:pPr>
      <w:r w:rsidRPr="00D53FFE">
        <w:rPr>
          <w:rFonts w:ascii="Arial" w:hAnsi="Arial" w:cs="Arial"/>
          <w:b/>
        </w:rPr>
        <w:t>I.2.1. Emisiile de poluanți atmosferici și principalele surse de emisie</w:t>
      </w:r>
    </w:p>
    <w:p w:rsidR="00B22040" w:rsidRPr="00D53FFE" w:rsidRDefault="00B22040" w:rsidP="00D53FFE">
      <w:pPr>
        <w:ind w:firstLine="708"/>
        <w:jc w:val="both"/>
        <w:rPr>
          <w:rFonts w:ascii="Arial" w:hAnsi="Arial" w:cs="Arial"/>
          <w:b/>
        </w:rPr>
      </w:pPr>
      <w:r>
        <w:rPr>
          <w:rFonts w:ascii="Arial" w:hAnsi="Arial" w:cs="Arial"/>
          <w:b/>
        </w:rPr>
        <w:t xml:space="preserve">  I.2.1.1. Energia</w:t>
      </w:r>
    </w:p>
    <w:p w:rsidR="00D53FFE" w:rsidRPr="00D53FFE" w:rsidRDefault="00D53FFE" w:rsidP="00D53FFE">
      <w:pPr>
        <w:rPr>
          <w:rFonts w:ascii="Arial" w:hAnsi="Arial" w:cs="Arial"/>
          <w:b/>
          <w:lang w:val="fr-BE"/>
        </w:rPr>
      </w:pPr>
      <w:r w:rsidRPr="009E1F57">
        <w:rPr>
          <w:rFonts w:ascii="Arial" w:hAnsi="Arial" w:cs="Arial"/>
          <w:lang w:val="fr-BE"/>
        </w:rPr>
        <w:t>Cod indicator România RO 01</w:t>
      </w:r>
      <w:r w:rsidR="00010F6C">
        <w:rPr>
          <w:rFonts w:ascii="Arial" w:hAnsi="Arial" w:cs="Arial"/>
          <w:lang w:val="fr-BE"/>
        </w:rPr>
        <w:t xml:space="preserve"> - </w:t>
      </w:r>
      <w:r w:rsidRPr="00D53FFE">
        <w:rPr>
          <w:rFonts w:ascii="Arial" w:hAnsi="Arial" w:cs="Arial"/>
          <w:b/>
          <w:lang w:val="fr-BE"/>
        </w:rPr>
        <w:t>Emisiile de substanțe acidifiante</w:t>
      </w:r>
    </w:p>
    <w:p w:rsidR="00D53FFE" w:rsidRDefault="00D53FFE" w:rsidP="00D53FFE">
      <w:pPr>
        <w:jc w:val="both"/>
        <w:rPr>
          <w:rFonts w:ascii="Arial" w:hAnsi="Arial" w:cs="Arial"/>
          <w:lang w:val="fr-BE"/>
        </w:rPr>
      </w:pPr>
      <w:r>
        <w:rPr>
          <w:rFonts w:ascii="Arial" w:hAnsi="Arial" w:cs="Arial"/>
          <w:lang w:val="fr-BE"/>
        </w:rPr>
        <w:lastRenderedPageBreak/>
        <w:t>Indicatorul urmărește tendințele emisiilor antropice ale substanțelor acidifiante : oxizi de azot (NOx), amoniac (NH</w:t>
      </w:r>
      <w:r w:rsidRPr="00B4493F">
        <w:rPr>
          <w:rFonts w:ascii="Arial" w:hAnsi="Arial" w:cs="Arial"/>
          <w:vertAlign w:val="subscript"/>
          <w:lang w:val="fr-BE"/>
        </w:rPr>
        <w:t>3</w:t>
      </w:r>
      <w:r>
        <w:rPr>
          <w:rFonts w:ascii="Arial" w:hAnsi="Arial" w:cs="Arial"/>
          <w:lang w:val="fr-BE"/>
        </w:rPr>
        <w:t>) și oxizi de sulf (SOx, SO</w:t>
      </w:r>
      <w:r w:rsidRPr="00B4493F">
        <w:rPr>
          <w:rFonts w:ascii="Arial" w:hAnsi="Arial" w:cs="Arial"/>
          <w:vertAlign w:val="subscript"/>
          <w:lang w:val="fr-BE"/>
        </w:rPr>
        <w:t>2</w:t>
      </w:r>
      <w:r>
        <w:rPr>
          <w:rFonts w:ascii="Arial" w:hAnsi="Arial" w:cs="Arial"/>
          <w:lang w:val="fr-BE"/>
        </w:rPr>
        <w:t>). Principalele sectoare sursă de emisii de substanțe acidifiante sunt: producția și distribuția energiei, utlizarea energiei în industrie, procesele industriale, transportul rutier, nerutier, sectorul comercial, industrial.</w:t>
      </w:r>
    </w:p>
    <w:p w:rsidR="00D53FFE" w:rsidRPr="00C82BD6" w:rsidRDefault="00D53FFE" w:rsidP="00D53FFE">
      <w:pPr>
        <w:tabs>
          <w:tab w:val="num" w:pos="0"/>
        </w:tabs>
        <w:jc w:val="both"/>
        <w:rPr>
          <w:rFonts w:ascii="Arial" w:hAnsi="Arial" w:cs="Arial"/>
        </w:rPr>
      </w:pPr>
      <w:r w:rsidRPr="00C82BD6">
        <w:rPr>
          <w:rFonts w:ascii="Arial" w:hAnsi="Arial" w:cs="Arial"/>
        </w:rPr>
        <w:t xml:space="preserve">Acidifierea este procesul de modificare a caracterului chimic natural al unui component al mediului, conducând la modificarea pH-ului aerului, precipitaţiilor şi chiar al solului. </w:t>
      </w:r>
    </w:p>
    <w:p w:rsidR="00D53FFE" w:rsidRPr="005B44FF" w:rsidRDefault="00D53FFE" w:rsidP="00D53FFE">
      <w:pPr>
        <w:jc w:val="both"/>
        <w:rPr>
          <w:rFonts w:ascii="Arial" w:hAnsi="Arial" w:cs="Arial"/>
        </w:rPr>
      </w:pPr>
      <w:r w:rsidRPr="00C82BD6">
        <w:rPr>
          <w:rFonts w:ascii="Arial" w:hAnsi="Arial" w:cs="Arial"/>
          <w:bCs/>
        </w:rPr>
        <w:t xml:space="preserve">Acidifierea atmosferei este produsă de transformarea emisiilor de </w:t>
      </w:r>
      <w:r w:rsidRPr="00C82BD6">
        <w:rPr>
          <w:rFonts w:ascii="Arial" w:hAnsi="Arial" w:cs="Arial"/>
        </w:rPr>
        <w:t>oxizii de sulf, oxizii de azot  şi amoniac</w:t>
      </w:r>
      <w:r w:rsidRPr="00C82BD6">
        <w:rPr>
          <w:rFonts w:ascii="Arial" w:hAnsi="Arial" w:cs="Arial"/>
          <w:b/>
        </w:rPr>
        <w:t xml:space="preserve"> în substanţe acide. </w:t>
      </w:r>
      <w:r w:rsidRPr="00C82BD6">
        <w:rPr>
          <w:rFonts w:ascii="Arial" w:hAnsi="Arial" w:cs="Arial"/>
          <w:bCs/>
        </w:rPr>
        <w:t>Efectul sinergic al acestor poluanţi are un impact semnificativ asupra factorilor de mediu: aer, apă şi sol</w:t>
      </w:r>
      <w:r>
        <w:rPr>
          <w:rFonts w:ascii="Arial" w:hAnsi="Arial" w:cs="Arial"/>
          <w:bCs/>
        </w:rPr>
        <w:t>.</w:t>
      </w:r>
    </w:p>
    <w:p w:rsidR="00D53FFE" w:rsidRDefault="00D53FFE" w:rsidP="00D53FFE">
      <w:pPr>
        <w:jc w:val="both"/>
        <w:rPr>
          <w:rFonts w:ascii="Arial" w:hAnsi="Arial" w:cs="Arial"/>
          <w:b/>
        </w:rPr>
      </w:pPr>
      <w:r w:rsidRPr="00E018F0">
        <w:rPr>
          <w:rFonts w:ascii="Arial" w:hAnsi="Arial" w:cs="Arial"/>
          <w:b/>
        </w:rPr>
        <w:t>Fig. nr.I.2.1-1</w:t>
      </w:r>
    </w:p>
    <w:p w:rsidR="00C71C6A" w:rsidRPr="00E018F0" w:rsidRDefault="00C71C6A" w:rsidP="00D53FFE">
      <w:pPr>
        <w:jc w:val="both"/>
        <w:rPr>
          <w:rFonts w:ascii="Arial" w:hAnsi="Arial" w:cs="Arial"/>
          <w:b/>
        </w:rPr>
      </w:pPr>
    </w:p>
    <w:p w:rsidR="00D53FFE" w:rsidRDefault="00D53FFE" w:rsidP="00C71C6A">
      <w:pPr>
        <w:jc w:val="center"/>
        <w:rPr>
          <w:rFonts w:ascii="Arial" w:hAnsi="Arial" w:cs="Arial"/>
        </w:rPr>
      </w:pPr>
      <w:r w:rsidRPr="009E1F57">
        <w:rPr>
          <w:rFonts w:ascii="Arial" w:hAnsi="Arial" w:cs="Arial"/>
          <w:noProof/>
          <w:lang w:val="ro-RO" w:eastAsia="ro-RO"/>
        </w:rPr>
        <w:drawing>
          <wp:inline distT="0" distB="0" distL="0" distR="0">
            <wp:extent cx="4972050" cy="3762375"/>
            <wp:effectExtent l="19050" t="0" r="0" b="0"/>
            <wp:docPr id="2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1"/>
              </a:graphicData>
            </a:graphic>
          </wp:inline>
        </w:drawing>
      </w:r>
    </w:p>
    <w:p w:rsidR="00C71C6A" w:rsidRDefault="00C71C6A" w:rsidP="00D53FFE">
      <w:pPr>
        <w:rPr>
          <w:rFonts w:ascii="Arial" w:hAnsi="Arial" w:cs="Arial"/>
        </w:rPr>
      </w:pPr>
    </w:p>
    <w:p w:rsidR="00D53FFE" w:rsidRPr="00263640" w:rsidRDefault="00D53FFE" w:rsidP="00D53FFE">
      <w:pPr>
        <w:rPr>
          <w:rFonts w:ascii="Arial" w:hAnsi="Arial" w:cs="Arial"/>
        </w:rPr>
      </w:pPr>
      <w:r w:rsidRPr="00263640">
        <w:rPr>
          <w:rFonts w:ascii="Arial" w:hAnsi="Arial" w:cs="Arial"/>
        </w:rPr>
        <w:t>Cod indicator România RO 02</w:t>
      </w:r>
    </w:p>
    <w:p w:rsidR="00D53FFE" w:rsidRPr="00D53FFE" w:rsidRDefault="00D53FFE" w:rsidP="00D53FFE">
      <w:pPr>
        <w:rPr>
          <w:rFonts w:ascii="Arial" w:hAnsi="Arial" w:cs="Arial"/>
          <w:b/>
        </w:rPr>
      </w:pPr>
      <w:r w:rsidRPr="00D53FFE">
        <w:rPr>
          <w:rFonts w:ascii="Arial" w:hAnsi="Arial" w:cs="Arial"/>
          <w:b/>
        </w:rPr>
        <w:t>Emisiile de precursori ai ozonului</w:t>
      </w:r>
    </w:p>
    <w:p w:rsidR="00D53FFE" w:rsidRPr="00E018F0" w:rsidRDefault="00D53FFE" w:rsidP="00D53FFE">
      <w:pPr>
        <w:rPr>
          <w:rFonts w:ascii="Arial" w:hAnsi="Arial" w:cs="Arial"/>
        </w:rPr>
      </w:pPr>
      <w:r w:rsidRPr="00263640">
        <w:rPr>
          <w:rFonts w:ascii="Arial" w:hAnsi="Arial" w:cs="Arial"/>
        </w:rPr>
        <w:t>Indicatorul urmărește tendințele emisiilor antropice de pol</w:t>
      </w:r>
      <w:r w:rsidRPr="00E018F0">
        <w:rPr>
          <w:rFonts w:ascii="Arial" w:hAnsi="Arial" w:cs="Arial"/>
        </w:rPr>
        <w:t>uanți precursori ai ozonului: oxizi de azot (NOx), monoxid de carbon (CO), metan(CH</w:t>
      </w:r>
      <w:r w:rsidRPr="00E018F0">
        <w:rPr>
          <w:rFonts w:ascii="Arial" w:hAnsi="Arial" w:cs="Arial"/>
          <w:vertAlign w:val="subscript"/>
        </w:rPr>
        <w:t>4</w:t>
      </w:r>
      <w:r w:rsidRPr="00E018F0">
        <w:rPr>
          <w:rFonts w:ascii="Arial" w:hAnsi="Arial" w:cs="Arial"/>
        </w:rPr>
        <w:t>) și compuși organici volatili nemetanici(COVNM) proveniți din: producția și distribuția energiei, utilizarea energiei în industrie, procesele industriale, transportul rutier, nerutier, sectorul comercial, industrial.</w:t>
      </w:r>
    </w:p>
    <w:p w:rsidR="00D53FFE" w:rsidRPr="00E018F0" w:rsidRDefault="00D53FFE" w:rsidP="00D53FFE">
      <w:pPr>
        <w:rPr>
          <w:rFonts w:ascii="Arial" w:hAnsi="Arial" w:cs="Arial"/>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Pr="00E018F0" w:rsidRDefault="00D53FFE" w:rsidP="00D53FFE">
      <w:pPr>
        <w:jc w:val="both"/>
        <w:rPr>
          <w:rFonts w:ascii="Arial" w:hAnsi="Arial" w:cs="Arial"/>
          <w:b/>
        </w:rPr>
      </w:pPr>
      <w:r w:rsidRPr="00E018F0">
        <w:rPr>
          <w:rFonts w:ascii="Arial" w:hAnsi="Arial" w:cs="Arial"/>
          <w:b/>
        </w:rPr>
        <w:t>Fig. nr.I.2.1-2</w:t>
      </w:r>
    </w:p>
    <w:p w:rsidR="00D53FFE" w:rsidRPr="003F517B" w:rsidRDefault="00D53FFE" w:rsidP="00D53FFE">
      <w:pPr>
        <w:tabs>
          <w:tab w:val="left" w:pos="1215"/>
        </w:tabs>
        <w:jc w:val="center"/>
        <w:rPr>
          <w:rFonts w:ascii="Arial" w:hAnsi="Arial" w:cs="Arial"/>
          <w:lang w:val="fr-BE"/>
        </w:rPr>
      </w:pPr>
      <w:r w:rsidRPr="0026738F">
        <w:rPr>
          <w:rFonts w:ascii="Arial" w:hAnsi="Arial" w:cs="Arial"/>
          <w:noProof/>
          <w:lang w:val="ro-RO" w:eastAsia="ro-RO"/>
        </w:rPr>
        <w:lastRenderedPageBreak/>
        <w:drawing>
          <wp:inline distT="0" distB="0" distL="0" distR="0">
            <wp:extent cx="5162550" cy="3476625"/>
            <wp:effectExtent l="19050" t="0" r="19050" b="0"/>
            <wp:docPr id="3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2"/>
              </a:graphicData>
            </a:graphic>
          </wp:inline>
        </w:drawing>
      </w:r>
    </w:p>
    <w:p w:rsidR="00D53FFE" w:rsidRDefault="00D53FFE" w:rsidP="00D53FFE">
      <w:pPr>
        <w:ind w:firstLine="397"/>
        <w:jc w:val="both"/>
        <w:rPr>
          <w:rFonts w:ascii="Arial" w:hAnsi="Arial" w:cs="Arial"/>
        </w:rPr>
      </w:pPr>
    </w:p>
    <w:p w:rsidR="00D53FFE" w:rsidRDefault="00D53FFE" w:rsidP="00D53FFE">
      <w:pPr>
        <w:ind w:firstLine="397"/>
        <w:jc w:val="both"/>
        <w:rPr>
          <w:rFonts w:ascii="Arial" w:hAnsi="Arial" w:cs="Arial"/>
        </w:rPr>
      </w:pPr>
    </w:p>
    <w:p w:rsidR="00D53FFE" w:rsidRDefault="00D53FFE" w:rsidP="00B71F3A">
      <w:pPr>
        <w:jc w:val="both"/>
        <w:rPr>
          <w:rFonts w:ascii="Arial" w:hAnsi="Arial" w:cs="Arial"/>
        </w:rPr>
      </w:pPr>
      <w:r w:rsidRPr="00C82BD6">
        <w:rPr>
          <w:rFonts w:ascii="Arial" w:hAnsi="Arial" w:cs="Arial"/>
        </w:rPr>
        <w:t>Emisiile de oxizi de azot provin în pri</w:t>
      </w:r>
      <w:r>
        <w:rPr>
          <w:rFonts w:ascii="Arial" w:hAnsi="Arial" w:cs="Arial"/>
        </w:rPr>
        <w:t>ncipal din</w:t>
      </w:r>
      <w:r w:rsidRPr="00C82BD6">
        <w:rPr>
          <w:rFonts w:ascii="Arial" w:hAnsi="Arial" w:cs="Arial"/>
        </w:rPr>
        <w:t xml:space="preserve"> traficul rutier</w:t>
      </w:r>
      <w:r>
        <w:rPr>
          <w:rFonts w:ascii="Arial" w:hAnsi="Arial" w:cs="Arial"/>
        </w:rPr>
        <w:t>, din</w:t>
      </w:r>
      <w:r w:rsidRPr="00C82BD6">
        <w:rPr>
          <w:rFonts w:ascii="Arial" w:hAnsi="Arial" w:cs="Arial"/>
        </w:rPr>
        <w:t xml:space="preserve"> </w:t>
      </w:r>
      <w:r>
        <w:rPr>
          <w:rFonts w:ascii="Arial" w:hAnsi="Arial" w:cs="Arial"/>
        </w:rPr>
        <w:t>industria energetică</w:t>
      </w:r>
      <w:r w:rsidRPr="00C82BD6">
        <w:rPr>
          <w:rFonts w:ascii="Arial" w:hAnsi="Arial" w:cs="Arial"/>
        </w:rPr>
        <w:t xml:space="preserve"> şi din industria de prelucrare.</w:t>
      </w:r>
    </w:p>
    <w:p w:rsidR="00D53FFE" w:rsidRPr="00D53FFE" w:rsidRDefault="00D53FFE" w:rsidP="00B71F3A">
      <w:pPr>
        <w:pStyle w:val="BodyTextIndent"/>
        <w:spacing w:after="0" w:line="240" w:lineRule="auto"/>
        <w:ind w:left="0"/>
        <w:rPr>
          <w:rFonts w:ascii="Arial" w:hAnsi="Arial" w:cs="Arial"/>
          <w:sz w:val="24"/>
          <w:szCs w:val="24"/>
        </w:rPr>
      </w:pPr>
      <w:r w:rsidRPr="00D53FFE">
        <w:rPr>
          <w:rFonts w:ascii="Arial" w:hAnsi="Arial" w:cs="Arial"/>
          <w:sz w:val="24"/>
          <w:szCs w:val="24"/>
        </w:rPr>
        <w:t>Compuşii organici volatili (COV) sunt compuşi chimici care au o presiune a vaporilor crescută, de unde rezultă volatilitatea lor ridicată.</w:t>
      </w:r>
    </w:p>
    <w:p w:rsidR="00D53FFE" w:rsidRPr="00D53FFE" w:rsidRDefault="00D53FFE" w:rsidP="00B71F3A">
      <w:pPr>
        <w:pStyle w:val="BodyTextIndent"/>
        <w:spacing w:after="0" w:line="240" w:lineRule="auto"/>
        <w:ind w:left="0"/>
        <w:rPr>
          <w:rFonts w:ascii="Arial" w:hAnsi="Arial" w:cs="Arial"/>
          <w:sz w:val="24"/>
          <w:szCs w:val="24"/>
        </w:rPr>
      </w:pPr>
      <w:r w:rsidRPr="00D53FFE">
        <w:rPr>
          <w:rFonts w:ascii="Arial" w:hAnsi="Arial" w:cs="Arial"/>
          <w:sz w:val="24"/>
          <w:szCs w:val="24"/>
        </w:rPr>
        <w:t xml:space="preserve">Aceste emisii sunt generate preponderent din activităţile de extractie, de stocare şi distribuţie a combustibililor fosili. </w:t>
      </w:r>
    </w:p>
    <w:p w:rsidR="00D53FFE" w:rsidRDefault="00D53FFE" w:rsidP="00D53FFE">
      <w:pPr>
        <w:pStyle w:val="BodyTextIndent"/>
        <w:spacing w:after="0" w:line="240" w:lineRule="auto"/>
        <w:ind w:left="284" w:firstLine="709"/>
        <w:rPr>
          <w:rFonts w:ascii="Arial" w:hAnsi="Arial" w:cs="Arial"/>
        </w:rPr>
      </w:pPr>
    </w:p>
    <w:p w:rsidR="00D53FFE" w:rsidRPr="00D37B40" w:rsidRDefault="00D53FFE" w:rsidP="00D53FFE">
      <w:pPr>
        <w:rPr>
          <w:rFonts w:ascii="Arial" w:hAnsi="Arial" w:cs="Arial"/>
        </w:rPr>
      </w:pPr>
    </w:p>
    <w:p w:rsidR="00FB7BDB" w:rsidRDefault="00D53FFE" w:rsidP="00D53FFE">
      <w:pPr>
        <w:rPr>
          <w:rFonts w:ascii="Arial" w:hAnsi="Arial" w:cs="Arial"/>
          <w:b/>
          <w:lang w:val="fr-BE"/>
        </w:rPr>
      </w:pPr>
      <w:r w:rsidRPr="00D53FFE">
        <w:rPr>
          <w:rFonts w:ascii="Arial" w:hAnsi="Arial" w:cs="Arial"/>
          <w:b/>
          <w:lang w:val="fr-BE"/>
        </w:rPr>
        <w:t>Emisiile de particule primare și precursori secundari de particule</w:t>
      </w:r>
      <w:r>
        <w:rPr>
          <w:rFonts w:ascii="Arial" w:hAnsi="Arial" w:cs="Arial"/>
          <w:b/>
          <w:lang w:val="fr-BE"/>
        </w:rPr>
        <w:t xml:space="preserve"> </w:t>
      </w:r>
    </w:p>
    <w:p w:rsidR="00D53FFE" w:rsidRPr="00865683" w:rsidRDefault="00D53FFE" w:rsidP="00D53FFE">
      <w:pPr>
        <w:rPr>
          <w:rFonts w:ascii="Arial" w:hAnsi="Arial" w:cs="Arial"/>
        </w:rPr>
      </w:pPr>
      <w:r w:rsidRPr="00865683">
        <w:rPr>
          <w:rFonts w:ascii="Arial" w:hAnsi="Arial" w:cs="Arial"/>
        </w:rPr>
        <w:t>Cod indicator România RO 03</w:t>
      </w:r>
    </w:p>
    <w:p w:rsidR="00D53FFE" w:rsidRPr="00D53FFE" w:rsidRDefault="00D53FFE" w:rsidP="00D53FFE">
      <w:pPr>
        <w:rPr>
          <w:rFonts w:ascii="Arial" w:hAnsi="Arial" w:cs="Arial"/>
          <w:b/>
          <w:lang w:val="fr-BE"/>
        </w:rPr>
      </w:pPr>
    </w:p>
    <w:p w:rsidR="00D53FFE" w:rsidRDefault="00D53FFE" w:rsidP="00D53FFE">
      <w:pPr>
        <w:jc w:val="both"/>
        <w:rPr>
          <w:rFonts w:ascii="Arial" w:hAnsi="Arial" w:cs="Arial"/>
          <w:lang w:val="fr-BE"/>
        </w:rPr>
      </w:pPr>
      <w:r>
        <w:rPr>
          <w:rFonts w:ascii="Arial" w:hAnsi="Arial" w:cs="Arial"/>
          <w:lang w:val="fr-BE"/>
        </w:rPr>
        <w:t>Indicatorul urmărește tendințele emisiilor de particule primare cu diametrul mai mic de 2,5µm (PM</w:t>
      </w:r>
      <w:r w:rsidRPr="00AC7ABD">
        <w:rPr>
          <w:rFonts w:ascii="Arial" w:hAnsi="Arial" w:cs="Arial"/>
          <w:vertAlign w:val="subscript"/>
          <w:lang w:val="fr-BE"/>
        </w:rPr>
        <w:t>2,5</w:t>
      </w:r>
      <w:r>
        <w:rPr>
          <w:rFonts w:ascii="Arial" w:hAnsi="Arial" w:cs="Arial"/>
          <w:lang w:val="fr-BE"/>
        </w:rPr>
        <w:t>) și respectiv 10µm (PM</w:t>
      </w:r>
      <w:r>
        <w:rPr>
          <w:rFonts w:ascii="Arial" w:hAnsi="Arial" w:cs="Arial"/>
          <w:vertAlign w:val="subscript"/>
          <w:lang w:val="fr-BE"/>
        </w:rPr>
        <w:t>10</w:t>
      </w:r>
      <w:r>
        <w:rPr>
          <w:rFonts w:ascii="Arial" w:hAnsi="Arial" w:cs="Arial"/>
          <w:lang w:val="fr-BE"/>
        </w:rPr>
        <w:t>) provenite de la sursele antropice pe sectoare de sursă: producția și distribuția energiei, utilizarea energiei în industrie, procesele industriale, transportul rutier, nerutier, sectorul comercial, industrial.</w:t>
      </w:r>
    </w:p>
    <w:p w:rsidR="00D53FFE" w:rsidRDefault="00D53FFE" w:rsidP="00D53FFE">
      <w:pPr>
        <w:rPr>
          <w:rFonts w:ascii="Arial" w:hAnsi="Arial" w:cs="Arial"/>
          <w:lang w:val="fr-BE"/>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lastRenderedPageBreak/>
        <w:t>Fig. nr.I.2.1-</w:t>
      </w:r>
      <w:r>
        <w:rPr>
          <w:rFonts w:ascii="Arial" w:hAnsi="Arial" w:cs="Arial"/>
          <w:b/>
        </w:rPr>
        <w:t xml:space="preserve"> </w:t>
      </w:r>
      <w:r w:rsidRPr="00E018F0">
        <w:rPr>
          <w:rFonts w:ascii="Arial" w:hAnsi="Arial" w:cs="Arial"/>
          <w:b/>
        </w:rPr>
        <w:t>3</w:t>
      </w:r>
    </w:p>
    <w:p w:rsidR="00EB0523" w:rsidRPr="00E018F0" w:rsidRDefault="00EB0523" w:rsidP="00D53FFE">
      <w:pPr>
        <w:jc w:val="both"/>
        <w:rPr>
          <w:rFonts w:ascii="Arial" w:hAnsi="Arial" w:cs="Arial"/>
          <w:b/>
        </w:rPr>
      </w:pPr>
    </w:p>
    <w:p w:rsidR="00D53FFE" w:rsidRDefault="00D53FFE" w:rsidP="00FB7BDB">
      <w:pPr>
        <w:jc w:val="center"/>
        <w:rPr>
          <w:rFonts w:ascii="Arial" w:hAnsi="Arial" w:cs="Arial"/>
        </w:rPr>
      </w:pPr>
      <w:r w:rsidRPr="00900E48">
        <w:rPr>
          <w:rFonts w:ascii="Arial" w:hAnsi="Arial" w:cs="Arial"/>
          <w:noProof/>
          <w:lang w:val="ro-RO" w:eastAsia="ro-RO"/>
        </w:rPr>
        <w:drawing>
          <wp:inline distT="0" distB="0" distL="0" distR="0">
            <wp:extent cx="4724400" cy="3133725"/>
            <wp:effectExtent l="19050" t="0" r="19050" b="0"/>
            <wp:docPr id="3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3"/>
              </a:graphicData>
            </a:graphic>
          </wp:inline>
        </w:drawing>
      </w:r>
    </w:p>
    <w:p w:rsidR="00FB7BDB" w:rsidRDefault="00FB7BDB" w:rsidP="00D53FFE">
      <w:pPr>
        <w:rPr>
          <w:rFonts w:ascii="Arial" w:hAnsi="Arial" w:cs="Arial"/>
          <w:lang w:val="fr-BE"/>
        </w:rPr>
      </w:pPr>
    </w:p>
    <w:p w:rsidR="00FB7BDB" w:rsidRDefault="00FB7BDB" w:rsidP="00D53FFE">
      <w:pPr>
        <w:rPr>
          <w:rFonts w:ascii="Arial" w:hAnsi="Arial" w:cs="Arial"/>
          <w:lang w:val="fr-BE"/>
        </w:rPr>
      </w:pPr>
    </w:p>
    <w:p w:rsidR="00FB7BDB" w:rsidRDefault="00D53FFE" w:rsidP="00FB7BDB">
      <w:pPr>
        <w:rPr>
          <w:rFonts w:ascii="Arial" w:hAnsi="Arial" w:cs="Arial"/>
          <w:lang w:val="fr-BE"/>
        </w:rPr>
      </w:pPr>
      <w:r w:rsidRPr="00FB7BDB">
        <w:rPr>
          <w:rFonts w:ascii="Arial" w:hAnsi="Arial" w:cs="Arial"/>
          <w:b/>
          <w:lang w:val="fr-BE"/>
        </w:rPr>
        <w:t>Emisiile de metale grele</w:t>
      </w:r>
      <w:r w:rsidR="00FB7BDB">
        <w:rPr>
          <w:rFonts w:ascii="Arial" w:hAnsi="Arial" w:cs="Arial"/>
          <w:lang w:val="fr-BE"/>
        </w:rPr>
        <w:t xml:space="preserve"> </w:t>
      </w:r>
    </w:p>
    <w:p w:rsidR="00FB7BDB" w:rsidRPr="009D7F1C" w:rsidRDefault="00FB7BDB" w:rsidP="00FB7BDB">
      <w:pPr>
        <w:rPr>
          <w:rFonts w:ascii="Arial" w:hAnsi="Arial" w:cs="Arial"/>
          <w:lang w:val="fr-BE"/>
        </w:rPr>
      </w:pPr>
      <w:r>
        <w:rPr>
          <w:rFonts w:ascii="Arial" w:hAnsi="Arial" w:cs="Arial"/>
          <w:lang w:val="fr-BE"/>
        </w:rPr>
        <w:t>Cod indicator România RO 38</w:t>
      </w:r>
    </w:p>
    <w:p w:rsidR="00D53FFE" w:rsidRDefault="00D53FFE" w:rsidP="00D53FFE">
      <w:pPr>
        <w:tabs>
          <w:tab w:val="left" w:pos="5025"/>
        </w:tabs>
        <w:rPr>
          <w:rFonts w:ascii="Arial" w:hAnsi="Arial" w:cs="Arial"/>
          <w:lang w:val="fr-BE"/>
        </w:rPr>
      </w:pPr>
    </w:p>
    <w:p w:rsidR="00D53FFE" w:rsidRDefault="00D53FFE" w:rsidP="00D53FFE">
      <w:pPr>
        <w:jc w:val="both"/>
        <w:rPr>
          <w:rFonts w:ascii="Arial" w:hAnsi="Arial" w:cs="Arial"/>
          <w:lang w:val="fr-BE"/>
        </w:rPr>
      </w:pPr>
      <w:r>
        <w:rPr>
          <w:rFonts w:ascii="Arial" w:hAnsi="Arial" w:cs="Arial"/>
          <w:lang w:val="fr-BE"/>
        </w:rPr>
        <w:t>Indicatorul urmărește tendințele emisiilor antropice pe sectoare de activitate: producția și distribuția energiei, utilizarea energiei în industrie, procesele industriale, transportul rutier, nerutier, sectorul comercial, industrial.</w:t>
      </w:r>
    </w:p>
    <w:p w:rsidR="00D53FFE" w:rsidRPr="00BF3397" w:rsidRDefault="00D53FFE" w:rsidP="00D53FFE">
      <w:pPr>
        <w:tabs>
          <w:tab w:val="left" w:pos="5025"/>
        </w:tabs>
        <w:rPr>
          <w:rFonts w:ascii="Arial" w:hAnsi="Arial" w:cs="Arial"/>
          <w:lang w:val="fr-BE"/>
        </w:rPr>
      </w:pPr>
      <w:r w:rsidRPr="00334127">
        <w:rPr>
          <w:rFonts w:ascii="Arial" w:hAnsi="Arial" w:cs="Arial"/>
        </w:rPr>
        <w:t xml:space="preserve">Principalele activităţi generatoare de emisii cu conţinut de metale grele </w:t>
      </w:r>
      <w:r>
        <w:rPr>
          <w:rFonts w:ascii="Arial" w:hAnsi="Arial" w:cs="Arial"/>
        </w:rPr>
        <w:t>sunt traficul naval,</w:t>
      </w:r>
      <w:r w:rsidRPr="00334127">
        <w:rPr>
          <w:rFonts w:ascii="Arial" w:hAnsi="Arial" w:cs="Arial"/>
        </w:rPr>
        <w:t xml:space="preserve"> traficul rutier</w:t>
      </w:r>
      <w:r>
        <w:rPr>
          <w:rFonts w:ascii="Arial" w:hAnsi="Arial" w:cs="Arial"/>
        </w:rPr>
        <w:t>.</w:t>
      </w:r>
      <w:r w:rsidRPr="00BF3397">
        <w:rPr>
          <w:rFonts w:ascii="Arial" w:hAnsi="Arial" w:cs="Arial"/>
          <w:lang w:val="fr-BE"/>
        </w:rPr>
        <w:tab/>
      </w:r>
    </w:p>
    <w:p w:rsidR="00FB7BDB" w:rsidRDefault="00D53FFE" w:rsidP="00FB7BDB">
      <w:pPr>
        <w:jc w:val="both"/>
        <w:rPr>
          <w:rFonts w:ascii="Arial" w:hAnsi="Arial" w:cs="Arial"/>
          <w:b/>
        </w:rPr>
      </w:pPr>
      <w:r w:rsidRPr="00E018F0">
        <w:rPr>
          <w:rFonts w:ascii="Arial" w:hAnsi="Arial" w:cs="Arial"/>
          <w:b/>
        </w:rPr>
        <w:t>Fig. nr.I.2.1-</w:t>
      </w:r>
      <w:r w:rsidR="00FB7BDB">
        <w:rPr>
          <w:rFonts w:ascii="Arial" w:hAnsi="Arial" w:cs="Arial"/>
          <w:b/>
        </w:rPr>
        <w:t xml:space="preserve"> </w:t>
      </w:r>
      <w:r w:rsidRPr="00E018F0">
        <w:rPr>
          <w:rFonts w:ascii="Arial" w:hAnsi="Arial" w:cs="Arial"/>
          <w:b/>
        </w:rPr>
        <w:t>4</w:t>
      </w:r>
    </w:p>
    <w:p w:rsidR="00FB7BDB" w:rsidRDefault="00FB7BDB" w:rsidP="00FB7BDB">
      <w:pPr>
        <w:jc w:val="both"/>
        <w:rPr>
          <w:rFonts w:ascii="Arial" w:hAnsi="Arial" w:cs="Arial"/>
          <w:b/>
        </w:rPr>
      </w:pPr>
    </w:p>
    <w:p w:rsidR="00EB0523" w:rsidRDefault="00C71C6A" w:rsidP="00FB7BDB">
      <w:pPr>
        <w:jc w:val="both"/>
        <w:rPr>
          <w:rFonts w:ascii="Arial" w:hAnsi="Arial" w:cs="Arial"/>
          <w:b/>
        </w:rPr>
      </w:pPr>
      <w:r>
        <w:rPr>
          <w:rFonts w:ascii="Arial" w:hAnsi="Arial" w:cs="Arial"/>
          <w:b/>
          <w:noProof/>
          <w:lang w:val="ro-RO" w:eastAsia="ro-RO"/>
        </w:rPr>
        <w:drawing>
          <wp:anchor distT="0" distB="0" distL="114300" distR="114300" simplePos="0" relativeHeight="251662336" behindDoc="0" locked="0" layoutInCell="1" allowOverlap="1">
            <wp:simplePos x="0" y="0"/>
            <wp:positionH relativeFrom="column">
              <wp:posOffset>836295</wp:posOffset>
            </wp:positionH>
            <wp:positionV relativeFrom="paragraph">
              <wp:posOffset>120015</wp:posOffset>
            </wp:positionV>
            <wp:extent cx="4772025" cy="3009900"/>
            <wp:effectExtent l="19050" t="0" r="9525" b="0"/>
            <wp:wrapSquare wrapText="bothSides"/>
            <wp:docPr id="5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4"/>
              </a:graphicData>
            </a:graphic>
          </wp:anchor>
        </w:drawing>
      </w:r>
    </w:p>
    <w:p w:rsidR="00EB0523" w:rsidRDefault="00D53FFE" w:rsidP="00EB0523">
      <w:pPr>
        <w:jc w:val="both"/>
        <w:rPr>
          <w:rFonts w:ascii="Arial" w:hAnsi="Arial" w:cs="Arial"/>
          <w:lang w:val="en-US"/>
        </w:rPr>
      </w:pPr>
      <w:r>
        <w:rPr>
          <w:rFonts w:ascii="Arial" w:hAnsi="Arial" w:cs="Arial"/>
        </w:rPr>
        <w:br w:type="textWrapping" w:clear="all"/>
      </w:r>
    </w:p>
    <w:p w:rsidR="00EB0523" w:rsidRDefault="00D53FFE" w:rsidP="00EB0523">
      <w:pPr>
        <w:rPr>
          <w:rFonts w:ascii="Arial" w:hAnsi="Arial" w:cs="Arial"/>
          <w:b/>
          <w:lang w:val="fr-BE"/>
        </w:rPr>
      </w:pPr>
      <w:r w:rsidRPr="00EB0523">
        <w:rPr>
          <w:rFonts w:ascii="Arial" w:hAnsi="Arial" w:cs="Arial"/>
          <w:b/>
          <w:lang w:val="fr-BE"/>
        </w:rPr>
        <w:t>Emisiile de poluanți organici persistenți</w:t>
      </w:r>
      <w:r w:rsidRPr="00EB0523">
        <w:rPr>
          <w:rFonts w:ascii="Arial" w:hAnsi="Arial" w:cs="Arial"/>
          <w:b/>
          <w:lang w:val="fr-BE"/>
        </w:rPr>
        <w:tab/>
      </w:r>
    </w:p>
    <w:p w:rsidR="00EB0523" w:rsidRPr="00865683" w:rsidRDefault="00EB0523" w:rsidP="00EB0523">
      <w:pPr>
        <w:rPr>
          <w:rFonts w:ascii="Arial" w:hAnsi="Arial" w:cs="Arial"/>
          <w:lang w:val="en-US"/>
        </w:rPr>
      </w:pPr>
      <w:r w:rsidRPr="00865683">
        <w:rPr>
          <w:rFonts w:ascii="Arial" w:hAnsi="Arial" w:cs="Arial"/>
          <w:lang w:val="en-US"/>
        </w:rPr>
        <w:lastRenderedPageBreak/>
        <w:t>Cod indicator România RO 39</w:t>
      </w:r>
    </w:p>
    <w:p w:rsidR="00D53FFE" w:rsidRPr="00EB0523" w:rsidRDefault="00D53FFE" w:rsidP="00D53FFE">
      <w:pPr>
        <w:tabs>
          <w:tab w:val="left" w:pos="5025"/>
        </w:tabs>
        <w:rPr>
          <w:rFonts w:ascii="Arial" w:hAnsi="Arial" w:cs="Arial"/>
          <w:b/>
          <w:lang w:val="fr-BE"/>
        </w:rPr>
      </w:pPr>
    </w:p>
    <w:p w:rsidR="00D53FFE" w:rsidRDefault="00D53FFE" w:rsidP="00D53FFE">
      <w:pPr>
        <w:jc w:val="both"/>
        <w:rPr>
          <w:rFonts w:ascii="Arial" w:hAnsi="Arial" w:cs="Arial"/>
          <w:lang w:val="fr-BE"/>
        </w:rPr>
      </w:pPr>
      <w:r>
        <w:rPr>
          <w:rFonts w:ascii="Arial" w:hAnsi="Arial" w:cs="Arial"/>
          <w:lang w:val="fr-BE"/>
        </w:rPr>
        <w:t>Indicatorul urmărește tendințele emisiilor antropice de poluanți organici persistenți, de hidrocarburi aromatice policiclice (PAH) pe sectoare de activitate: producția și distribuția energiei, utilizarea energiei în industrie, procesele industriale, transportul rutier, nerutier, sectorul comercial, industrial, agricultura, depozitele de deșeuri.</w:t>
      </w:r>
    </w:p>
    <w:p w:rsidR="00D53FFE" w:rsidRPr="00334127" w:rsidRDefault="00D53FFE" w:rsidP="00D53FFE">
      <w:pPr>
        <w:jc w:val="both"/>
        <w:rPr>
          <w:rFonts w:ascii="Arial" w:hAnsi="Arial" w:cs="Arial"/>
        </w:rPr>
      </w:pPr>
      <w:r w:rsidRPr="00334127">
        <w:rPr>
          <w:rFonts w:ascii="Arial" w:hAnsi="Arial" w:cs="Arial"/>
        </w:rPr>
        <w:t>Poluanţii organici persistenţi sunt substanţe chimice foarte stabile, care se pot acumula în lanţurile trofice biologice, cu un grad mare de risc asupra sănătăţii omului şi mediului înconjurător.</w:t>
      </w:r>
    </w:p>
    <w:p w:rsidR="00D53FFE" w:rsidRPr="00E018F0" w:rsidRDefault="00D53FFE" w:rsidP="00D53FFE">
      <w:pPr>
        <w:jc w:val="both"/>
        <w:rPr>
          <w:rFonts w:ascii="Arial" w:hAnsi="Arial" w:cs="Arial"/>
          <w:b/>
        </w:rPr>
      </w:pPr>
      <w:r w:rsidRPr="00E018F0">
        <w:rPr>
          <w:rFonts w:ascii="Arial" w:hAnsi="Arial" w:cs="Arial"/>
          <w:b/>
        </w:rPr>
        <w:t>Fig. nr.I.2.1-</w:t>
      </w:r>
      <w:r w:rsidR="00EB0523">
        <w:rPr>
          <w:rFonts w:ascii="Arial" w:hAnsi="Arial" w:cs="Arial"/>
          <w:b/>
        </w:rPr>
        <w:t xml:space="preserve"> </w:t>
      </w:r>
      <w:r w:rsidRPr="00E018F0">
        <w:rPr>
          <w:rFonts w:ascii="Arial" w:hAnsi="Arial" w:cs="Arial"/>
          <w:b/>
        </w:rPr>
        <w:t>5</w:t>
      </w:r>
    </w:p>
    <w:p w:rsidR="00D53FFE" w:rsidRDefault="00D53FFE" w:rsidP="00D53FFE">
      <w:pPr>
        <w:rPr>
          <w:rFonts w:ascii="Arial" w:hAnsi="Arial" w:cs="Arial"/>
          <w:lang w:val="en-US"/>
        </w:rPr>
      </w:pPr>
    </w:p>
    <w:p w:rsidR="00D53FFE" w:rsidRDefault="00D53FFE" w:rsidP="00EB0523">
      <w:pPr>
        <w:jc w:val="center"/>
        <w:rPr>
          <w:rFonts w:ascii="Arial" w:hAnsi="Arial" w:cs="Arial"/>
        </w:rPr>
      </w:pPr>
      <w:r w:rsidRPr="00DA4A96">
        <w:rPr>
          <w:rFonts w:ascii="Arial" w:hAnsi="Arial" w:cs="Arial"/>
          <w:noProof/>
          <w:lang w:val="ro-RO" w:eastAsia="ro-RO"/>
        </w:rPr>
        <w:drawing>
          <wp:inline distT="0" distB="0" distL="0" distR="0">
            <wp:extent cx="4762500" cy="3133725"/>
            <wp:effectExtent l="19050" t="0" r="19050" b="0"/>
            <wp:docPr id="3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5"/>
              </a:graphicData>
            </a:graphic>
          </wp:inline>
        </w:drawing>
      </w:r>
    </w:p>
    <w:p w:rsidR="00D53FFE" w:rsidRPr="00D37B40" w:rsidRDefault="00D53FFE" w:rsidP="00D53FFE">
      <w:pPr>
        <w:jc w:val="both"/>
        <w:rPr>
          <w:rFonts w:ascii="Arial" w:hAnsi="Arial" w:cs="Arial"/>
          <w:lang w:val="fr-FR"/>
        </w:rPr>
      </w:pPr>
    </w:p>
    <w:p w:rsidR="00FB7BDB" w:rsidRDefault="00FB7BDB" w:rsidP="00FB7BDB">
      <w:pPr>
        <w:jc w:val="both"/>
        <w:rPr>
          <w:rFonts w:ascii="Arial" w:hAnsi="Arial" w:cs="Arial"/>
        </w:rPr>
      </w:pPr>
    </w:p>
    <w:p w:rsidR="00EB0523" w:rsidRDefault="00EB0523" w:rsidP="00FB7BDB">
      <w:pPr>
        <w:jc w:val="both"/>
        <w:rPr>
          <w:rFonts w:ascii="Arial" w:hAnsi="Arial" w:cs="Arial"/>
          <w:b/>
        </w:rPr>
      </w:pPr>
    </w:p>
    <w:p w:rsidR="00D53FFE" w:rsidRPr="00EB0523" w:rsidRDefault="00D53FFE" w:rsidP="00FB7BDB">
      <w:pPr>
        <w:jc w:val="both"/>
        <w:rPr>
          <w:rFonts w:ascii="Arial" w:hAnsi="Arial" w:cs="Arial"/>
          <w:b/>
        </w:rPr>
      </w:pPr>
      <w:r w:rsidRPr="00EB0523">
        <w:rPr>
          <w:rFonts w:ascii="Arial" w:hAnsi="Arial" w:cs="Arial"/>
          <w:b/>
        </w:rPr>
        <w:t>I.2.1.2. Industria</w:t>
      </w:r>
    </w:p>
    <w:p w:rsidR="00FB7BDB" w:rsidRDefault="00FB7BDB" w:rsidP="00D53FFE">
      <w:pPr>
        <w:rPr>
          <w:rFonts w:ascii="Arial" w:hAnsi="Arial" w:cs="Arial"/>
          <w:lang w:val="en-US"/>
        </w:rPr>
      </w:pPr>
    </w:p>
    <w:p w:rsidR="00D53FFE" w:rsidRDefault="00D53FFE" w:rsidP="00D53FFE">
      <w:pPr>
        <w:rPr>
          <w:rFonts w:ascii="Arial" w:hAnsi="Arial" w:cs="Arial"/>
          <w:b/>
          <w:lang w:val="fr-BE"/>
        </w:rPr>
      </w:pPr>
      <w:r w:rsidRPr="00EB0523">
        <w:rPr>
          <w:rFonts w:ascii="Arial" w:hAnsi="Arial" w:cs="Arial"/>
          <w:b/>
          <w:lang w:val="fr-BE"/>
        </w:rPr>
        <w:t>Emisiile de substanțe acidifiante</w:t>
      </w:r>
    </w:p>
    <w:p w:rsidR="00EB0523" w:rsidRPr="003F517B" w:rsidRDefault="00EB0523" w:rsidP="00EB0523">
      <w:pPr>
        <w:rPr>
          <w:rFonts w:ascii="Arial" w:hAnsi="Arial" w:cs="Arial"/>
          <w:lang w:val="en-US"/>
        </w:rPr>
      </w:pPr>
      <w:r w:rsidRPr="003F517B">
        <w:rPr>
          <w:rFonts w:ascii="Arial" w:hAnsi="Arial" w:cs="Arial"/>
          <w:lang w:val="en-US"/>
        </w:rPr>
        <w:t>Cod indicator România RO 01</w:t>
      </w:r>
    </w:p>
    <w:p w:rsidR="00EB0523" w:rsidRPr="00EB0523" w:rsidRDefault="00EB0523" w:rsidP="00D53FFE">
      <w:pPr>
        <w:rPr>
          <w:rFonts w:ascii="Arial" w:hAnsi="Arial" w:cs="Arial"/>
          <w:b/>
          <w:lang w:val="fr-BE"/>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EB0523" w:rsidRDefault="00EB0523"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nr.I.2.1.2-1</w:t>
      </w:r>
    </w:p>
    <w:p w:rsidR="00EB0523" w:rsidRPr="00E018F0" w:rsidRDefault="00EB0523" w:rsidP="00D53FFE">
      <w:pPr>
        <w:jc w:val="both"/>
        <w:rPr>
          <w:rFonts w:ascii="Arial" w:hAnsi="Arial" w:cs="Arial"/>
          <w:b/>
        </w:rPr>
      </w:pPr>
    </w:p>
    <w:p w:rsidR="00D53FFE" w:rsidRDefault="00D53FFE" w:rsidP="00FB7BDB">
      <w:pPr>
        <w:jc w:val="center"/>
        <w:rPr>
          <w:rFonts w:ascii="Arial" w:hAnsi="Arial" w:cs="Arial"/>
          <w:lang w:val="fr-BE"/>
        </w:rPr>
      </w:pPr>
      <w:r w:rsidRPr="009A23DB">
        <w:rPr>
          <w:rFonts w:ascii="Arial" w:hAnsi="Arial" w:cs="Arial"/>
          <w:noProof/>
          <w:lang w:val="ro-RO" w:eastAsia="ro-RO"/>
        </w:rPr>
        <w:lastRenderedPageBreak/>
        <w:drawing>
          <wp:inline distT="0" distB="0" distL="0" distR="0">
            <wp:extent cx="4876800" cy="3305175"/>
            <wp:effectExtent l="19050" t="0" r="19050" b="0"/>
            <wp:docPr id="3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6"/>
              </a:graphicData>
            </a:graphic>
          </wp:inline>
        </w:drawing>
      </w:r>
    </w:p>
    <w:p w:rsidR="00FB7BDB" w:rsidRDefault="00FB7BDB" w:rsidP="00D53FFE">
      <w:pPr>
        <w:tabs>
          <w:tab w:val="num" w:pos="0"/>
        </w:tabs>
        <w:jc w:val="both"/>
        <w:rPr>
          <w:rFonts w:ascii="Arial" w:hAnsi="Arial" w:cs="Arial"/>
          <w:lang w:val="fr-BE"/>
        </w:rPr>
      </w:pPr>
    </w:p>
    <w:p w:rsidR="00D53FFE" w:rsidRDefault="00D53FFE" w:rsidP="00D53FFE">
      <w:pPr>
        <w:tabs>
          <w:tab w:val="num" w:pos="0"/>
        </w:tabs>
        <w:jc w:val="both"/>
        <w:rPr>
          <w:rFonts w:ascii="Arial" w:hAnsi="Arial" w:cs="Arial"/>
        </w:rPr>
      </w:pPr>
      <w:r>
        <w:rPr>
          <w:rFonts w:ascii="Arial" w:hAnsi="Arial" w:cs="Arial"/>
          <w:lang w:val="fr-BE"/>
        </w:rPr>
        <w:t>În anul 2014 cele</w:t>
      </w:r>
      <w:r>
        <w:rPr>
          <w:rFonts w:ascii="Arial" w:hAnsi="Arial" w:cs="Arial"/>
        </w:rPr>
        <w:t xml:space="preserve"> două instalații mari de ardere nu au funcționat, SC CET SA a notificat APM Brăila în data de 26.03.2014  privind situația societății, meționând că s-au început demersurile legale în vederea deschiderii procedurii de insolvență. De asemenea SC Termoelectrica SA, devenită Societatea Complexul Energetic Oltenia SA  Sucursala Electrocentrale Chiscani nu a funcționat  în anul 2014.</w:t>
      </w:r>
    </w:p>
    <w:p w:rsidR="00B71F3A" w:rsidRDefault="00B71F3A" w:rsidP="00D53FFE">
      <w:pPr>
        <w:jc w:val="both"/>
        <w:rPr>
          <w:rFonts w:ascii="Arial" w:hAnsi="Arial" w:cs="Arial"/>
          <w:b/>
        </w:rPr>
      </w:pPr>
    </w:p>
    <w:p w:rsidR="00D53FFE" w:rsidRPr="00E018F0" w:rsidRDefault="00D53FFE" w:rsidP="00D53FFE">
      <w:pPr>
        <w:jc w:val="both"/>
        <w:rPr>
          <w:rFonts w:ascii="Arial" w:hAnsi="Arial" w:cs="Arial"/>
          <w:b/>
        </w:rPr>
      </w:pPr>
      <w:r w:rsidRPr="00E018F0">
        <w:rPr>
          <w:rFonts w:ascii="Arial" w:hAnsi="Arial" w:cs="Arial"/>
          <w:b/>
        </w:rPr>
        <w:t>Fig. nr.I.2.1.2-2</w:t>
      </w:r>
    </w:p>
    <w:p w:rsidR="00D53FFE" w:rsidRDefault="00D53FFE" w:rsidP="00D53FFE">
      <w:pPr>
        <w:rPr>
          <w:rFonts w:ascii="Arial" w:hAnsi="Arial" w:cs="Arial"/>
          <w:lang w:val="fr-BE"/>
        </w:rPr>
      </w:pPr>
    </w:p>
    <w:p w:rsidR="00D53FFE" w:rsidRDefault="00D53FFE" w:rsidP="00FB7BDB">
      <w:pPr>
        <w:jc w:val="center"/>
        <w:rPr>
          <w:rFonts w:ascii="Arial" w:hAnsi="Arial" w:cs="Arial"/>
          <w:lang w:val="fr-BE"/>
        </w:rPr>
      </w:pPr>
      <w:r w:rsidRPr="004F6013">
        <w:rPr>
          <w:rFonts w:ascii="Arial" w:hAnsi="Arial" w:cs="Arial"/>
          <w:noProof/>
          <w:lang w:val="ro-RO" w:eastAsia="ro-RO"/>
        </w:rPr>
        <w:drawing>
          <wp:inline distT="0" distB="0" distL="0" distR="0">
            <wp:extent cx="4591050" cy="3152775"/>
            <wp:effectExtent l="19050" t="0" r="19050" b="0"/>
            <wp:docPr id="3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7"/>
              </a:graphicData>
            </a:graphic>
          </wp:inline>
        </w:drawing>
      </w:r>
    </w:p>
    <w:p w:rsidR="00FB7BDB" w:rsidRDefault="00FB7BDB" w:rsidP="00D53FFE">
      <w:pPr>
        <w:jc w:val="both"/>
        <w:rPr>
          <w:rFonts w:ascii="Arial" w:hAnsi="Arial" w:cs="Arial"/>
          <w:b/>
        </w:rPr>
      </w:pPr>
    </w:p>
    <w:p w:rsidR="00FB7BDB" w:rsidRDefault="00FB7BDB" w:rsidP="00D53FFE">
      <w:pPr>
        <w:jc w:val="both"/>
        <w:rPr>
          <w:rFonts w:ascii="Arial" w:hAnsi="Arial" w:cs="Arial"/>
          <w:b/>
        </w:rPr>
      </w:pPr>
    </w:p>
    <w:p w:rsidR="00D53FFE" w:rsidRPr="00E018F0" w:rsidRDefault="00D53FFE" w:rsidP="00D53FFE">
      <w:pPr>
        <w:jc w:val="both"/>
        <w:rPr>
          <w:rFonts w:ascii="Arial" w:hAnsi="Arial" w:cs="Arial"/>
          <w:b/>
        </w:rPr>
      </w:pPr>
      <w:r w:rsidRPr="00E018F0">
        <w:rPr>
          <w:rFonts w:ascii="Arial" w:hAnsi="Arial" w:cs="Arial"/>
          <w:b/>
        </w:rPr>
        <w:t>Fig. nr.I.2.1.2-3</w:t>
      </w:r>
    </w:p>
    <w:p w:rsidR="00D53FFE" w:rsidRPr="003F517B" w:rsidRDefault="00D53FFE" w:rsidP="00FB7BDB">
      <w:pPr>
        <w:jc w:val="center"/>
        <w:rPr>
          <w:rFonts w:ascii="Arial" w:hAnsi="Arial" w:cs="Arial"/>
          <w:lang w:val="fr-BE"/>
        </w:rPr>
      </w:pPr>
      <w:r w:rsidRPr="00993E19">
        <w:rPr>
          <w:rFonts w:ascii="Arial" w:hAnsi="Arial" w:cs="Arial"/>
          <w:noProof/>
          <w:lang w:val="ro-RO" w:eastAsia="ro-RO"/>
        </w:rPr>
        <w:lastRenderedPageBreak/>
        <w:drawing>
          <wp:inline distT="0" distB="0" distL="0" distR="0">
            <wp:extent cx="5257800" cy="3352800"/>
            <wp:effectExtent l="19050" t="0" r="19050" b="0"/>
            <wp:docPr id="1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8"/>
              </a:graphicData>
            </a:graphic>
          </wp:inline>
        </w:drawing>
      </w:r>
    </w:p>
    <w:p w:rsidR="00FB7BDB" w:rsidRDefault="00FB7BDB" w:rsidP="00D53FFE">
      <w:pPr>
        <w:rPr>
          <w:rFonts w:ascii="Arial" w:hAnsi="Arial" w:cs="Arial"/>
          <w:lang w:val="fr-BE"/>
        </w:rPr>
      </w:pPr>
    </w:p>
    <w:p w:rsidR="006C3824" w:rsidRPr="0026738F" w:rsidRDefault="00D53FFE" w:rsidP="006C3824">
      <w:pPr>
        <w:rPr>
          <w:rFonts w:ascii="Arial" w:hAnsi="Arial" w:cs="Arial"/>
          <w:lang w:val="fr-BE"/>
        </w:rPr>
      </w:pPr>
      <w:r w:rsidRPr="006C3824">
        <w:rPr>
          <w:rFonts w:ascii="Arial" w:hAnsi="Arial" w:cs="Arial"/>
          <w:b/>
          <w:lang w:val="fr-BE"/>
        </w:rPr>
        <w:t>Emisiile de precursori ai ozonului</w:t>
      </w:r>
      <w:r w:rsidR="006C3824">
        <w:rPr>
          <w:rFonts w:ascii="Arial" w:hAnsi="Arial" w:cs="Arial"/>
          <w:b/>
          <w:lang w:val="fr-BE"/>
        </w:rPr>
        <w:t xml:space="preserve"> - </w:t>
      </w:r>
      <w:r w:rsidR="006C3824" w:rsidRPr="0026738F">
        <w:rPr>
          <w:rFonts w:ascii="Arial" w:hAnsi="Arial" w:cs="Arial"/>
          <w:lang w:val="fr-BE"/>
        </w:rPr>
        <w:t>Cod indicator România RO 02</w:t>
      </w:r>
    </w:p>
    <w:p w:rsidR="00D53FFE" w:rsidRPr="006C3824" w:rsidRDefault="00D53FFE" w:rsidP="00D53FFE">
      <w:pPr>
        <w:rPr>
          <w:rFonts w:ascii="Arial" w:hAnsi="Arial" w:cs="Arial"/>
          <w:b/>
          <w:lang w:val="fr-BE"/>
        </w:rPr>
      </w:pPr>
    </w:p>
    <w:p w:rsidR="00D53FFE" w:rsidRDefault="00D53FFE" w:rsidP="00D53FFE">
      <w:pPr>
        <w:jc w:val="both"/>
        <w:rPr>
          <w:rFonts w:ascii="Arial" w:hAnsi="Arial" w:cs="Arial"/>
          <w:b/>
        </w:rPr>
      </w:pPr>
      <w:r w:rsidRPr="00E018F0">
        <w:rPr>
          <w:rFonts w:ascii="Arial" w:hAnsi="Arial" w:cs="Arial"/>
          <w:b/>
        </w:rPr>
        <w:t>Fig. nr.I.2.1.2-</w:t>
      </w:r>
      <w:r w:rsidR="006C3824">
        <w:rPr>
          <w:rFonts w:ascii="Arial" w:hAnsi="Arial" w:cs="Arial"/>
          <w:b/>
        </w:rPr>
        <w:t xml:space="preserve"> </w:t>
      </w:r>
      <w:r w:rsidRPr="00E018F0">
        <w:rPr>
          <w:rFonts w:ascii="Arial" w:hAnsi="Arial" w:cs="Arial"/>
          <w:b/>
        </w:rPr>
        <w:t>4</w:t>
      </w:r>
    </w:p>
    <w:p w:rsidR="00C71C6A" w:rsidRDefault="00C71C6A" w:rsidP="00D53FFE">
      <w:pPr>
        <w:jc w:val="both"/>
        <w:rPr>
          <w:rFonts w:ascii="Arial" w:hAnsi="Arial" w:cs="Arial"/>
          <w:b/>
        </w:rPr>
      </w:pPr>
    </w:p>
    <w:p w:rsidR="00D53FFE" w:rsidRPr="00E018F0" w:rsidRDefault="00401BFC" w:rsidP="00D53FFE">
      <w:pPr>
        <w:jc w:val="both"/>
        <w:rPr>
          <w:rFonts w:ascii="Arial" w:hAnsi="Arial" w:cs="Arial"/>
          <w:lang w:val="en-US"/>
        </w:rPr>
      </w:pPr>
      <w:r>
        <w:rPr>
          <w:rFonts w:ascii="Arial" w:hAnsi="Arial" w:cs="Arial"/>
          <w:noProof/>
          <w:lang w:val="ro-RO" w:eastAsia="ro-RO"/>
        </w:rPr>
        <w:drawing>
          <wp:anchor distT="0" distB="0" distL="114300" distR="114300" simplePos="0" relativeHeight="251660288" behindDoc="0" locked="0" layoutInCell="1" allowOverlap="1">
            <wp:simplePos x="0" y="0"/>
            <wp:positionH relativeFrom="column">
              <wp:posOffset>769620</wp:posOffset>
            </wp:positionH>
            <wp:positionV relativeFrom="paragraph">
              <wp:posOffset>230505</wp:posOffset>
            </wp:positionV>
            <wp:extent cx="4791075" cy="3238500"/>
            <wp:effectExtent l="19050" t="0" r="9525" b="0"/>
            <wp:wrapSquare wrapText="bothSides"/>
            <wp:docPr id="3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29"/>
              </a:graphicData>
            </a:graphic>
          </wp:anchor>
        </w:drawing>
      </w:r>
      <w:r w:rsidR="00D53FFE" w:rsidRPr="00E018F0">
        <w:rPr>
          <w:rFonts w:ascii="Arial" w:hAnsi="Arial" w:cs="Arial"/>
          <w:lang w:val="en-US"/>
        </w:rPr>
        <w:br w:type="textWrapping" w:clear="all"/>
      </w:r>
    </w:p>
    <w:p w:rsidR="006C3824" w:rsidRDefault="006C3824"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C71C6A" w:rsidRDefault="00C71C6A" w:rsidP="00D53FFE">
      <w:pPr>
        <w:rPr>
          <w:rFonts w:ascii="Arial" w:hAnsi="Arial" w:cs="Arial"/>
          <w:b/>
          <w:lang w:val="fr-BE"/>
        </w:rPr>
      </w:pPr>
    </w:p>
    <w:p w:rsidR="00D53FFE" w:rsidRDefault="00D53FFE" w:rsidP="00D53FFE">
      <w:pPr>
        <w:rPr>
          <w:rFonts w:ascii="Arial" w:hAnsi="Arial" w:cs="Arial"/>
          <w:b/>
          <w:lang w:val="fr-BE"/>
        </w:rPr>
      </w:pPr>
      <w:r w:rsidRPr="006C3824">
        <w:rPr>
          <w:rFonts w:ascii="Arial" w:hAnsi="Arial" w:cs="Arial"/>
          <w:b/>
          <w:lang w:val="fr-BE"/>
        </w:rPr>
        <w:t>Emisiile de particule primare și precursori secundari de particule</w:t>
      </w:r>
    </w:p>
    <w:p w:rsidR="006C3824" w:rsidRPr="00E018F0" w:rsidRDefault="006C3824" w:rsidP="006C3824">
      <w:pPr>
        <w:rPr>
          <w:rFonts w:ascii="Arial" w:hAnsi="Arial" w:cs="Arial"/>
          <w:lang w:val="en-US"/>
        </w:rPr>
      </w:pPr>
      <w:r w:rsidRPr="00E018F0">
        <w:rPr>
          <w:rFonts w:ascii="Arial" w:hAnsi="Arial" w:cs="Arial"/>
          <w:lang w:val="en-US"/>
        </w:rPr>
        <w:t>Cod indicator România RO 03</w:t>
      </w:r>
    </w:p>
    <w:p w:rsidR="006C3824" w:rsidRPr="006C3824" w:rsidRDefault="006C3824" w:rsidP="00D53FFE">
      <w:pPr>
        <w:rPr>
          <w:rFonts w:ascii="Arial" w:hAnsi="Arial" w:cs="Arial"/>
          <w:b/>
          <w:lang w:val="fr-BE"/>
        </w:rPr>
      </w:pPr>
    </w:p>
    <w:p w:rsidR="00D53FFE" w:rsidRPr="00E018F0" w:rsidRDefault="00D53FFE" w:rsidP="00D53FFE">
      <w:pPr>
        <w:jc w:val="both"/>
        <w:rPr>
          <w:rFonts w:ascii="Arial" w:hAnsi="Arial" w:cs="Arial"/>
          <w:b/>
        </w:rPr>
      </w:pPr>
      <w:r w:rsidRPr="00E018F0">
        <w:rPr>
          <w:rFonts w:ascii="Arial" w:hAnsi="Arial" w:cs="Arial"/>
          <w:b/>
        </w:rPr>
        <w:t>Fig. nr.I.2.1.2-5</w:t>
      </w:r>
    </w:p>
    <w:p w:rsidR="00D53FFE" w:rsidRDefault="00D53FFE" w:rsidP="00401BFC">
      <w:pPr>
        <w:jc w:val="center"/>
        <w:rPr>
          <w:rFonts w:ascii="Arial" w:hAnsi="Arial" w:cs="Arial"/>
        </w:rPr>
      </w:pPr>
      <w:r w:rsidRPr="0071390C">
        <w:rPr>
          <w:rFonts w:ascii="Arial" w:hAnsi="Arial" w:cs="Arial"/>
          <w:noProof/>
          <w:lang w:val="ro-RO" w:eastAsia="ro-RO"/>
        </w:rPr>
        <w:lastRenderedPageBreak/>
        <w:drawing>
          <wp:inline distT="0" distB="0" distL="0" distR="0">
            <wp:extent cx="4467225" cy="3133725"/>
            <wp:effectExtent l="19050" t="0" r="9525" b="0"/>
            <wp:docPr id="3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0"/>
              </a:graphicData>
            </a:graphic>
          </wp:inline>
        </w:drawing>
      </w:r>
    </w:p>
    <w:p w:rsidR="00401BFC" w:rsidRDefault="00401BFC" w:rsidP="00D53FFE">
      <w:pPr>
        <w:jc w:val="both"/>
        <w:rPr>
          <w:rFonts w:ascii="Arial" w:hAnsi="Arial" w:cs="Arial"/>
        </w:rPr>
      </w:pPr>
    </w:p>
    <w:p w:rsidR="006C3824" w:rsidRDefault="006C3824" w:rsidP="00D53FFE">
      <w:pPr>
        <w:tabs>
          <w:tab w:val="left" w:pos="5025"/>
        </w:tabs>
        <w:rPr>
          <w:rFonts w:ascii="Arial" w:hAnsi="Arial" w:cs="Arial"/>
          <w:b/>
          <w:lang w:val="fr-BE"/>
        </w:rPr>
      </w:pPr>
    </w:p>
    <w:p w:rsidR="006C3824" w:rsidRPr="006C3824" w:rsidRDefault="00D53FFE" w:rsidP="00D53FFE">
      <w:pPr>
        <w:tabs>
          <w:tab w:val="left" w:pos="5025"/>
        </w:tabs>
        <w:rPr>
          <w:rFonts w:ascii="Arial" w:hAnsi="Arial" w:cs="Arial"/>
          <w:b/>
          <w:lang w:val="fr-BE"/>
        </w:rPr>
      </w:pPr>
      <w:r w:rsidRPr="006C3824">
        <w:rPr>
          <w:rFonts w:ascii="Arial" w:hAnsi="Arial" w:cs="Arial"/>
          <w:b/>
          <w:lang w:val="fr-BE"/>
        </w:rPr>
        <w:t>Emisiile de poluanți organici persistenți</w:t>
      </w:r>
    </w:p>
    <w:p w:rsidR="006C3824" w:rsidRPr="009D7F1C" w:rsidRDefault="006C3824" w:rsidP="006C3824">
      <w:pPr>
        <w:rPr>
          <w:rFonts w:ascii="Arial" w:hAnsi="Arial" w:cs="Arial"/>
          <w:lang w:val="fr-BE"/>
        </w:rPr>
      </w:pPr>
      <w:r>
        <w:rPr>
          <w:rFonts w:ascii="Arial" w:hAnsi="Arial" w:cs="Arial"/>
          <w:lang w:val="fr-BE"/>
        </w:rPr>
        <w:t>Cod indicator România RO 39</w:t>
      </w:r>
    </w:p>
    <w:p w:rsidR="00D53FFE" w:rsidRPr="00246C15" w:rsidRDefault="00D53FFE" w:rsidP="00D53FFE">
      <w:pPr>
        <w:tabs>
          <w:tab w:val="left" w:pos="5025"/>
        </w:tabs>
        <w:rPr>
          <w:rFonts w:ascii="Arial" w:hAnsi="Arial" w:cs="Arial"/>
          <w:lang w:val="fr-BE"/>
        </w:rPr>
      </w:pPr>
      <w:r w:rsidRPr="00246C15">
        <w:rPr>
          <w:rFonts w:ascii="Arial" w:hAnsi="Arial" w:cs="Arial"/>
          <w:lang w:val="fr-BE"/>
        </w:rPr>
        <w:tab/>
      </w:r>
    </w:p>
    <w:p w:rsidR="00D53FFE" w:rsidRDefault="00D53FFE" w:rsidP="00D53FFE">
      <w:pPr>
        <w:jc w:val="both"/>
        <w:rPr>
          <w:rFonts w:ascii="Arial" w:hAnsi="Arial" w:cs="Arial"/>
          <w:b/>
        </w:rPr>
      </w:pPr>
      <w:r w:rsidRPr="00E018F0">
        <w:rPr>
          <w:rFonts w:ascii="Arial" w:hAnsi="Arial" w:cs="Arial"/>
          <w:b/>
        </w:rPr>
        <w:t>Fig. nr.I.2.1.2-6</w:t>
      </w:r>
    </w:p>
    <w:p w:rsidR="00401BFC" w:rsidRPr="00E018F0" w:rsidRDefault="00401BFC" w:rsidP="00D53FFE">
      <w:pPr>
        <w:jc w:val="both"/>
        <w:rPr>
          <w:rFonts w:ascii="Arial" w:hAnsi="Arial" w:cs="Arial"/>
          <w:b/>
        </w:rPr>
      </w:pPr>
    </w:p>
    <w:p w:rsidR="00D53FFE" w:rsidRDefault="00D53FFE" w:rsidP="00401BFC">
      <w:pPr>
        <w:jc w:val="center"/>
        <w:rPr>
          <w:rFonts w:ascii="Arial" w:hAnsi="Arial" w:cs="Arial"/>
        </w:rPr>
      </w:pPr>
      <w:r w:rsidRPr="0071390C">
        <w:rPr>
          <w:rFonts w:ascii="Arial" w:hAnsi="Arial" w:cs="Arial"/>
          <w:noProof/>
          <w:lang w:val="ro-RO" w:eastAsia="ro-RO"/>
        </w:rPr>
        <w:drawing>
          <wp:inline distT="0" distB="0" distL="0" distR="0">
            <wp:extent cx="4724400" cy="3152775"/>
            <wp:effectExtent l="19050" t="0" r="19050" b="0"/>
            <wp:docPr id="3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1"/>
              </a:graphicData>
            </a:graphic>
          </wp:inline>
        </w:drawing>
      </w:r>
    </w:p>
    <w:p w:rsidR="00401BFC" w:rsidRDefault="00401BFC" w:rsidP="00D53FFE">
      <w:pPr>
        <w:ind w:firstLine="708"/>
        <w:jc w:val="both"/>
        <w:rPr>
          <w:rFonts w:ascii="Arial" w:hAnsi="Arial" w:cs="Arial"/>
        </w:rPr>
      </w:pPr>
    </w:p>
    <w:p w:rsidR="00401BFC" w:rsidRDefault="00401BFC" w:rsidP="00D53FFE">
      <w:pPr>
        <w:ind w:firstLine="708"/>
        <w:jc w:val="both"/>
        <w:rPr>
          <w:rFonts w:ascii="Arial" w:hAnsi="Arial" w:cs="Arial"/>
        </w:rPr>
      </w:pPr>
    </w:p>
    <w:p w:rsidR="006C3824" w:rsidRDefault="006C3824" w:rsidP="00D53FFE">
      <w:pPr>
        <w:ind w:firstLine="708"/>
        <w:jc w:val="both"/>
        <w:rPr>
          <w:rFonts w:ascii="Arial" w:hAnsi="Arial" w:cs="Arial"/>
          <w:b/>
        </w:rPr>
      </w:pPr>
    </w:p>
    <w:p w:rsidR="00D53FFE" w:rsidRPr="006C3824" w:rsidRDefault="00D53FFE" w:rsidP="00D53FFE">
      <w:pPr>
        <w:ind w:firstLine="708"/>
        <w:jc w:val="both"/>
        <w:rPr>
          <w:rFonts w:ascii="Arial" w:hAnsi="Arial" w:cs="Arial"/>
          <w:b/>
        </w:rPr>
      </w:pPr>
      <w:r w:rsidRPr="006C3824">
        <w:rPr>
          <w:rFonts w:ascii="Arial" w:hAnsi="Arial" w:cs="Arial"/>
          <w:b/>
        </w:rPr>
        <w:t>I.2.1.3. Transportul</w:t>
      </w:r>
    </w:p>
    <w:p w:rsidR="00D53FFE" w:rsidRPr="006C3824" w:rsidRDefault="00D53FFE" w:rsidP="00D53FFE">
      <w:pPr>
        <w:rPr>
          <w:rFonts w:ascii="Arial" w:hAnsi="Arial" w:cs="Arial"/>
          <w:b/>
          <w:lang w:val="fr-BE"/>
        </w:rPr>
      </w:pPr>
      <w:r w:rsidRPr="006C3824">
        <w:rPr>
          <w:rFonts w:ascii="Arial" w:hAnsi="Arial" w:cs="Arial"/>
          <w:b/>
          <w:lang w:val="fr-BE"/>
        </w:rPr>
        <w:t>Emisiile de substanțe acidifiante</w:t>
      </w:r>
    </w:p>
    <w:p w:rsidR="006C3824" w:rsidRDefault="006C3824" w:rsidP="006C3824">
      <w:pPr>
        <w:rPr>
          <w:rFonts w:ascii="Arial" w:hAnsi="Arial" w:cs="Arial"/>
          <w:lang w:val="en-US"/>
        </w:rPr>
      </w:pPr>
      <w:r w:rsidRPr="002D3D6B">
        <w:rPr>
          <w:rFonts w:ascii="Arial" w:hAnsi="Arial" w:cs="Arial"/>
          <w:lang w:val="en-US"/>
        </w:rPr>
        <w:t>Cod indicator România RO 01</w:t>
      </w:r>
    </w:p>
    <w:p w:rsidR="006C3824" w:rsidRPr="003F1F50" w:rsidRDefault="006C3824" w:rsidP="00D53FFE">
      <w:pPr>
        <w:rPr>
          <w:rFonts w:ascii="Arial" w:hAnsi="Arial" w:cs="Arial"/>
          <w:lang w:val="fr-BE"/>
        </w:rPr>
      </w:pPr>
    </w:p>
    <w:p w:rsidR="00D53FFE" w:rsidRPr="00E018F0" w:rsidRDefault="00D53FFE" w:rsidP="00D53FFE">
      <w:pPr>
        <w:jc w:val="both"/>
        <w:rPr>
          <w:rFonts w:ascii="Arial" w:hAnsi="Arial" w:cs="Arial"/>
          <w:b/>
        </w:rPr>
      </w:pPr>
      <w:r w:rsidRPr="00E018F0">
        <w:rPr>
          <w:rFonts w:ascii="Arial" w:hAnsi="Arial" w:cs="Arial"/>
          <w:b/>
        </w:rPr>
        <w:t>Fig. nr.I.2.1.3-1</w:t>
      </w:r>
    </w:p>
    <w:p w:rsidR="00D53FFE" w:rsidRDefault="00D53FFE" w:rsidP="00401BFC">
      <w:pPr>
        <w:jc w:val="center"/>
        <w:rPr>
          <w:rFonts w:ascii="Arial" w:hAnsi="Arial" w:cs="Arial"/>
          <w:lang w:val="en-US"/>
        </w:rPr>
      </w:pPr>
      <w:r>
        <w:rPr>
          <w:rFonts w:ascii="Arial" w:hAnsi="Arial" w:cs="Arial"/>
          <w:noProof/>
          <w:lang w:val="ro-RO" w:eastAsia="ro-RO"/>
        </w:rPr>
        <w:lastRenderedPageBreak/>
        <w:drawing>
          <wp:inline distT="0" distB="0" distL="0" distR="0">
            <wp:extent cx="4991100" cy="3314700"/>
            <wp:effectExtent l="19050" t="0" r="19050" b="0"/>
            <wp:docPr id="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2"/>
              </a:graphicData>
            </a:graphic>
          </wp:inline>
        </w:drawing>
      </w:r>
    </w:p>
    <w:p w:rsidR="00D53FFE" w:rsidRDefault="00D53FFE" w:rsidP="00D53FFE">
      <w:pPr>
        <w:rPr>
          <w:rFonts w:ascii="Arial" w:hAnsi="Arial" w:cs="Arial"/>
          <w:lang w:val="en-US"/>
        </w:rPr>
      </w:pPr>
    </w:p>
    <w:p w:rsidR="00401BFC" w:rsidRDefault="00401BFC" w:rsidP="00D53FFE">
      <w:pPr>
        <w:rPr>
          <w:rFonts w:ascii="Arial" w:hAnsi="Arial" w:cs="Arial"/>
          <w:lang w:val="fr-BE"/>
        </w:rPr>
      </w:pPr>
    </w:p>
    <w:p w:rsidR="006C3824" w:rsidRPr="009D7F1C" w:rsidRDefault="00D53FFE" w:rsidP="006C3824">
      <w:pPr>
        <w:rPr>
          <w:rFonts w:ascii="Arial" w:hAnsi="Arial" w:cs="Arial"/>
          <w:lang w:val="fr-BE"/>
        </w:rPr>
      </w:pPr>
      <w:r w:rsidRPr="006C3824">
        <w:rPr>
          <w:rFonts w:ascii="Arial" w:hAnsi="Arial" w:cs="Arial"/>
          <w:b/>
          <w:lang w:val="fr-BE"/>
        </w:rPr>
        <w:t>Emisiile de precursori ai ozonului</w:t>
      </w:r>
      <w:r w:rsidR="006C3824">
        <w:rPr>
          <w:rFonts w:ascii="Arial" w:hAnsi="Arial" w:cs="Arial"/>
          <w:b/>
          <w:lang w:val="fr-BE"/>
        </w:rPr>
        <w:t xml:space="preserve"> </w:t>
      </w:r>
      <w:r w:rsidR="006C3824" w:rsidRPr="009D7F1C">
        <w:rPr>
          <w:rFonts w:ascii="Arial" w:hAnsi="Arial" w:cs="Arial"/>
          <w:lang w:val="fr-BE"/>
        </w:rPr>
        <w:t>Cod indicator România RO 02</w:t>
      </w:r>
    </w:p>
    <w:p w:rsidR="00D53FFE" w:rsidRPr="006C3824" w:rsidRDefault="00D53FFE" w:rsidP="00D53FFE">
      <w:pPr>
        <w:rPr>
          <w:rFonts w:ascii="Arial" w:hAnsi="Arial" w:cs="Arial"/>
          <w:b/>
          <w:lang w:val="fr-BE"/>
        </w:rPr>
      </w:pPr>
    </w:p>
    <w:p w:rsidR="00D53FFE" w:rsidRPr="00E018F0" w:rsidRDefault="00D53FFE" w:rsidP="00D53FFE">
      <w:pPr>
        <w:jc w:val="both"/>
        <w:rPr>
          <w:rFonts w:ascii="Arial" w:hAnsi="Arial" w:cs="Arial"/>
          <w:b/>
        </w:rPr>
      </w:pPr>
      <w:r w:rsidRPr="00E018F0">
        <w:rPr>
          <w:rFonts w:ascii="Arial" w:hAnsi="Arial" w:cs="Arial"/>
          <w:b/>
        </w:rPr>
        <w:t>Fig. nr.I.2.1.3-2</w:t>
      </w:r>
    </w:p>
    <w:p w:rsidR="00D53FFE" w:rsidRPr="009D7F1C" w:rsidRDefault="00D53FFE" w:rsidP="00D53FFE">
      <w:pPr>
        <w:rPr>
          <w:rFonts w:ascii="Arial" w:hAnsi="Arial" w:cs="Arial"/>
          <w:lang w:val="fr-BE"/>
        </w:rPr>
      </w:pPr>
    </w:p>
    <w:p w:rsidR="00D53FFE" w:rsidRDefault="00D53FFE" w:rsidP="00401BFC">
      <w:pPr>
        <w:jc w:val="center"/>
        <w:rPr>
          <w:rFonts w:ascii="Arial" w:hAnsi="Arial" w:cs="Arial"/>
          <w:lang w:val="en-US"/>
        </w:rPr>
      </w:pPr>
      <w:r w:rsidRPr="00A57A94">
        <w:rPr>
          <w:rFonts w:ascii="Arial" w:hAnsi="Arial" w:cs="Arial"/>
          <w:noProof/>
          <w:lang w:val="ro-RO" w:eastAsia="ro-RO"/>
        </w:rPr>
        <w:drawing>
          <wp:inline distT="0" distB="0" distL="0" distR="0">
            <wp:extent cx="5000625" cy="3400425"/>
            <wp:effectExtent l="19050" t="0" r="9525" b="0"/>
            <wp:docPr id="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3"/>
              </a:graphicData>
            </a:graphic>
          </wp:inline>
        </w:drawing>
      </w:r>
    </w:p>
    <w:p w:rsidR="00D53FFE" w:rsidRPr="00924D9A" w:rsidRDefault="00D53FFE" w:rsidP="00D53FFE">
      <w:pPr>
        <w:rPr>
          <w:rFonts w:ascii="Arial" w:hAnsi="Arial" w:cs="Arial"/>
          <w:lang w:val="en-US"/>
        </w:rPr>
      </w:pPr>
    </w:p>
    <w:p w:rsidR="00D53FFE" w:rsidRPr="009D7F1C" w:rsidRDefault="00D53FFE" w:rsidP="00D53FFE">
      <w:pPr>
        <w:rPr>
          <w:rFonts w:ascii="Arial" w:hAnsi="Arial" w:cs="Arial"/>
          <w:lang w:val="fr-BE"/>
        </w:rPr>
      </w:pPr>
      <w:r>
        <w:rPr>
          <w:rFonts w:ascii="Arial" w:hAnsi="Arial" w:cs="Arial"/>
          <w:lang w:val="fr-BE"/>
        </w:rPr>
        <w:t>Cod indicator România RO 03</w:t>
      </w:r>
    </w:p>
    <w:p w:rsidR="00D53FFE" w:rsidRPr="006C3824" w:rsidRDefault="00D53FFE" w:rsidP="00D53FFE">
      <w:pPr>
        <w:rPr>
          <w:rFonts w:ascii="Arial" w:hAnsi="Arial" w:cs="Arial"/>
          <w:b/>
          <w:lang w:val="fr-BE"/>
        </w:rPr>
      </w:pPr>
      <w:r w:rsidRPr="006C3824">
        <w:rPr>
          <w:rFonts w:ascii="Arial" w:hAnsi="Arial" w:cs="Arial"/>
          <w:b/>
          <w:lang w:val="fr-BE"/>
        </w:rPr>
        <w:t>Emisiile de particule primare și precursori secundari de particule</w:t>
      </w:r>
    </w:p>
    <w:p w:rsidR="00D53FFE" w:rsidRPr="00E018F0" w:rsidRDefault="00D53FFE" w:rsidP="00D53FFE">
      <w:pPr>
        <w:jc w:val="both"/>
        <w:rPr>
          <w:rFonts w:ascii="Arial" w:hAnsi="Arial" w:cs="Arial"/>
          <w:b/>
        </w:rPr>
      </w:pPr>
      <w:r w:rsidRPr="00E018F0">
        <w:rPr>
          <w:rFonts w:ascii="Arial" w:hAnsi="Arial" w:cs="Arial"/>
          <w:b/>
        </w:rPr>
        <w:t>Fig. nr.I.2.1.3-3</w:t>
      </w:r>
    </w:p>
    <w:p w:rsidR="00D53FFE" w:rsidRPr="00645202" w:rsidRDefault="00D53FFE" w:rsidP="00D53FFE">
      <w:pPr>
        <w:rPr>
          <w:rFonts w:ascii="Arial" w:hAnsi="Arial" w:cs="Arial"/>
          <w:lang w:val="fr-BE"/>
        </w:rPr>
      </w:pPr>
    </w:p>
    <w:p w:rsidR="00D53FFE" w:rsidRPr="00924D9A" w:rsidRDefault="00D53FFE" w:rsidP="00401BFC">
      <w:pPr>
        <w:tabs>
          <w:tab w:val="left" w:pos="7560"/>
        </w:tabs>
        <w:jc w:val="center"/>
        <w:rPr>
          <w:rFonts w:ascii="Arial" w:hAnsi="Arial" w:cs="Arial"/>
          <w:lang w:val="en-US"/>
        </w:rPr>
      </w:pPr>
      <w:r w:rsidRPr="0039283B">
        <w:rPr>
          <w:rFonts w:ascii="Arial" w:hAnsi="Arial" w:cs="Arial"/>
          <w:noProof/>
          <w:lang w:val="ro-RO" w:eastAsia="ro-RO"/>
        </w:rPr>
        <w:lastRenderedPageBreak/>
        <w:drawing>
          <wp:inline distT="0" distB="0" distL="0" distR="0">
            <wp:extent cx="5000625" cy="3362325"/>
            <wp:effectExtent l="19050" t="0" r="9525" b="0"/>
            <wp:docPr id="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4"/>
              </a:graphicData>
            </a:graphic>
          </wp:inline>
        </w:drawing>
      </w:r>
    </w:p>
    <w:p w:rsidR="00D53FFE" w:rsidRPr="00924D9A" w:rsidRDefault="00D53FFE" w:rsidP="00D53FFE">
      <w:pPr>
        <w:jc w:val="right"/>
        <w:rPr>
          <w:rFonts w:ascii="Arial" w:hAnsi="Arial" w:cs="Arial"/>
          <w:lang w:val="en-US"/>
        </w:rPr>
      </w:pPr>
    </w:p>
    <w:p w:rsidR="00D53FFE" w:rsidRPr="009D7F1C" w:rsidRDefault="00D53FFE" w:rsidP="00D53FFE">
      <w:pPr>
        <w:rPr>
          <w:rFonts w:ascii="Arial" w:hAnsi="Arial" w:cs="Arial"/>
          <w:lang w:val="fr-BE"/>
        </w:rPr>
      </w:pPr>
      <w:r>
        <w:rPr>
          <w:rFonts w:ascii="Arial" w:hAnsi="Arial" w:cs="Arial"/>
          <w:lang w:val="fr-BE"/>
        </w:rPr>
        <w:t>Cod indicator România RO 38</w:t>
      </w:r>
    </w:p>
    <w:p w:rsidR="00D53FFE" w:rsidRPr="006C3824" w:rsidRDefault="00D53FFE" w:rsidP="00D53FFE">
      <w:pPr>
        <w:tabs>
          <w:tab w:val="left" w:pos="5025"/>
        </w:tabs>
        <w:rPr>
          <w:rFonts w:ascii="Arial" w:hAnsi="Arial" w:cs="Arial"/>
          <w:b/>
          <w:lang w:val="en-US"/>
        </w:rPr>
      </w:pPr>
      <w:r w:rsidRPr="006C3824">
        <w:rPr>
          <w:rFonts w:ascii="Arial" w:hAnsi="Arial" w:cs="Arial"/>
          <w:b/>
          <w:lang w:val="fr-BE"/>
        </w:rPr>
        <w:t>Emisiile de metale grele</w:t>
      </w:r>
      <w:r w:rsidRPr="006C3824">
        <w:rPr>
          <w:rFonts w:ascii="Arial" w:hAnsi="Arial" w:cs="Arial"/>
          <w:b/>
          <w:lang w:val="en-US"/>
        </w:rPr>
        <w:tab/>
      </w:r>
    </w:p>
    <w:p w:rsidR="00D53FFE" w:rsidRDefault="00D53FFE" w:rsidP="00D53FFE">
      <w:pPr>
        <w:jc w:val="both"/>
        <w:rPr>
          <w:rFonts w:ascii="Arial" w:hAnsi="Arial" w:cs="Arial"/>
          <w:b/>
        </w:rPr>
      </w:pPr>
      <w:r w:rsidRPr="00E018F0">
        <w:rPr>
          <w:rFonts w:ascii="Arial" w:hAnsi="Arial" w:cs="Arial"/>
          <w:b/>
        </w:rPr>
        <w:t>Fig. nr.I.2.1.3-4</w:t>
      </w:r>
    </w:p>
    <w:p w:rsidR="00401BFC" w:rsidRPr="00E018F0" w:rsidRDefault="00401BFC" w:rsidP="00D53FFE">
      <w:pPr>
        <w:jc w:val="both"/>
        <w:rPr>
          <w:rFonts w:ascii="Arial" w:hAnsi="Arial" w:cs="Arial"/>
          <w:b/>
        </w:rPr>
      </w:pPr>
    </w:p>
    <w:p w:rsidR="00D53FFE" w:rsidRDefault="00D53FFE" w:rsidP="00401BFC">
      <w:pPr>
        <w:jc w:val="center"/>
        <w:rPr>
          <w:rFonts w:ascii="Arial" w:hAnsi="Arial" w:cs="Arial"/>
          <w:lang w:val="en-US"/>
        </w:rPr>
      </w:pPr>
      <w:r w:rsidRPr="009B1672">
        <w:rPr>
          <w:rFonts w:ascii="Arial" w:hAnsi="Arial" w:cs="Arial"/>
          <w:noProof/>
          <w:lang w:val="ro-RO" w:eastAsia="ro-RO"/>
        </w:rPr>
        <w:drawing>
          <wp:inline distT="0" distB="0" distL="0" distR="0">
            <wp:extent cx="5267325" cy="3581400"/>
            <wp:effectExtent l="19050" t="0" r="9525" b="0"/>
            <wp:docPr id="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5"/>
              </a:graphicData>
            </a:graphic>
          </wp:inline>
        </w:drawing>
      </w:r>
    </w:p>
    <w:p w:rsidR="00401BFC" w:rsidRDefault="00401BFC" w:rsidP="00D53FFE">
      <w:pPr>
        <w:ind w:firstLine="708"/>
        <w:rPr>
          <w:rFonts w:ascii="Arial" w:hAnsi="Arial" w:cs="Arial"/>
          <w:lang w:val="fr-BE"/>
        </w:rPr>
      </w:pPr>
    </w:p>
    <w:p w:rsidR="00D53FFE" w:rsidRPr="006C3824" w:rsidRDefault="00D53FFE" w:rsidP="00D53FFE">
      <w:pPr>
        <w:ind w:firstLine="708"/>
        <w:rPr>
          <w:rFonts w:ascii="Arial" w:hAnsi="Arial" w:cs="Arial"/>
          <w:b/>
          <w:lang w:val="fr-BE"/>
        </w:rPr>
      </w:pPr>
      <w:r w:rsidRPr="006C3824">
        <w:rPr>
          <w:rFonts w:ascii="Arial" w:hAnsi="Arial" w:cs="Arial"/>
          <w:b/>
          <w:lang w:val="fr-BE"/>
        </w:rPr>
        <w:t>I.2.1.4 Agricultura</w:t>
      </w:r>
    </w:p>
    <w:p w:rsidR="00D53FFE" w:rsidRPr="00352C60" w:rsidRDefault="00D53FFE" w:rsidP="00D53FFE">
      <w:pPr>
        <w:rPr>
          <w:rFonts w:ascii="Arial" w:hAnsi="Arial" w:cs="Arial"/>
          <w:lang w:val="fr-BE"/>
        </w:rPr>
      </w:pPr>
      <w:r w:rsidRPr="00352C60">
        <w:rPr>
          <w:rFonts w:ascii="Arial" w:hAnsi="Arial" w:cs="Arial"/>
          <w:lang w:val="fr-BE"/>
        </w:rPr>
        <w:t>Cod indicator România RO 01</w:t>
      </w:r>
    </w:p>
    <w:p w:rsidR="00D53FFE" w:rsidRPr="006C3824" w:rsidRDefault="00D53FFE" w:rsidP="00D53FFE">
      <w:pPr>
        <w:rPr>
          <w:rFonts w:ascii="Arial" w:hAnsi="Arial" w:cs="Arial"/>
          <w:b/>
          <w:lang w:val="fr-BE"/>
        </w:rPr>
      </w:pPr>
      <w:r w:rsidRPr="006C3824">
        <w:rPr>
          <w:rFonts w:ascii="Arial" w:hAnsi="Arial" w:cs="Arial"/>
          <w:b/>
          <w:lang w:val="fr-BE"/>
        </w:rPr>
        <w:t>Emisiile de substanțe acidifiante</w:t>
      </w:r>
    </w:p>
    <w:p w:rsidR="00401BFC" w:rsidRDefault="00401BFC"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nr.I.2.1.4-1</w:t>
      </w:r>
    </w:p>
    <w:p w:rsidR="00401BFC" w:rsidRPr="00E018F0" w:rsidRDefault="00401BFC" w:rsidP="00D53FFE">
      <w:pPr>
        <w:jc w:val="both"/>
        <w:rPr>
          <w:rFonts w:ascii="Arial" w:hAnsi="Arial" w:cs="Arial"/>
          <w:b/>
        </w:rPr>
      </w:pPr>
    </w:p>
    <w:p w:rsidR="00D53FFE" w:rsidRPr="003F517B" w:rsidRDefault="00D53FFE" w:rsidP="00401BFC">
      <w:pPr>
        <w:jc w:val="center"/>
        <w:rPr>
          <w:rFonts w:ascii="Arial" w:hAnsi="Arial" w:cs="Arial"/>
          <w:lang w:val="fr-BE"/>
        </w:rPr>
      </w:pPr>
      <w:r w:rsidRPr="00352C60">
        <w:rPr>
          <w:rFonts w:ascii="Arial" w:hAnsi="Arial" w:cs="Arial"/>
          <w:noProof/>
          <w:lang w:val="ro-RO" w:eastAsia="ro-RO"/>
        </w:rPr>
        <w:lastRenderedPageBreak/>
        <w:drawing>
          <wp:inline distT="0" distB="0" distL="0" distR="0">
            <wp:extent cx="4486275" cy="3276600"/>
            <wp:effectExtent l="19050" t="0" r="9525" b="0"/>
            <wp:docPr id="4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rsidR="00D53FFE" w:rsidRPr="003F517B" w:rsidRDefault="00D53FFE" w:rsidP="00D53FFE">
      <w:pPr>
        <w:rPr>
          <w:rFonts w:ascii="Arial" w:hAnsi="Arial" w:cs="Arial"/>
          <w:lang w:val="fr-BE"/>
        </w:rPr>
      </w:pPr>
    </w:p>
    <w:p w:rsidR="00D53FFE" w:rsidRPr="004D1A96" w:rsidRDefault="00D53FFE" w:rsidP="00D53FFE">
      <w:pPr>
        <w:rPr>
          <w:rFonts w:ascii="Arial" w:hAnsi="Arial" w:cs="Arial"/>
          <w:lang w:val="fr-BE"/>
        </w:rPr>
      </w:pPr>
    </w:p>
    <w:p w:rsidR="00D53FFE" w:rsidRDefault="00D53FFE" w:rsidP="00D53FFE">
      <w:pPr>
        <w:rPr>
          <w:rFonts w:ascii="Arial" w:hAnsi="Arial" w:cs="Arial"/>
          <w:b/>
          <w:lang w:val="en-US"/>
        </w:rPr>
      </w:pPr>
      <w:r w:rsidRPr="00E018F0">
        <w:rPr>
          <w:rFonts w:ascii="Arial" w:hAnsi="Arial" w:cs="Arial"/>
          <w:b/>
          <w:lang w:val="en-US"/>
        </w:rPr>
        <w:t>I.3.Tendințe și prognoze privind poluarea aerului înconjurător</w:t>
      </w:r>
    </w:p>
    <w:p w:rsidR="008960A4" w:rsidRPr="00E018F0" w:rsidRDefault="008960A4" w:rsidP="00D53FFE">
      <w:pPr>
        <w:rPr>
          <w:rFonts w:ascii="Arial" w:hAnsi="Arial" w:cs="Arial"/>
          <w:b/>
          <w:lang w:val="en-US"/>
        </w:rPr>
      </w:pPr>
      <w:r>
        <w:rPr>
          <w:rFonts w:ascii="Arial" w:hAnsi="Arial" w:cs="Arial"/>
          <w:b/>
          <w:lang w:val="en-US"/>
        </w:rPr>
        <w:tab/>
        <w:t>I.3.1. Tendințe privind emisiile principalilor poluanți atmosferici</w:t>
      </w:r>
    </w:p>
    <w:p w:rsidR="008960A4" w:rsidRDefault="008960A4" w:rsidP="006C3824">
      <w:pPr>
        <w:rPr>
          <w:rFonts w:ascii="Arial" w:hAnsi="Arial" w:cs="Arial"/>
          <w:b/>
          <w:lang w:val="fr-BE"/>
        </w:rPr>
      </w:pPr>
    </w:p>
    <w:p w:rsidR="006C3824" w:rsidRPr="00BF3397" w:rsidRDefault="00D53FFE" w:rsidP="006C3824">
      <w:pPr>
        <w:rPr>
          <w:rFonts w:ascii="Arial" w:hAnsi="Arial" w:cs="Arial"/>
          <w:lang w:val="fr-BE"/>
        </w:rPr>
      </w:pPr>
      <w:r w:rsidRPr="006C3824">
        <w:rPr>
          <w:rFonts w:ascii="Arial" w:hAnsi="Arial" w:cs="Arial"/>
          <w:b/>
          <w:lang w:val="fr-BE"/>
        </w:rPr>
        <w:t>Emisiile de substanțe acidifiante</w:t>
      </w:r>
      <w:r w:rsidR="006C3824">
        <w:rPr>
          <w:rFonts w:ascii="Arial" w:hAnsi="Arial" w:cs="Arial"/>
          <w:b/>
          <w:lang w:val="fr-BE"/>
        </w:rPr>
        <w:t xml:space="preserve"> </w:t>
      </w:r>
      <w:r w:rsidR="006C3824" w:rsidRPr="00BF3397">
        <w:rPr>
          <w:rFonts w:ascii="Arial" w:hAnsi="Arial" w:cs="Arial"/>
          <w:lang w:val="fr-BE"/>
        </w:rPr>
        <w:t>Cod indicator România RO 01</w:t>
      </w:r>
    </w:p>
    <w:p w:rsidR="00D53FFE" w:rsidRDefault="00D53FFE" w:rsidP="00D53FFE">
      <w:pPr>
        <w:rPr>
          <w:rFonts w:ascii="Arial" w:hAnsi="Arial" w:cs="Arial"/>
          <w:b/>
          <w:lang w:val="fr-BE"/>
        </w:rPr>
      </w:pPr>
    </w:p>
    <w:p w:rsidR="006C3824" w:rsidRDefault="006C3824" w:rsidP="006C3824">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w:t>
      </w:r>
    </w:p>
    <w:p w:rsidR="006C3824" w:rsidRPr="00E018F0" w:rsidRDefault="006C3824" w:rsidP="006C3824">
      <w:pPr>
        <w:jc w:val="both"/>
        <w:rPr>
          <w:rFonts w:ascii="Arial" w:hAnsi="Arial" w:cs="Arial"/>
          <w:b/>
        </w:rPr>
      </w:pPr>
    </w:p>
    <w:p w:rsidR="006C3824" w:rsidRPr="006C3824" w:rsidRDefault="006C3824" w:rsidP="00D53FFE">
      <w:pPr>
        <w:rPr>
          <w:rFonts w:ascii="Arial" w:hAnsi="Arial" w:cs="Arial"/>
          <w:b/>
          <w:lang w:val="fr-BE"/>
        </w:rPr>
      </w:pPr>
    </w:p>
    <w:p w:rsidR="00D53FFE" w:rsidRDefault="00D53FFE" w:rsidP="00401BFC">
      <w:pPr>
        <w:tabs>
          <w:tab w:val="left" w:pos="1020"/>
        </w:tabs>
        <w:jc w:val="center"/>
        <w:rPr>
          <w:rFonts w:ascii="Arial" w:hAnsi="Arial" w:cs="Arial"/>
          <w:lang w:val="en-US"/>
        </w:rPr>
      </w:pPr>
      <w:r w:rsidRPr="006901A3">
        <w:rPr>
          <w:rFonts w:ascii="Arial" w:hAnsi="Arial" w:cs="Arial"/>
          <w:noProof/>
          <w:lang w:val="ro-RO" w:eastAsia="ro-RO"/>
        </w:rPr>
        <w:drawing>
          <wp:inline distT="0" distB="0" distL="0" distR="0">
            <wp:extent cx="4686300" cy="2838450"/>
            <wp:effectExtent l="19050" t="0" r="19050" b="0"/>
            <wp:docPr id="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rsidR="00D53FFE" w:rsidRDefault="00D53FFE" w:rsidP="00D53FFE">
      <w:pPr>
        <w:rPr>
          <w:rFonts w:ascii="Arial" w:hAnsi="Arial" w:cs="Arial"/>
          <w:lang w:val="en-US"/>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-2</w:t>
      </w:r>
    </w:p>
    <w:p w:rsidR="00401BFC" w:rsidRPr="00E018F0" w:rsidRDefault="00401BFC" w:rsidP="00D53FFE">
      <w:pPr>
        <w:jc w:val="both"/>
        <w:rPr>
          <w:rFonts w:ascii="Arial" w:hAnsi="Arial" w:cs="Arial"/>
          <w:b/>
        </w:rPr>
      </w:pPr>
    </w:p>
    <w:p w:rsidR="00D53FFE" w:rsidRDefault="00D53FFE" w:rsidP="00401BFC">
      <w:pPr>
        <w:ind w:firstLine="708"/>
        <w:jc w:val="center"/>
        <w:rPr>
          <w:rFonts w:ascii="Arial" w:hAnsi="Arial" w:cs="Arial"/>
          <w:lang w:val="en-US"/>
        </w:rPr>
      </w:pPr>
      <w:r w:rsidRPr="005A26CF">
        <w:rPr>
          <w:rFonts w:ascii="Arial" w:hAnsi="Arial" w:cs="Arial"/>
          <w:noProof/>
          <w:lang w:val="ro-RO" w:eastAsia="ro-RO"/>
        </w:rPr>
        <w:lastRenderedPageBreak/>
        <w:drawing>
          <wp:inline distT="0" distB="0" distL="0" distR="0">
            <wp:extent cx="4772025" cy="3171825"/>
            <wp:effectExtent l="19050" t="0" r="9525" b="0"/>
            <wp:docPr id="1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rsidR="00D53FFE" w:rsidRDefault="00D53FFE" w:rsidP="00D53FFE">
      <w:pPr>
        <w:rPr>
          <w:rFonts w:ascii="Arial" w:hAnsi="Arial" w:cs="Arial"/>
          <w:lang w:val="en-US"/>
        </w:rPr>
      </w:pPr>
    </w:p>
    <w:p w:rsidR="00401BFC" w:rsidRDefault="00D53FFE" w:rsidP="00D53FFE">
      <w:pPr>
        <w:jc w:val="both"/>
        <w:rPr>
          <w:rFonts w:ascii="Arial" w:hAnsi="Arial" w:cs="Arial"/>
          <w:b/>
          <w:lang w:val="en-US"/>
        </w:rPr>
      </w:pPr>
      <w:r w:rsidRPr="00E018F0">
        <w:rPr>
          <w:rFonts w:ascii="Arial" w:hAnsi="Arial" w:cs="Arial"/>
          <w:b/>
          <w:lang w:val="en-US"/>
        </w:rPr>
        <w:tab/>
      </w: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-3</w:t>
      </w:r>
    </w:p>
    <w:p w:rsidR="00401BFC" w:rsidRPr="00E018F0" w:rsidRDefault="00401BFC" w:rsidP="00D53FFE">
      <w:pPr>
        <w:jc w:val="both"/>
        <w:rPr>
          <w:rFonts w:ascii="Arial" w:hAnsi="Arial" w:cs="Arial"/>
          <w:b/>
        </w:rPr>
      </w:pPr>
    </w:p>
    <w:p w:rsidR="00D53FFE" w:rsidRDefault="00D53FFE" w:rsidP="00D53FFE">
      <w:pPr>
        <w:ind w:firstLine="708"/>
        <w:rPr>
          <w:rFonts w:ascii="Arial" w:hAnsi="Arial" w:cs="Arial"/>
          <w:lang w:val="en-US"/>
        </w:rPr>
      </w:pPr>
    </w:p>
    <w:p w:rsidR="00D53FFE" w:rsidRDefault="00D53FFE" w:rsidP="00401BFC">
      <w:pPr>
        <w:tabs>
          <w:tab w:val="left" w:pos="1170"/>
        </w:tabs>
        <w:jc w:val="center"/>
        <w:rPr>
          <w:rFonts w:ascii="Arial" w:hAnsi="Arial" w:cs="Arial"/>
          <w:lang w:val="en-US"/>
        </w:rPr>
      </w:pPr>
      <w:r w:rsidRPr="006E16E7">
        <w:rPr>
          <w:rFonts w:ascii="Arial" w:hAnsi="Arial" w:cs="Arial"/>
          <w:noProof/>
          <w:lang w:val="ro-RO" w:eastAsia="ro-RO"/>
        </w:rPr>
        <w:drawing>
          <wp:inline distT="0" distB="0" distL="0" distR="0">
            <wp:extent cx="4791075" cy="3228975"/>
            <wp:effectExtent l="19050" t="0" r="9525" b="0"/>
            <wp:docPr id="1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rsidR="00D53FFE" w:rsidRDefault="00D53FFE" w:rsidP="00D53FFE">
      <w:pPr>
        <w:rPr>
          <w:rFonts w:ascii="Arial" w:hAnsi="Arial" w:cs="Arial"/>
          <w:lang w:val="en-US"/>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w:t>
      </w:r>
      <w:r w:rsidR="008960A4">
        <w:rPr>
          <w:rFonts w:ascii="Arial" w:hAnsi="Arial" w:cs="Arial"/>
          <w:b/>
        </w:rPr>
        <w:t xml:space="preserve"> </w:t>
      </w:r>
      <w:r w:rsidRPr="00E018F0">
        <w:rPr>
          <w:rFonts w:ascii="Arial" w:hAnsi="Arial" w:cs="Arial"/>
          <w:b/>
        </w:rPr>
        <w:t>4</w:t>
      </w:r>
    </w:p>
    <w:p w:rsidR="00401BFC" w:rsidRPr="00E018F0" w:rsidRDefault="00401BFC" w:rsidP="00D53FFE">
      <w:pPr>
        <w:jc w:val="both"/>
        <w:rPr>
          <w:rFonts w:ascii="Arial" w:hAnsi="Arial" w:cs="Arial"/>
          <w:b/>
        </w:rPr>
      </w:pPr>
    </w:p>
    <w:p w:rsidR="00D53FFE" w:rsidRDefault="00D53FFE" w:rsidP="00401BFC">
      <w:pPr>
        <w:jc w:val="center"/>
        <w:rPr>
          <w:rFonts w:ascii="Arial" w:hAnsi="Arial" w:cs="Arial"/>
          <w:lang w:val="en-US"/>
        </w:rPr>
      </w:pPr>
      <w:r w:rsidRPr="0024317E">
        <w:rPr>
          <w:rFonts w:ascii="Arial" w:hAnsi="Arial" w:cs="Arial"/>
          <w:noProof/>
          <w:lang w:val="ro-RO" w:eastAsia="ro-RO"/>
        </w:rPr>
        <w:lastRenderedPageBreak/>
        <w:drawing>
          <wp:inline distT="0" distB="0" distL="0" distR="0">
            <wp:extent cx="4781550" cy="3162300"/>
            <wp:effectExtent l="19050" t="0" r="19050" b="0"/>
            <wp:docPr id="1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rsidR="00D53FFE" w:rsidRPr="000160A7" w:rsidRDefault="00D53FFE" w:rsidP="00D53FFE">
      <w:pPr>
        <w:rPr>
          <w:rFonts w:ascii="Arial" w:hAnsi="Arial" w:cs="Arial"/>
          <w:lang w:val="en-US"/>
        </w:rPr>
      </w:pPr>
    </w:p>
    <w:p w:rsidR="00D53FFE" w:rsidRDefault="00D53FFE" w:rsidP="00D53FFE">
      <w:pPr>
        <w:rPr>
          <w:rFonts w:ascii="Arial" w:hAnsi="Arial" w:cs="Arial"/>
          <w:lang w:val="en-US"/>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.1.</w:t>
      </w:r>
      <w:r w:rsidRPr="00E018F0">
        <w:rPr>
          <w:rFonts w:ascii="Arial" w:hAnsi="Arial" w:cs="Arial"/>
          <w:b/>
        </w:rPr>
        <w:t>-</w:t>
      </w:r>
      <w:r w:rsidR="008960A4">
        <w:rPr>
          <w:rFonts w:ascii="Arial" w:hAnsi="Arial" w:cs="Arial"/>
          <w:b/>
        </w:rPr>
        <w:t xml:space="preserve"> </w:t>
      </w:r>
      <w:r w:rsidRPr="00E018F0">
        <w:rPr>
          <w:rFonts w:ascii="Arial" w:hAnsi="Arial" w:cs="Arial"/>
          <w:b/>
        </w:rPr>
        <w:t>5</w:t>
      </w:r>
    </w:p>
    <w:p w:rsidR="00147408" w:rsidRPr="00E018F0" w:rsidRDefault="00147408" w:rsidP="00D53FFE">
      <w:pPr>
        <w:jc w:val="both"/>
        <w:rPr>
          <w:rFonts w:ascii="Arial" w:hAnsi="Arial" w:cs="Arial"/>
          <w:b/>
        </w:rPr>
      </w:pPr>
    </w:p>
    <w:p w:rsidR="00D53FFE" w:rsidRDefault="00D53FFE" w:rsidP="00147408">
      <w:pPr>
        <w:jc w:val="center"/>
        <w:rPr>
          <w:rFonts w:ascii="Arial" w:hAnsi="Arial" w:cs="Arial"/>
          <w:lang w:val="en-US"/>
        </w:rPr>
      </w:pPr>
      <w:r w:rsidRPr="00991C0B">
        <w:rPr>
          <w:rFonts w:ascii="Arial" w:hAnsi="Arial" w:cs="Arial"/>
          <w:noProof/>
          <w:lang w:val="ro-RO" w:eastAsia="ro-RO"/>
        </w:rPr>
        <w:drawing>
          <wp:inline distT="0" distB="0" distL="0" distR="0">
            <wp:extent cx="4676775" cy="3105150"/>
            <wp:effectExtent l="19050" t="0" r="9525" b="0"/>
            <wp:docPr id="2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rsidR="00147408" w:rsidRDefault="00147408" w:rsidP="00D53FFE">
      <w:pPr>
        <w:rPr>
          <w:rFonts w:ascii="Arial" w:hAnsi="Arial" w:cs="Arial"/>
          <w:lang w:val="fr-BE"/>
        </w:rPr>
      </w:pPr>
    </w:p>
    <w:p w:rsidR="006C3824" w:rsidRDefault="006C3824" w:rsidP="00D53FFE">
      <w:pPr>
        <w:rPr>
          <w:rFonts w:ascii="Arial" w:hAnsi="Arial" w:cs="Arial"/>
          <w:lang w:val="fr-BE"/>
        </w:rPr>
      </w:pPr>
    </w:p>
    <w:p w:rsidR="00D53FFE" w:rsidRPr="00E018F0" w:rsidRDefault="00D53FFE" w:rsidP="00D53FFE">
      <w:pPr>
        <w:rPr>
          <w:rFonts w:ascii="Arial" w:hAnsi="Arial" w:cs="Arial"/>
          <w:lang w:val="fr-BE"/>
        </w:rPr>
      </w:pPr>
      <w:r w:rsidRPr="00E018F0">
        <w:rPr>
          <w:rFonts w:ascii="Arial" w:hAnsi="Arial" w:cs="Arial"/>
          <w:lang w:val="fr-BE"/>
        </w:rPr>
        <w:t>Cod indicator România RO 02</w:t>
      </w:r>
    </w:p>
    <w:p w:rsidR="00D53FFE" w:rsidRPr="006C3824" w:rsidRDefault="00D53FFE" w:rsidP="00D53FFE">
      <w:pPr>
        <w:rPr>
          <w:rFonts w:ascii="Arial" w:hAnsi="Arial" w:cs="Arial"/>
          <w:b/>
          <w:lang w:val="fr-BE"/>
        </w:rPr>
      </w:pPr>
      <w:r w:rsidRPr="006C3824">
        <w:rPr>
          <w:rFonts w:ascii="Arial" w:hAnsi="Arial" w:cs="Arial"/>
          <w:b/>
          <w:lang w:val="fr-BE"/>
        </w:rPr>
        <w:t>Emisiile de precursori ai ozonului</w:t>
      </w:r>
    </w:p>
    <w:p w:rsidR="006C3824" w:rsidRDefault="00D53FFE" w:rsidP="00D53FFE">
      <w:pPr>
        <w:jc w:val="both"/>
        <w:rPr>
          <w:rFonts w:ascii="Arial" w:hAnsi="Arial" w:cs="Arial"/>
          <w:b/>
          <w:lang w:val="fr-BE"/>
        </w:rPr>
      </w:pPr>
      <w:r w:rsidRPr="00E018F0">
        <w:rPr>
          <w:rFonts w:ascii="Arial" w:hAnsi="Arial" w:cs="Arial"/>
          <w:b/>
          <w:lang w:val="fr-BE"/>
        </w:rPr>
        <w:tab/>
      </w:r>
    </w:p>
    <w:p w:rsidR="00D53FFE" w:rsidRPr="00E018F0"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w:t>
      </w:r>
      <w:r w:rsidR="008960A4">
        <w:rPr>
          <w:rFonts w:ascii="Arial" w:hAnsi="Arial" w:cs="Arial"/>
          <w:b/>
        </w:rPr>
        <w:t xml:space="preserve"> </w:t>
      </w:r>
      <w:r w:rsidRPr="00E018F0">
        <w:rPr>
          <w:rFonts w:ascii="Arial" w:hAnsi="Arial" w:cs="Arial"/>
          <w:b/>
        </w:rPr>
        <w:t>6</w:t>
      </w:r>
    </w:p>
    <w:p w:rsidR="00D53FFE" w:rsidRPr="003F517B" w:rsidRDefault="00D53FFE" w:rsidP="00D53FFE">
      <w:pPr>
        <w:tabs>
          <w:tab w:val="left" w:pos="1215"/>
        </w:tabs>
        <w:rPr>
          <w:rFonts w:ascii="Arial" w:hAnsi="Arial" w:cs="Arial"/>
          <w:lang w:val="fr-BE"/>
        </w:rPr>
      </w:pPr>
    </w:p>
    <w:p w:rsidR="00D53FFE" w:rsidRDefault="00D53FFE" w:rsidP="00147408">
      <w:pPr>
        <w:ind w:firstLine="708"/>
        <w:jc w:val="center"/>
        <w:rPr>
          <w:rFonts w:ascii="Arial" w:hAnsi="Arial" w:cs="Arial"/>
          <w:lang w:val="en-US"/>
        </w:rPr>
      </w:pPr>
      <w:r w:rsidRPr="006133AC">
        <w:rPr>
          <w:rFonts w:ascii="Arial" w:hAnsi="Arial" w:cs="Arial"/>
          <w:noProof/>
          <w:lang w:val="ro-RO" w:eastAsia="ro-RO"/>
        </w:rPr>
        <w:lastRenderedPageBreak/>
        <w:drawing>
          <wp:inline distT="0" distB="0" distL="0" distR="0">
            <wp:extent cx="4667250" cy="3133725"/>
            <wp:effectExtent l="19050" t="0" r="19050" b="0"/>
            <wp:docPr id="2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2"/>
              </a:graphicData>
            </a:graphic>
          </wp:inline>
        </w:drawing>
      </w:r>
    </w:p>
    <w:p w:rsidR="00D53FFE" w:rsidRDefault="00D53FFE" w:rsidP="00D53FFE">
      <w:pPr>
        <w:rPr>
          <w:rFonts w:ascii="Arial" w:hAnsi="Arial" w:cs="Arial"/>
          <w:lang w:val="en-US"/>
        </w:rPr>
      </w:pPr>
    </w:p>
    <w:p w:rsidR="00147408" w:rsidRDefault="00D53FFE" w:rsidP="00D53FFE">
      <w:pPr>
        <w:jc w:val="both"/>
        <w:rPr>
          <w:rFonts w:ascii="Arial" w:hAnsi="Arial" w:cs="Arial"/>
          <w:b/>
          <w:lang w:val="en-US"/>
        </w:rPr>
      </w:pPr>
      <w:r w:rsidRPr="00E018F0">
        <w:rPr>
          <w:rFonts w:ascii="Arial" w:hAnsi="Arial" w:cs="Arial"/>
          <w:b/>
          <w:lang w:val="en-US"/>
        </w:rPr>
        <w:tab/>
      </w:r>
    </w:p>
    <w:p w:rsidR="006C3824" w:rsidRDefault="006C3824" w:rsidP="00147408">
      <w:pPr>
        <w:ind w:firstLine="708"/>
        <w:jc w:val="both"/>
        <w:rPr>
          <w:rFonts w:ascii="Arial" w:hAnsi="Arial" w:cs="Arial"/>
          <w:b/>
        </w:rPr>
      </w:pPr>
    </w:p>
    <w:p w:rsidR="00D53FFE" w:rsidRDefault="00D53FFE" w:rsidP="00147408">
      <w:pPr>
        <w:ind w:firstLine="708"/>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w:t>
      </w:r>
      <w:r w:rsidR="008960A4">
        <w:rPr>
          <w:rFonts w:ascii="Arial" w:hAnsi="Arial" w:cs="Arial"/>
          <w:b/>
        </w:rPr>
        <w:t xml:space="preserve"> </w:t>
      </w:r>
      <w:r w:rsidRPr="00E018F0">
        <w:rPr>
          <w:rFonts w:ascii="Arial" w:hAnsi="Arial" w:cs="Arial"/>
          <w:b/>
        </w:rPr>
        <w:t>7</w:t>
      </w:r>
    </w:p>
    <w:p w:rsidR="00147408" w:rsidRPr="00E018F0" w:rsidRDefault="00147408" w:rsidP="00147408">
      <w:pPr>
        <w:ind w:firstLine="708"/>
        <w:jc w:val="both"/>
        <w:rPr>
          <w:rFonts w:ascii="Arial" w:hAnsi="Arial" w:cs="Arial"/>
          <w:b/>
        </w:rPr>
      </w:pPr>
    </w:p>
    <w:p w:rsidR="00D53FFE" w:rsidRDefault="00D53FFE" w:rsidP="00D53FFE">
      <w:pPr>
        <w:rPr>
          <w:rFonts w:ascii="Arial" w:hAnsi="Arial" w:cs="Arial"/>
          <w:lang w:val="en-US"/>
        </w:rPr>
      </w:pPr>
    </w:p>
    <w:p w:rsidR="00D53FFE" w:rsidRDefault="00D53FFE" w:rsidP="00147408">
      <w:pPr>
        <w:tabs>
          <w:tab w:val="left" w:pos="915"/>
        </w:tabs>
        <w:jc w:val="center"/>
        <w:rPr>
          <w:rFonts w:ascii="Arial" w:hAnsi="Arial" w:cs="Arial"/>
          <w:lang w:val="en-US"/>
        </w:rPr>
      </w:pPr>
      <w:r w:rsidRPr="00411C3F">
        <w:rPr>
          <w:rFonts w:ascii="Arial" w:hAnsi="Arial" w:cs="Arial"/>
          <w:noProof/>
          <w:lang w:val="ro-RO" w:eastAsia="ro-RO"/>
        </w:rPr>
        <w:drawing>
          <wp:inline distT="0" distB="0" distL="0" distR="0">
            <wp:extent cx="4733925" cy="3152775"/>
            <wp:effectExtent l="19050" t="0" r="9525" b="0"/>
            <wp:docPr id="2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3"/>
              </a:graphicData>
            </a:graphic>
          </wp:inline>
        </w:drawing>
      </w:r>
    </w:p>
    <w:p w:rsidR="00D53FFE" w:rsidRDefault="00D53FFE" w:rsidP="00D53FFE">
      <w:pPr>
        <w:rPr>
          <w:rFonts w:ascii="Arial" w:hAnsi="Arial" w:cs="Arial"/>
          <w:lang w:val="en-US"/>
        </w:rPr>
      </w:pPr>
    </w:p>
    <w:p w:rsidR="00147408" w:rsidRDefault="00147408"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.1.</w:t>
      </w:r>
      <w:r w:rsidRPr="00E018F0">
        <w:rPr>
          <w:rFonts w:ascii="Arial" w:hAnsi="Arial" w:cs="Arial"/>
          <w:b/>
        </w:rPr>
        <w:t>-</w:t>
      </w:r>
      <w:r w:rsidR="008960A4">
        <w:rPr>
          <w:rFonts w:ascii="Arial" w:hAnsi="Arial" w:cs="Arial"/>
          <w:b/>
        </w:rPr>
        <w:t xml:space="preserve"> </w:t>
      </w:r>
      <w:r w:rsidRPr="00E018F0">
        <w:rPr>
          <w:rFonts w:ascii="Arial" w:hAnsi="Arial" w:cs="Arial"/>
          <w:b/>
        </w:rPr>
        <w:t>8</w:t>
      </w:r>
    </w:p>
    <w:p w:rsidR="00147408" w:rsidRPr="00E018F0" w:rsidRDefault="00147408" w:rsidP="00D53FFE">
      <w:pPr>
        <w:jc w:val="both"/>
        <w:rPr>
          <w:rFonts w:ascii="Arial" w:hAnsi="Arial" w:cs="Arial"/>
          <w:b/>
        </w:rPr>
      </w:pPr>
    </w:p>
    <w:p w:rsidR="00D53FFE" w:rsidRDefault="00D53FFE" w:rsidP="00147408">
      <w:pPr>
        <w:jc w:val="center"/>
        <w:rPr>
          <w:rFonts w:ascii="Arial" w:hAnsi="Arial" w:cs="Arial"/>
          <w:lang w:val="en-US"/>
        </w:rPr>
      </w:pPr>
      <w:r w:rsidRPr="001238D1">
        <w:rPr>
          <w:rFonts w:ascii="Arial" w:hAnsi="Arial" w:cs="Arial"/>
          <w:noProof/>
          <w:lang w:val="ro-RO" w:eastAsia="ro-RO"/>
        </w:rPr>
        <w:lastRenderedPageBreak/>
        <w:drawing>
          <wp:inline distT="0" distB="0" distL="0" distR="0">
            <wp:extent cx="4714875" cy="3095625"/>
            <wp:effectExtent l="19050" t="0" r="9525" b="0"/>
            <wp:docPr id="2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4"/>
              </a:graphicData>
            </a:graphic>
          </wp:inline>
        </w:drawing>
      </w:r>
    </w:p>
    <w:p w:rsidR="00D53FFE" w:rsidRDefault="00D53FFE" w:rsidP="00D53FFE">
      <w:pPr>
        <w:rPr>
          <w:rFonts w:ascii="Arial" w:hAnsi="Arial" w:cs="Arial"/>
          <w:lang w:val="en-US"/>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w:t>
      </w:r>
      <w:r w:rsidR="008960A4">
        <w:rPr>
          <w:rFonts w:ascii="Arial" w:hAnsi="Arial" w:cs="Arial"/>
          <w:b/>
        </w:rPr>
        <w:t xml:space="preserve"> </w:t>
      </w:r>
      <w:r w:rsidRPr="00E018F0">
        <w:rPr>
          <w:rFonts w:ascii="Arial" w:hAnsi="Arial" w:cs="Arial"/>
          <w:b/>
        </w:rPr>
        <w:t>9</w:t>
      </w:r>
    </w:p>
    <w:p w:rsidR="00147408" w:rsidRPr="00E018F0" w:rsidRDefault="00147408" w:rsidP="00D53FFE">
      <w:pPr>
        <w:jc w:val="both"/>
        <w:rPr>
          <w:rFonts w:ascii="Arial" w:hAnsi="Arial" w:cs="Arial"/>
          <w:b/>
        </w:rPr>
      </w:pPr>
    </w:p>
    <w:p w:rsidR="00D53FFE" w:rsidRDefault="00D53FFE" w:rsidP="00D53FFE">
      <w:pPr>
        <w:rPr>
          <w:rFonts w:ascii="Arial" w:hAnsi="Arial" w:cs="Arial"/>
          <w:lang w:val="en-US"/>
        </w:rPr>
      </w:pPr>
    </w:p>
    <w:p w:rsidR="00D53FFE" w:rsidRDefault="00D53FFE" w:rsidP="00147408">
      <w:pPr>
        <w:jc w:val="center"/>
        <w:rPr>
          <w:rFonts w:ascii="Arial" w:hAnsi="Arial" w:cs="Arial"/>
          <w:lang w:val="en-US"/>
        </w:rPr>
      </w:pPr>
      <w:r w:rsidRPr="004754DF">
        <w:rPr>
          <w:rFonts w:ascii="Arial" w:hAnsi="Arial" w:cs="Arial"/>
          <w:noProof/>
          <w:lang w:val="ro-RO" w:eastAsia="ro-RO"/>
        </w:rPr>
        <w:drawing>
          <wp:inline distT="0" distB="0" distL="0" distR="0">
            <wp:extent cx="4676775" cy="3105150"/>
            <wp:effectExtent l="19050" t="0" r="9525" b="0"/>
            <wp:docPr id="2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5"/>
              </a:graphicData>
            </a:graphic>
          </wp:inline>
        </w:drawing>
      </w:r>
    </w:p>
    <w:p w:rsidR="00147408" w:rsidRDefault="00147408" w:rsidP="00D53FFE">
      <w:pPr>
        <w:rPr>
          <w:rFonts w:ascii="Arial" w:hAnsi="Arial" w:cs="Arial"/>
          <w:lang w:val="fr-BE"/>
        </w:rPr>
      </w:pPr>
    </w:p>
    <w:p w:rsidR="00D53FFE" w:rsidRPr="009D7F1C" w:rsidRDefault="00D53FFE" w:rsidP="00D53FFE">
      <w:pPr>
        <w:rPr>
          <w:rFonts w:ascii="Arial" w:hAnsi="Arial" w:cs="Arial"/>
          <w:lang w:val="fr-BE"/>
        </w:rPr>
      </w:pPr>
      <w:r>
        <w:rPr>
          <w:rFonts w:ascii="Arial" w:hAnsi="Arial" w:cs="Arial"/>
          <w:lang w:val="fr-BE"/>
        </w:rPr>
        <w:t>Cod indicator România RO 03</w:t>
      </w:r>
    </w:p>
    <w:p w:rsidR="00D53FFE" w:rsidRPr="006C3824" w:rsidRDefault="00D53FFE" w:rsidP="00D53FFE">
      <w:pPr>
        <w:rPr>
          <w:rFonts w:ascii="Arial" w:hAnsi="Arial" w:cs="Arial"/>
          <w:b/>
          <w:lang w:val="fr-BE"/>
        </w:rPr>
      </w:pPr>
      <w:r w:rsidRPr="006C3824">
        <w:rPr>
          <w:rFonts w:ascii="Arial" w:hAnsi="Arial" w:cs="Arial"/>
          <w:b/>
          <w:lang w:val="fr-BE"/>
        </w:rPr>
        <w:t>Emisiile de particule primare și precursori secundari de particule</w:t>
      </w:r>
    </w:p>
    <w:p w:rsidR="00D53FFE" w:rsidRPr="001F48B8" w:rsidRDefault="00D53FFE" w:rsidP="00D53FFE">
      <w:pPr>
        <w:rPr>
          <w:rFonts w:ascii="Arial" w:hAnsi="Arial" w:cs="Arial"/>
          <w:lang w:val="fr-BE"/>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w:t>
      </w:r>
      <w:r w:rsidR="008960A4">
        <w:rPr>
          <w:rFonts w:ascii="Arial" w:hAnsi="Arial" w:cs="Arial"/>
          <w:b/>
        </w:rPr>
        <w:t xml:space="preserve"> </w:t>
      </w:r>
      <w:r w:rsidRPr="00E018F0">
        <w:rPr>
          <w:rFonts w:ascii="Arial" w:hAnsi="Arial" w:cs="Arial"/>
          <w:b/>
        </w:rPr>
        <w:t>10</w:t>
      </w:r>
    </w:p>
    <w:p w:rsidR="00147408" w:rsidRPr="00E018F0" w:rsidRDefault="00147408" w:rsidP="00D53FFE">
      <w:pPr>
        <w:jc w:val="both"/>
        <w:rPr>
          <w:rFonts w:ascii="Arial" w:hAnsi="Arial" w:cs="Arial"/>
          <w:b/>
        </w:rPr>
      </w:pPr>
    </w:p>
    <w:p w:rsidR="00D53FFE" w:rsidRDefault="00D53FFE" w:rsidP="00147408">
      <w:pPr>
        <w:ind w:firstLine="708"/>
        <w:jc w:val="center"/>
        <w:rPr>
          <w:rFonts w:ascii="Arial" w:hAnsi="Arial" w:cs="Arial"/>
          <w:lang w:val="en-US"/>
        </w:rPr>
      </w:pPr>
      <w:r w:rsidRPr="00CF40B2">
        <w:rPr>
          <w:rFonts w:ascii="Arial" w:hAnsi="Arial" w:cs="Arial"/>
          <w:noProof/>
          <w:lang w:val="ro-RO" w:eastAsia="ro-RO"/>
        </w:rPr>
        <w:lastRenderedPageBreak/>
        <w:drawing>
          <wp:inline distT="0" distB="0" distL="0" distR="0">
            <wp:extent cx="4686300" cy="3057525"/>
            <wp:effectExtent l="19050" t="0" r="19050" b="0"/>
            <wp:docPr id="2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6"/>
              </a:graphicData>
            </a:graphic>
          </wp:inline>
        </w:drawing>
      </w:r>
    </w:p>
    <w:p w:rsidR="00D53FFE" w:rsidRDefault="00D53FFE" w:rsidP="00D53FFE">
      <w:pPr>
        <w:rPr>
          <w:rFonts w:ascii="Arial" w:hAnsi="Arial" w:cs="Arial"/>
          <w:lang w:val="en-US"/>
        </w:rPr>
      </w:pPr>
    </w:p>
    <w:p w:rsidR="006C3824" w:rsidRDefault="006C3824" w:rsidP="00D53FFE">
      <w:pPr>
        <w:jc w:val="both"/>
        <w:rPr>
          <w:rFonts w:ascii="Arial" w:hAnsi="Arial" w:cs="Arial"/>
          <w:b/>
        </w:rPr>
      </w:pPr>
    </w:p>
    <w:p w:rsid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-11</w:t>
      </w:r>
    </w:p>
    <w:p w:rsidR="00147408" w:rsidRPr="00E018F0" w:rsidRDefault="00147408" w:rsidP="00D53FFE">
      <w:pPr>
        <w:jc w:val="both"/>
        <w:rPr>
          <w:rFonts w:ascii="Arial" w:hAnsi="Arial" w:cs="Arial"/>
          <w:b/>
        </w:rPr>
      </w:pPr>
    </w:p>
    <w:p w:rsidR="00D53FFE" w:rsidRDefault="00D53FFE" w:rsidP="00147408">
      <w:pPr>
        <w:ind w:firstLine="708"/>
        <w:jc w:val="center"/>
        <w:rPr>
          <w:rFonts w:ascii="Arial" w:hAnsi="Arial" w:cs="Arial"/>
          <w:lang w:val="en-US"/>
        </w:rPr>
      </w:pPr>
      <w:r w:rsidRPr="002C2C52">
        <w:rPr>
          <w:rFonts w:ascii="Arial" w:hAnsi="Arial" w:cs="Arial"/>
          <w:noProof/>
          <w:lang w:val="ro-RO" w:eastAsia="ro-RO"/>
        </w:rPr>
        <w:drawing>
          <wp:inline distT="0" distB="0" distL="0" distR="0">
            <wp:extent cx="4543425" cy="3028950"/>
            <wp:effectExtent l="19050" t="0" r="9525" b="0"/>
            <wp:docPr id="3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7"/>
              </a:graphicData>
            </a:graphic>
          </wp:inline>
        </w:drawing>
      </w:r>
    </w:p>
    <w:p w:rsidR="00D53FFE" w:rsidRPr="00343673" w:rsidRDefault="00D53FFE" w:rsidP="00D53FFE">
      <w:pPr>
        <w:rPr>
          <w:rFonts w:ascii="Arial" w:hAnsi="Arial" w:cs="Arial"/>
          <w:lang w:val="en-US"/>
        </w:rPr>
      </w:pPr>
    </w:p>
    <w:p w:rsidR="00D53FFE" w:rsidRDefault="00D53FFE" w:rsidP="00D53FFE">
      <w:pPr>
        <w:rPr>
          <w:rFonts w:ascii="Arial" w:hAnsi="Arial" w:cs="Arial"/>
          <w:lang w:val="en-US"/>
        </w:rPr>
      </w:pPr>
    </w:p>
    <w:p w:rsidR="00D53FFE" w:rsidRPr="00E018F0" w:rsidRDefault="00D53FFE" w:rsidP="00D53FFE">
      <w:pPr>
        <w:jc w:val="both"/>
        <w:rPr>
          <w:rFonts w:ascii="Arial" w:hAnsi="Arial" w:cs="Arial"/>
          <w:b/>
        </w:rPr>
      </w:pPr>
      <w:r w:rsidRPr="00E018F0">
        <w:rPr>
          <w:rFonts w:ascii="Arial" w:hAnsi="Arial" w:cs="Arial"/>
          <w:b/>
          <w:lang w:val="en-US"/>
        </w:rPr>
        <w:tab/>
      </w:r>
      <w:r w:rsidRPr="00E018F0">
        <w:rPr>
          <w:rFonts w:ascii="Arial" w:hAnsi="Arial" w:cs="Arial"/>
          <w:b/>
        </w:rPr>
        <w:t>Fig. nr.I.3</w:t>
      </w:r>
      <w:r w:rsidR="008960A4">
        <w:rPr>
          <w:rFonts w:ascii="Arial" w:hAnsi="Arial" w:cs="Arial"/>
          <w:b/>
        </w:rPr>
        <w:t>.1.</w:t>
      </w:r>
      <w:r w:rsidRPr="00E018F0">
        <w:rPr>
          <w:rFonts w:ascii="Arial" w:hAnsi="Arial" w:cs="Arial"/>
          <w:b/>
        </w:rPr>
        <w:t>-12</w:t>
      </w:r>
    </w:p>
    <w:p w:rsidR="00D53FFE" w:rsidRDefault="00D53FFE" w:rsidP="00D53FFE">
      <w:pPr>
        <w:rPr>
          <w:rFonts w:ascii="Arial" w:hAnsi="Arial" w:cs="Arial"/>
          <w:lang w:val="en-US"/>
        </w:rPr>
      </w:pPr>
    </w:p>
    <w:p w:rsidR="00D53FFE" w:rsidRDefault="00D53FFE" w:rsidP="00147408">
      <w:pPr>
        <w:tabs>
          <w:tab w:val="left" w:pos="1425"/>
        </w:tabs>
        <w:jc w:val="center"/>
        <w:rPr>
          <w:rFonts w:ascii="Arial" w:hAnsi="Arial" w:cs="Arial"/>
          <w:lang w:val="en-US"/>
        </w:rPr>
      </w:pPr>
      <w:r w:rsidRPr="00343673">
        <w:rPr>
          <w:rFonts w:ascii="Arial" w:hAnsi="Arial" w:cs="Arial"/>
          <w:noProof/>
          <w:lang w:val="ro-RO" w:eastAsia="ro-RO"/>
        </w:rPr>
        <w:lastRenderedPageBreak/>
        <w:drawing>
          <wp:inline distT="0" distB="0" distL="0" distR="0">
            <wp:extent cx="4705350" cy="3086100"/>
            <wp:effectExtent l="19050" t="0" r="19050" b="0"/>
            <wp:docPr id="4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8"/>
              </a:graphicData>
            </a:graphic>
          </wp:inline>
        </w:drawing>
      </w:r>
    </w:p>
    <w:p w:rsidR="00147408" w:rsidRDefault="00147408" w:rsidP="00D53FFE">
      <w:pPr>
        <w:rPr>
          <w:rFonts w:ascii="Arial" w:hAnsi="Arial" w:cs="Arial"/>
          <w:lang w:val="fr-BE"/>
        </w:rPr>
      </w:pPr>
    </w:p>
    <w:p w:rsidR="006C3824" w:rsidRDefault="006C3824" w:rsidP="00D53FFE">
      <w:pPr>
        <w:rPr>
          <w:rFonts w:ascii="Arial" w:hAnsi="Arial" w:cs="Arial"/>
          <w:lang w:val="fr-BE"/>
        </w:rPr>
      </w:pPr>
    </w:p>
    <w:p w:rsidR="00D53FFE" w:rsidRPr="009D7F1C" w:rsidRDefault="00D53FFE" w:rsidP="00D53FFE">
      <w:pPr>
        <w:rPr>
          <w:rFonts w:ascii="Arial" w:hAnsi="Arial" w:cs="Arial"/>
          <w:lang w:val="fr-BE"/>
        </w:rPr>
      </w:pPr>
      <w:r>
        <w:rPr>
          <w:rFonts w:ascii="Arial" w:hAnsi="Arial" w:cs="Arial"/>
          <w:lang w:val="fr-BE"/>
        </w:rPr>
        <w:t>Cod indicator România RO 38</w:t>
      </w:r>
    </w:p>
    <w:p w:rsidR="00D53FFE" w:rsidRPr="006C3824" w:rsidRDefault="00D53FFE" w:rsidP="00D53FFE">
      <w:pPr>
        <w:tabs>
          <w:tab w:val="left" w:pos="1425"/>
        </w:tabs>
        <w:rPr>
          <w:rFonts w:ascii="Arial" w:hAnsi="Arial" w:cs="Arial"/>
          <w:b/>
          <w:lang w:val="en-US"/>
        </w:rPr>
      </w:pPr>
      <w:r w:rsidRPr="006C3824">
        <w:rPr>
          <w:rFonts w:ascii="Arial" w:hAnsi="Arial" w:cs="Arial"/>
          <w:b/>
          <w:lang w:val="fr-BE"/>
        </w:rPr>
        <w:t>Emisiile de metale grele</w:t>
      </w:r>
    </w:p>
    <w:p w:rsidR="006C3824" w:rsidRPr="006C3824" w:rsidRDefault="006C382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-13</w:t>
      </w:r>
    </w:p>
    <w:p w:rsidR="00147408" w:rsidRPr="00E018F0" w:rsidRDefault="00147408" w:rsidP="00D53FFE">
      <w:pPr>
        <w:jc w:val="both"/>
        <w:rPr>
          <w:rFonts w:ascii="Arial" w:hAnsi="Arial" w:cs="Arial"/>
          <w:b/>
        </w:rPr>
      </w:pPr>
    </w:p>
    <w:p w:rsidR="00D53FFE" w:rsidRDefault="00D53FFE" w:rsidP="00147408">
      <w:pPr>
        <w:tabs>
          <w:tab w:val="left" w:pos="1425"/>
        </w:tabs>
        <w:jc w:val="center"/>
        <w:rPr>
          <w:rFonts w:ascii="Arial" w:hAnsi="Arial" w:cs="Arial"/>
          <w:lang w:val="en-US"/>
        </w:rPr>
      </w:pPr>
      <w:r w:rsidRPr="00530A81">
        <w:rPr>
          <w:rFonts w:ascii="Arial" w:hAnsi="Arial" w:cs="Arial"/>
          <w:noProof/>
          <w:lang w:val="ro-RO" w:eastAsia="ro-RO"/>
        </w:rPr>
        <w:drawing>
          <wp:inline distT="0" distB="0" distL="0" distR="0">
            <wp:extent cx="4819650" cy="3133725"/>
            <wp:effectExtent l="19050" t="0" r="19050" b="0"/>
            <wp:docPr id="42"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49"/>
              </a:graphicData>
            </a:graphic>
          </wp:inline>
        </w:drawing>
      </w:r>
    </w:p>
    <w:p w:rsidR="00D53FFE" w:rsidRPr="0002392E" w:rsidRDefault="00D53FFE" w:rsidP="00D53FFE">
      <w:pPr>
        <w:rPr>
          <w:rFonts w:ascii="Arial" w:hAnsi="Arial" w:cs="Arial"/>
          <w:lang w:val="en-US"/>
        </w:rPr>
      </w:pPr>
    </w:p>
    <w:p w:rsidR="00D53FFE" w:rsidRDefault="00D53FFE" w:rsidP="00D53FFE">
      <w:pPr>
        <w:rPr>
          <w:rFonts w:ascii="Arial" w:hAnsi="Arial" w:cs="Arial"/>
          <w:lang w:val="en-US"/>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-14</w:t>
      </w:r>
    </w:p>
    <w:p w:rsidR="00147408" w:rsidRPr="00E018F0" w:rsidRDefault="00147408" w:rsidP="00D53FFE">
      <w:pPr>
        <w:jc w:val="both"/>
        <w:rPr>
          <w:rFonts w:ascii="Arial" w:hAnsi="Arial" w:cs="Arial"/>
          <w:b/>
        </w:rPr>
      </w:pPr>
    </w:p>
    <w:p w:rsidR="00D53FFE" w:rsidRDefault="00D53FFE" w:rsidP="00147408">
      <w:pPr>
        <w:jc w:val="center"/>
        <w:rPr>
          <w:rFonts w:ascii="Arial" w:hAnsi="Arial" w:cs="Arial"/>
          <w:lang w:val="en-US"/>
        </w:rPr>
      </w:pPr>
      <w:r w:rsidRPr="0002392E">
        <w:rPr>
          <w:rFonts w:ascii="Arial" w:hAnsi="Arial" w:cs="Arial"/>
          <w:noProof/>
          <w:lang w:val="ro-RO" w:eastAsia="ro-RO"/>
        </w:rPr>
        <w:lastRenderedPageBreak/>
        <w:drawing>
          <wp:inline distT="0" distB="0" distL="0" distR="0">
            <wp:extent cx="4733925" cy="3067050"/>
            <wp:effectExtent l="19050" t="0" r="9525" b="0"/>
            <wp:docPr id="4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0"/>
              </a:graphicData>
            </a:graphic>
          </wp:inline>
        </w:drawing>
      </w:r>
    </w:p>
    <w:p w:rsidR="00D53FFE" w:rsidRDefault="00D53FFE" w:rsidP="00D53FFE">
      <w:pPr>
        <w:rPr>
          <w:rFonts w:ascii="Arial" w:hAnsi="Arial" w:cs="Arial"/>
          <w:lang w:val="en-US"/>
        </w:rPr>
      </w:pPr>
    </w:p>
    <w:p w:rsidR="008960A4" w:rsidRDefault="008960A4" w:rsidP="00D53FFE">
      <w:pPr>
        <w:jc w:val="both"/>
        <w:rPr>
          <w:rFonts w:ascii="Arial" w:hAnsi="Arial" w:cs="Arial"/>
          <w:b/>
        </w:rPr>
      </w:pPr>
    </w:p>
    <w:p w:rsidR="008960A4" w:rsidRDefault="008960A4"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-15</w:t>
      </w:r>
    </w:p>
    <w:p w:rsidR="00D3134C" w:rsidRPr="00E018F0" w:rsidRDefault="00D3134C" w:rsidP="00D53FFE">
      <w:pPr>
        <w:jc w:val="both"/>
        <w:rPr>
          <w:rFonts w:ascii="Arial" w:hAnsi="Arial" w:cs="Arial"/>
          <w:b/>
        </w:rPr>
      </w:pPr>
    </w:p>
    <w:p w:rsidR="00D53FFE" w:rsidRDefault="00D53FFE" w:rsidP="00D3134C">
      <w:pPr>
        <w:jc w:val="center"/>
        <w:rPr>
          <w:rFonts w:ascii="Arial" w:hAnsi="Arial" w:cs="Arial"/>
          <w:lang w:val="en-US"/>
        </w:rPr>
      </w:pPr>
      <w:r w:rsidRPr="000E163A">
        <w:rPr>
          <w:rFonts w:ascii="Arial" w:hAnsi="Arial" w:cs="Arial"/>
          <w:noProof/>
          <w:lang w:val="ro-RO" w:eastAsia="ro-RO"/>
        </w:rPr>
        <w:drawing>
          <wp:inline distT="0" distB="0" distL="0" distR="0">
            <wp:extent cx="4772025" cy="3009900"/>
            <wp:effectExtent l="19050" t="0" r="9525" b="0"/>
            <wp:docPr id="44"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1"/>
              </a:graphicData>
            </a:graphic>
          </wp:inline>
        </w:drawing>
      </w:r>
    </w:p>
    <w:p w:rsidR="00D53FFE" w:rsidRPr="004C0937" w:rsidRDefault="00D53FFE" w:rsidP="00D53FFE">
      <w:pPr>
        <w:rPr>
          <w:rFonts w:ascii="Arial" w:hAnsi="Arial" w:cs="Arial"/>
          <w:lang w:val="en-US"/>
        </w:rPr>
      </w:pPr>
    </w:p>
    <w:p w:rsidR="00D53FFE" w:rsidRPr="009D7F1C" w:rsidRDefault="00D53FFE" w:rsidP="00D53FFE">
      <w:pPr>
        <w:rPr>
          <w:rFonts w:ascii="Arial" w:hAnsi="Arial" w:cs="Arial"/>
          <w:lang w:val="fr-BE"/>
        </w:rPr>
      </w:pPr>
      <w:r>
        <w:rPr>
          <w:rFonts w:ascii="Arial" w:hAnsi="Arial" w:cs="Arial"/>
          <w:lang w:val="fr-BE"/>
        </w:rPr>
        <w:t>Cod indicator România RO 39</w:t>
      </w:r>
    </w:p>
    <w:p w:rsidR="00D53FFE" w:rsidRPr="006C3824" w:rsidRDefault="00D53FFE" w:rsidP="00D53FFE">
      <w:pPr>
        <w:tabs>
          <w:tab w:val="left" w:pos="5025"/>
        </w:tabs>
        <w:rPr>
          <w:rFonts w:ascii="Arial" w:hAnsi="Arial" w:cs="Arial"/>
          <w:b/>
          <w:lang w:val="fr-BE"/>
        </w:rPr>
      </w:pPr>
      <w:r w:rsidRPr="006C3824">
        <w:rPr>
          <w:rFonts w:ascii="Arial" w:hAnsi="Arial" w:cs="Arial"/>
          <w:b/>
          <w:lang w:val="fr-BE"/>
        </w:rPr>
        <w:t>Emisiile de poluanți organici persistenți</w:t>
      </w:r>
      <w:r w:rsidRPr="006C3824">
        <w:rPr>
          <w:rFonts w:ascii="Arial" w:hAnsi="Arial" w:cs="Arial"/>
          <w:b/>
          <w:lang w:val="fr-BE"/>
        </w:rPr>
        <w:tab/>
      </w:r>
    </w:p>
    <w:p w:rsidR="00D3134C" w:rsidRDefault="00D3134C" w:rsidP="00D53FFE">
      <w:pPr>
        <w:jc w:val="both"/>
        <w:rPr>
          <w:rFonts w:ascii="Arial" w:hAnsi="Arial" w:cs="Arial"/>
          <w:b/>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-16</w:t>
      </w:r>
    </w:p>
    <w:p w:rsidR="00D3134C" w:rsidRPr="00E018F0" w:rsidRDefault="00D3134C" w:rsidP="00D53FFE">
      <w:pPr>
        <w:jc w:val="both"/>
        <w:rPr>
          <w:rFonts w:ascii="Arial" w:hAnsi="Arial" w:cs="Arial"/>
          <w:b/>
        </w:rPr>
      </w:pPr>
    </w:p>
    <w:p w:rsidR="00D53FFE" w:rsidRDefault="00D53FFE" w:rsidP="00D3134C">
      <w:pPr>
        <w:ind w:firstLine="708"/>
        <w:jc w:val="center"/>
        <w:rPr>
          <w:rFonts w:ascii="Arial" w:hAnsi="Arial" w:cs="Arial"/>
          <w:lang w:val="en-US"/>
        </w:rPr>
      </w:pPr>
      <w:r w:rsidRPr="004C0937">
        <w:rPr>
          <w:rFonts w:ascii="Arial" w:hAnsi="Arial" w:cs="Arial"/>
          <w:noProof/>
          <w:lang w:val="ro-RO" w:eastAsia="ro-RO"/>
        </w:rPr>
        <w:lastRenderedPageBreak/>
        <w:drawing>
          <wp:inline distT="0" distB="0" distL="0" distR="0">
            <wp:extent cx="4581525" cy="3067050"/>
            <wp:effectExtent l="19050" t="0" r="9525" b="0"/>
            <wp:docPr id="45"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2"/>
              </a:graphicData>
            </a:graphic>
          </wp:inline>
        </w:drawing>
      </w:r>
    </w:p>
    <w:p w:rsidR="00D53FFE" w:rsidRDefault="00D53FFE" w:rsidP="00D53FFE">
      <w:pPr>
        <w:rPr>
          <w:rFonts w:ascii="Arial" w:hAnsi="Arial" w:cs="Arial"/>
          <w:lang w:val="en-US"/>
        </w:rPr>
      </w:pPr>
    </w:p>
    <w:p w:rsidR="00D53FFE" w:rsidRDefault="00D53FFE" w:rsidP="00D53FFE">
      <w:pPr>
        <w:jc w:val="both"/>
        <w:rPr>
          <w:rFonts w:ascii="Arial" w:hAnsi="Arial" w:cs="Arial"/>
          <w:b/>
        </w:rPr>
      </w:pPr>
      <w:r w:rsidRPr="00E018F0">
        <w:rPr>
          <w:rFonts w:ascii="Arial" w:hAnsi="Arial" w:cs="Arial"/>
          <w:b/>
        </w:rPr>
        <w:t>Fig. nr.I.3</w:t>
      </w:r>
      <w:r w:rsidR="008960A4">
        <w:rPr>
          <w:rFonts w:ascii="Arial" w:hAnsi="Arial" w:cs="Arial"/>
          <w:b/>
        </w:rPr>
        <w:t xml:space="preserve">.1. </w:t>
      </w:r>
      <w:r w:rsidRPr="00E018F0">
        <w:rPr>
          <w:rFonts w:ascii="Arial" w:hAnsi="Arial" w:cs="Arial"/>
          <w:b/>
        </w:rPr>
        <w:t>-17</w:t>
      </w:r>
    </w:p>
    <w:p w:rsidR="00D3134C" w:rsidRPr="00E018F0" w:rsidRDefault="00D3134C" w:rsidP="00D53FFE">
      <w:pPr>
        <w:jc w:val="both"/>
        <w:rPr>
          <w:rFonts w:ascii="Arial" w:hAnsi="Arial" w:cs="Arial"/>
          <w:b/>
        </w:rPr>
      </w:pPr>
    </w:p>
    <w:p w:rsidR="00D53FFE" w:rsidRDefault="00D53FFE" w:rsidP="00D3134C">
      <w:pPr>
        <w:jc w:val="center"/>
        <w:rPr>
          <w:rFonts w:ascii="Arial" w:hAnsi="Arial" w:cs="Arial"/>
          <w:lang w:val="en-US"/>
        </w:rPr>
      </w:pPr>
      <w:r w:rsidRPr="003C79CB">
        <w:rPr>
          <w:rFonts w:ascii="Arial" w:hAnsi="Arial" w:cs="Arial"/>
          <w:noProof/>
          <w:lang w:val="ro-RO" w:eastAsia="ro-RO"/>
        </w:rPr>
        <w:drawing>
          <wp:inline distT="0" distB="0" distL="0" distR="0">
            <wp:extent cx="4629150" cy="2981325"/>
            <wp:effectExtent l="19050" t="0" r="19050" b="0"/>
            <wp:docPr id="4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3"/>
              </a:graphicData>
            </a:graphic>
          </wp:inline>
        </w:drawing>
      </w:r>
    </w:p>
    <w:p w:rsidR="00D53FFE" w:rsidRDefault="00D53FFE" w:rsidP="00D53FFE">
      <w:pPr>
        <w:rPr>
          <w:rFonts w:ascii="Arial" w:hAnsi="Arial" w:cs="Arial"/>
          <w:lang w:val="en-US"/>
        </w:rPr>
      </w:pPr>
    </w:p>
    <w:p w:rsidR="00D53FFE" w:rsidRPr="00E018F0" w:rsidRDefault="00D53FFE" w:rsidP="00D53FFE">
      <w:pPr>
        <w:jc w:val="both"/>
        <w:rPr>
          <w:rFonts w:ascii="Arial" w:hAnsi="Arial" w:cs="Arial"/>
          <w:b/>
        </w:rPr>
      </w:pPr>
      <w:r w:rsidRPr="00E018F0">
        <w:rPr>
          <w:rFonts w:ascii="Arial" w:hAnsi="Arial" w:cs="Arial"/>
          <w:b/>
          <w:lang w:val="en-US"/>
        </w:rPr>
        <w:tab/>
      </w:r>
      <w:r w:rsidRPr="00E018F0">
        <w:rPr>
          <w:rFonts w:ascii="Arial" w:hAnsi="Arial" w:cs="Arial"/>
          <w:b/>
        </w:rPr>
        <w:t>Fig. nr.I.3</w:t>
      </w:r>
      <w:r w:rsidR="008960A4">
        <w:rPr>
          <w:rFonts w:ascii="Arial" w:hAnsi="Arial" w:cs="Arial"/>
          <w:b/>
        </w:rPr>
        <w:t xml:space="preserve">.1. </w:t>
      </w:r>
      <w:r w:rsidRPr="00E018F0">
        <w:rPr>
          <w:rFonts w:ascii="Arial" w:hAnsi="Arial" w:cs="Arial"/>
          <w:b/>
        </w:rPr>
        <w:t>-18</w:t>
      </w:r>
    </w:p>
    <w:p w:rsidR="00D53FFE" w:rsidRDefault="00D53FFE" w:rsidP="00D53FFE">
      <w:pPr>
        <w:tabs>
          <w:tab w:val="left" w:pos="1425"/>
        </w:tabs>
        <w:rPr>
          <w:rFonts w:ascii="Arial" w:hAnsi="Arial" w:cs="Arial"/>
          <w:lang w:val="en-US"/>
        </w:rPr>
      </w:pPr>
    </w:p>
    <w:p w:rsidR="00D53FFE" w:rsidRDefault="00D53FFE" w:rsidP="00D3134C">
      <w:pPr>
        <w:tabs>
          <w:tab w:val="left" w:pos="1425"/>
        </w:tabs>
        <w:jc w:val="center"/>
        <w:rPr>
          <w:rFonts w:ascii="Arial" w:hAnsi="Arial" w:cs="Arial"/>
          <w:lang w:val="en-US"/>
        </w:rPr>
      </w:pPr>
      <w:r w:rsidRPr="005012DC">
        <w:rPr>
          <w:rFonts w:ascii="Arial" w:hAnsi="Arial" w:cs="Arial"/>
          <w:noProof/>
          <w:lang w:val="ro-RO" w:eastAsia="ro-RO"/>
        </w:rPr>
        <w:lastRenderedPageBreak/>
        <w:drawing>
          <wp:inline distT="0" distB="0" distL="0" distR="0">
            <wp:extent cx="4695825" cy="3019425"/>
            <wp:effectExtent l="19050" t="0" r="9525" b="0"/>
            <wp:docPr id="4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4"/>
              </a:graphicData>
            </a:graphic>
          </wp:inline>
        </w:drawing>
      </w:r>
    </w:p>
    <w:p w:rsidR="00D3134C" w:rsidRDefault="00D3134C" w:rsidP="00D53FFE">
      <w:pPr>
        <w:tabs>
          <w:tab w:val="left" w:pos="1425"/>
        </w:tabs>
        <w:rPr>
          <w:rFonts w:ascii="Arial" w:hAnsi="Arial" w:cs="Arial"/>
          <w:b/>
          <w:lang w:val="fr-BE"/>
        </w:rPr>
      </w:pPr>
    </w:p>
    <w:p w:rsidR="0024783F" w:rsidRDefault="0024783F" w:rsidP="00387256">
      <w:pPr>
        <w:jc w:val="both"/>
        <w:rPr>
          <w:rFonts w:ascii="Arial" w:hAnsi="Arial" w:cs="Arial"/>
          <w:b/>
          <w:lang w:val="ro-RO"/>
        </w:rPr>
      </w:pPr>
    </w:p>
    <w:p w:rsidR="0024783F" w:rsidRDefault="006D0CCA" w:rsidP="00387256">
      <w:pPr>
        <w:jc w:val="both"/>
        <w:rPr>
          <w:rFonts w:ascii="Arial" w:hAnsi="Arial" w:cs="Arial"/>
          <w:b/>
          <w:lang w:val="ro-RO"/>
        </w:rPr>
      </w:pPr>
      <w:r>
        <w:rPr>
          <w:rFonts w:ascii="Arial" w:hAnsi="Arial" w:cs="Arial"/>
          <w:b/>
          <w:lang w:val="ro-RO"/>
        </w:rPr>
        <w:t>I</w:t>
      </w:r>
      <w:r w:rsidR="004A5EFE">
        <w:rPr>
          <w:rFonts w:ascii="Arial" w:hAnsi="Arial" w:cs="Arial"/>
          <w:b/>
          <w:lang w:val="ro-RO"/>
        </w:rPr>
        <w:t>.4</w:t>
      </w:r>
      <w:r>
        <w:rPr>
          <w:rFonts w:ascii="Arial" w:hAnsi="Arial" w:cs="Arial"/>
          <w:b/>
          <w:lang w:val="ro-RO"/>
        </w:rPr>
        <w:t>. Politici,</w:t>
      </w:r>
      <w:r w:rsidR="00025BBC">
        <w:rPr>
          <w:rFonts w:ascii="Arial" w:hAnsi="Arial" w:cs="Arial"/>
          <w:b/>
          <w:lang w:val="ro-RO"/>
        </w:rPr>
        <w:t xml:space="preserve"> </w:t>
      </w:r>
      <w:r>
        <w:rPr>
          <w:rFonts w:ascii="Arial" w:hAnsi="Arial" w:cs="Arial"/>
          <w:b/>
          <w:lang w:val="ro-RO"/>
        </w:rPr>
        <w:t>acțiuni și măsuri pentru îmbunătățirea calității aerului înconjurător</w:t>
      </w:r>
    </w:p>
    <w:p w:rsidR="00977724" w:rsidRDefault="00977724" w:rsidP="0024783F">
      <w:pPr>
        <w:autoSpaceDE w:val="0"/>
        <w:autoSpaceDN w:val="0"/>
        <w:adjustRightInd w:val="0"/>
        <w:jc w:val="both"/>
        <w:rPr>
          <w:rFonts w:ascii="Arial" w:hAnsi="Arial" w:cs="Arial"/>
          <w:b/>
          <w:bCs/>
          <w:i/>
          <w:iCs/>
        </w:rPr>
      </w:pPr>
    </w:p>
    <w:p w:rsidR="0024783F" w:rsidRPr="0024783F" w:rsidRDefault="0024783F" w:rsidP="0024783F">
      <w:pPr>
        <w:autoSpaceDE w:val="0"/>
        <w:autoSpaceDN w:val="0"/>
        <w:adjustRightInd w:val="0"/>
        <w:jc w:val="both"/>
        <w:rPr>
          <w:rFonts w:ascii="Arial" w:hAnsi="Arial" w:cs="Arial"/>
          <w:b/>
          <w:bCs/>
          <w:i/>
          <w:iCs/>
        </w:rPr>
      </w:pPr>
      <w:r w:rsidRPr="0024783F">
        <w:rPr>
          <w:rFonts w:ascii="Arial" w:hAnsi="Arial" w:cs="Arial"/>
          <w:b/>
          <w:bCs/>
          <w:i/>
          <w:iCs/>
        </w:rPr>
        <w:t>Elaborarea Programului de gestionare a calităţii aerului pentru perioada 2010-2014 în aglomerarea Brăila</w:t>
      </w:r>
    </w:p>
    <w:p w:rsidR="0024783F" w:rsidRPr="00B95B57" w:rsidRDefault="0024783F" w:rsidP="0024783F">
      <w:pPr>
        <w:autoSpaceDE w:val="0"/>
        <w:autoSpaceDN w:val="0"/>
        <w:adjustRightInd w:val="0"/>
        <w:jc w:val="both"/>
        <w:rPr>
          <w:rFonts w:ascii="Arial" w:eastAsia="Times New Roman" w:hAnsi="Arial" w:cs="Arial"/>
          <w:b/>
          <w:bCs/>
          <w:i/>
          <w:iCs/>
        </w:rPr>
      </w:pPr>
    </w:p>
    <w:p w:rsidR="0024783F" w:rsidRPr="0020504E" w:rsidRDefault="0024783F" w:rsidP="0024783F">
      <w:pPr>
        <w:jc w:val="both"/>
        <w:rPr>
          <w:rFonts w:ascii="Arial" w:hAnsi="Arial" w:cs="Arial"/>
          <w:b/>
          <w:noProof/>
          <w:u w:val="single"/>
        </w:rPr>
      </w:pPr>
      <w:r w:rsidRPr="00B95B57">
        <w:rPr>
          <w:rFonts w:ascii="Arial" w:eastAsia="Times New Roman" w:hAnsi="Arial" w:cs="Arial"/>
          <w:b/>
        </w:rPr>
        <w:t>Programului de gestionare a calităţii aerului pentru poluantul PM 10 în Judeţul Brăila – localităţile: Brăila, Cazasu, Chiscani, Frecăţei, Gropeni, Măraşu, Romanu, Tichileşti, Tudor Vladimirescu, Vădeni</w:t>
      </w:r>
      <w:r>
        <w:rPr>
          <w:rFonts w:ascii="Arial" w:eastAsia="Times New Roman" w:hAnsi="Arial" w:cs="Arial"/>
          <w:b/>
        </w:rPr>
        <w:t xml:space="preserve"> </w:t>
      </w:r>
      <w:r w:rsidRPr="00CD51BC">
        <w:rPr>
          <w:rFonts w:ascii="Arial" w:eastAsia="Times New Roman" w:hAnsi="Arial" w:cs="Arial"/>
        </w:rPr>
        <w:t xml:space="preserve">a </w:t>
      </w:r>
      <w:r w:rsidRPr="0020504E">
        <w:rPr>
          <w:rFonts w:ascii="Arial" w:hAnsi="Arial" w:cs="Arial"/>
          <w:noProof/>
        </w:rPr>
        <w:t xml:space="preserve">fost elaborat în anul 2010 conform  prevederilor </w:t>
      </w:r>
      <w:r w:rsidRPr="0020504E">
        <w:rPr>
          <w:rFonts w:ascii="Arial" w:hAnsi="Arial" w:cs="Arial"/>
          <w:i/>
          <w:noProof/>
        </w:rPr>
        <w:t>OM. nr. 35/2007 privind aprobarea Metodologiei de elaborare şi punere în aplicare a planurilor şi programelor de gestionare a calităţii aerului</w:t>
      </w:r>
      <w:r w:rsidRPr="0020504E">
        <w:rPr>
          <w:rFonts w:ascii="Arial" w:hAnsi="Arial" w:cs="Arial"/>
          <w:noProof/>
        </w:rPr>
        <w:t>, și a fost adoptat  de către Consiliul Judeţean Brăila prin Hotărârea nr. 105/31.08.2010.</w:t>
      </w:r>
    </w:p>
    <w:p w:rsidR="0024783F" w:rsidRPr="00B95B57" w:rsidRDefault="0024783F" w:rsidP="0024783F">
      <w:pPr>
        <w:autoSpaceDE w:val="0"/>
        <w:autoSpaceDN w:val="0"/>
        <w:adjustRightInd w:val="0"/>
        <w:jc w:val="both"/>
        <w:rPr>
          <w:rFonts w:ascii="Arial" w:eastAsia="Times New Roman" w:hAnsi="Arial" w:cs="Arial"/>
        </w:rPr>
      </w:pPr>
      <w:r>
        <w:rPr>
          <w:rFonts w:ascii="Arial" w:eastAsia="Times New Roman" w:hAnsi="Arial" w:cs="Arial"/>
        </w:rPr>
        <w:t xml:space="preserve"> Acest Program a fost inițiat având drept</w:t>
      </w:r>
      <w:r w:rsidRPr="00B95B57">
        <w:rPr>
          <w:rFonts w:ascii="Arial" w:eastAsia="Times New Roman" w:hAnsi="Arial" w:cs="Arial"/>
        </w:rPr>
        <w:t xml:space="preserve"> scop îmbunătăţir</w:t>
      </w:r>
      <w:r>
        <w:rPr>
          <w:rFonts w:ascii="Arial" w:eastAsia="Times New Roman" w:hAnsi="Arial" w:cs="Arial"/>
        </w:rPr>
        <w:t>ea</w:t>
      </w:r>
      <w:r w:rsidRPr="00B95B57">
        <w:rPr>
          <w:rFonts w:ascii="Arial" w:eastAsia="Times New Roman" w:hAnsi="Arial" w:cs="Arial"/>
        </w:rPr>
        <w:t xml:space="preserve"> calităţii aerului în cel mai scurt</w:t>
      </w:r>
      <w:r>
        <w:rPr>
          <w:rFonts w:ascii="Arial" w:eastAsia="Times New Roman" w:hAnsi="Arial" w:cs="Arial"/>
        </w:rPr>
        <w:t xml:space="preserve"> </w:t>
      </w:r>
      <w:r w:rsidRPr="00B95B57">
        <w:rPr>
          <w:rFonts w:ascii="Arial" w:eastAsia="Times New Roman" w:hAnsi="Arial" w:cs="Arial"/>
        </w:rPr>
        <w:t>timp posibil, respectiv încadrarea în limita maximă admisibilă pentru indicatorul pulberi în</w:t>
      </w:r>
      <w:r>
        <w:rPr>
          <w:rFonts w:ascii="Arial" w:eastAsia="Times New Roman" w:hAnsi="Arial" w:cs="Arial"/>
        </w:rPr>
        <w:t xml:space="preserve"> suspensie – fracţiunea PM10</w:t>
      </w:r>
      <w:r w:rsidRPr="00B95B57">
        <w:rPr>
          <w:rFonts w:ascii="Arial" w:eastAsia="Times New Roman" w:hAnsi="Arial" w:cs="Arial"/>
        </w:rPr>
        <w:t xml:space="preserve"> şi ulterior menţinerea calităţii aerului.</w:t>
      </w:r>
      <w:r>
        <w:rPr>
          <w:rFonts w:ascii="Arial" w:eastAsia="Times New Roman" w:hAnsi="Arial" w:cs="Arial"/>
        </w:rPr>
        <w:t xml:space="preserve"> </w:t>
      </w:r>
    </w:p>
    <w:p w:rsidR="0024783F" w:rsidRPr="00B223CF" w:rsidRDefault="0024783F" w:rsidP="0024783F">
      <w:pPr>
        <w:autoSpaceDE w:val="0"/>
        <w:autoSpaceDN w:val="0"/>
        <w:adjustRightInd w:val="0"/>
        <w:jc w:val="both"/>
        <w:rPr>
          <w:rFonts w:ascii="Arial" w:eastAsia="Times New Roman" w:hAnsi="Arial" w:cs="Arial"/>
        </w:rPr>
      </w:pPr>
      <w:r w:rsidRPr="00B223CF">
        <w:rPr>
          <w:rFonts w:ascii="Arial" w:eastAsia="Times New Roman" w:hAnsi="Arial" w:cs="Arial"/>
        </w:rPr>
        <w:t>Programul de gestionare a calit</w:t>
      </w:r>
      <w:r>
        <w:rPr>
          <w:rFonts w:ascii="Arial" w:eastAsia="Times New Roman" w:hAnsi="Arial" w:cs="Arial"/>
        </w:rPr>
        <w:t>ăț</w:t>
      </w:r>
      <w:r w:rsidRPr="00B223CF">
        <w:rPr>
          <w:rFonts w:ascii="Arial" w:eastAsia="Times New Roman" w:hAnsi="Arial" w:cs="Arial"/>
        </w:rPr>
        <w:t>ii aerului include măsuri clare cu termene de realizare,</w:t>
      </w:r>
      <w:r>
        <w:rPr>
          <w:rFonts w:ascii="Arial" w:eastAsia="Times New Roman" w:hAnsi="Arial" w:cs="Arial"/>
        </w:rPr>
        <w:t xml:space="preserve"> </w:t>
      </w:r>
      <w:r w:rsidRPr="00B223CF">
        <w:rPr>
          <w:rFonts w:ascii="Arial" w:eastAsia="Times New Roman" w:hAnsi="Arial" w:cs="Arial"/>
        </w:rPr>
        <w:t>estimări de costuri şi responsabili cu implementarea măsurilor. Acestea sunt structurate în</w:t>
      </w:r>
      <w:r>
        <w:rPr>
          <w:rFonts w:ascii="Arial" w:eastAsia="Times New Roman" w:hAnsi="Arial" w:cs="Arial"/>
        </w:rPr>
        <w:t xml:space="preserve"> </w:t>
      </w:r>
      <w:r w:rsidRPr="00B223CF">
        <w:rPr>
          <w:rFonts w:ascii="Arial" w:eastAsia="Times New Roman" w:hAnsi="Arial" w:cs="Arial"/>
        </w:rPr>
        <w:t>funcţie de sursele de emisie astfel:</w:t>
      </w:r>
    </w:p>
    <w:p w:rsidR="0024783F" w:rsidRPr="00C71C6A" w:rsidRDefault="0024783F" w:rsidP="005E6B2E">
      <w:pPr>
        <w:pStyle w:val="ListParagraph"/>
        <w:numPr>
          <w:ilvl w:val="0"/>
          <w:numId w:val="7"/>
        </w:numPr>
        <w:autoSpaceDE w:val="0"/>
        <w:autoSpaceDN w:val="0"/>
        <w:adjustRightInd w:val="0"/>
        <w:ind w:left="567" w:hanging="207"/>
        <w:jc w:val="both"/>
        <w:rPr>
          <w:rFonts w:ascii="Arial" w:hAnsi="Arial" w:cs="Arial"/>
        </w:rPr>
      </w:pPr>
      <w:r w:rsidRPr="00C71C6A">
        <w:rPr>
          <w:rFonts w:ascii="Arial" w:hAnsi="Arial" w:cs="Arial"/>
        </w:rPr>
        <w:t>măsuri pentru reducerea poluării din surse fixe (industriale);</w:t>
      </w:r>
    </w:p>
    <w:p w:rsidR="0024783F" w:rsidRPr="00C71C6A" w:rsidRDefault="0024783F" w:rsidP="005E6B2E">
      <w:pPr>
        <w:pStyle w:val="ListParagraph"/>
        <w:numPr>
          <w:ilvl w:val="0"/>
          <w:numId w:val="7"/>
        </w:numPr>
        <w:autoSpaceDE w:val="0"/>
        <w:autoSpaceDN w:val="0"/>
        <w:adjustRightInd w:val="0"/>
        <w:ind w:left="567" w:hanging="207"/>
        <w:jc w:val="both"/>
        <w:rPr>
          <w:rFonts w:ascii="Arial" w:hAnsi="Arial" w:cs="Arial"/>
        </w:rPr>
      </w:pPr>
      <w:r w:rsidRPr="00C71C6A">
        <w:rPr>
          <w:rFonts w:ascii="Arial" w:hAnsi="Arial" w:cs="Arial"/>
        </w:rPr>
        <w:t>măsuri pentru reducerea poluării produsă de surse liniare (trafic);</w:t>
      </w:r>
    </w:p>
    <w:p w:rsidR="0024783F" w:rsidRPr="00C71C6A" w:rsidRDefault="0024783F" w:rsidP="005E6B2E">
      <w:pPr>
        <w:pStyle w:val="ListParagraph"/>
        <w:numPr>
          <w:ilvl w:val="0"/>
          <w:numId w:val="7"/>
        </w:numPr>
        <w:autoSpaceDE w:val="0"/>
        <w:autoSpaceDN w:val="0"/>
        <w:adjustRightInd w:val="0"/>
        <w:ind w:left="567" w:hanging="207"/>
        <w:jc w:val="both"/>
        <w:rPr>
          <w:rFonts w:ascii="Arial" w:hAnsi="Arial" w:cs="Arial"/>
        </w:rPr>
      </w:pPr>
      <w:r w:rsidRPr="00C71C6A">
        <w:rPr>
          <w:rFonts w:ascii="Arial" w:hAnsi="Arial" w:cs="Arial"/>
        </w:rPr>
        <w:t>măsuri de întreţinere, amenajare şi reabilitare spaţii verzi;</w:t>
      </w:r>
    </w:p>
    <w:p w:rsidR="0024783F" w:rsidRPr="00C71C6A" w:rsidRDefault="0024783F" w:rsidP="005E6B2E">
      <w:pPr>
        <w:pStyle w:val="ListParagraph"/>
        <w:numPr>
          <w:ilvl w:val="0"/>
          <w:numId w:val="7"/>
        </w:numPr>
        <w:tabs>
          <w:tab w:val="left" w:pos="851"/>
        </w:tabs>
        <w:autoSpaceDE w:val="0"/>
        <w:autoSpaceDN w:val="0"/>
        <w:adjustRightInd w:val="0"/>
        <w:ind w:left="567" w:hanging="207"/>
        <w:jc w:val="both"/>
        <w:rPr>
          <w:rFonts w:ascii="Arial" w:hAnsi="Arial" w:cs="Arial"/>
        </w:rPr>
      </w:pPr>
      <w:r w:rsidRPr="00C71C6A">
        <w:rPr>
          <w:rFonts w:ascii="Arial" w:hAnsi="Arial" w:cs="Arial"/>
        </w:rPr>
        <w:t>măsuri pentru reducerea poluării din surse de suprafaţă (încălzire rezidenţială).</w:t>
      </w:r>
    </w:p>
    <w:p w:rsidR="0024783F" w:rsidRPr="00DD58BF" w:rsidRDefault="0024783F" w:rsidP="0024783F">
      <w:pPr>
        <w:pStyle w:val="ListParagraph"/>
        <w:ind w:left="0"/>
        <w:jc w:val="both"/>
        <w:rPr>
          <w:rFonts w:ascii="Arial" w:hAnsi="Arial" w:cs="Arial"/>
          <w:noProof/>
        </w:rPr>
      </w:pPr>
      <w:r w:rsidRPr="00DD58BF">
        <w:rPr>
          <w:rFonts w:ascii="Arial" w:hAnsi="Arial" w:cs="Arial"/>
        </w:rPr>
        <w:t xml:space="preserve"> </w:t>
      </w:r>
      <w:r w:rsidRPr="00DD58BF">
        <w:rPr>
          <w:rFonts w:ascii="Arial" w:hAnsi="Arial" w:cs="Arial"/>
          <w:noProof/>
        </w:rPr>
        <w:t>În vederea încadrării în valorile limită admise pentru concentraţiile poluantului PM 10 și menținerea în pers</w:t>
      </w:r>
      <w:r w:rsidR="00F92AE5">
        <w:rPr>
          <w:rFonts w:ascii="Arial" w:hAnsi="Arial" w:cs="Arial"/>
          <w:noProof/>
        </w:rPr>
        <w:t>pectivă sub aceste valori , UAT</w:t>
      </w:r>
      <w:r w:rsidRPr="00DD58BF">
        <w:rPr>
          <w:rFonts w:ascii="Arial" w:hAnsi="Arial" w:cs="Arial"/>
          <w:noProof/>
        </w:rPr>
        <w:t xml:space="preserve">–urile incluse în program și-au asumat un număr de </w:t>
      </w:r>
      <w:r w:rsidRPr="00DD58BF">
        <w:rPr>
          <w:rFonts w:ascii="Arial" w:hAnsi="Arial" w:cs="Arial"/>
          <w:b/>
          <w:noProof/>
        </w:rPr>
        <w:t>79 de măsuri specifice cu derulare în perioada 2010 – 2014.</w:t>
      </w:r>
      <w:r w:rsidRPr="00DD58BF">
        <w:rPr>
          <w:rFonts w:ascii="Arial" w:hAnsi="Arial" w:cs="Arial"/>
          <w:noProof/>
        </w:rPr>
        <w:t xml:space="preserve"> </w:t>
      </w:r>
    </w:p>
    <w:p w:rsidR="0024783F" w:rsidRPr="00DD58BF" w:rsidRDefault="0024783F" w:rsidP="0024783F">
      <w:pPr>
        <w:jc w:val="both"/>
        <w:rPr>
          <w:rFonts w:ascii="Arial" w:hAnsi="Arial" w:cs="Arial"/>
          <w:noProof/>
        </w:rPr>
      </w:pPr>
      <w:r w:rsidRPr="00DD58BF">
        <w:rPr>
          <w:rFonts w:ascii="Arial" w:hAnsi="Arial" w:cs="Arial"/>
          <w:noProof/>
        </w:rPr>
        <w:t xml:space="preserve">În urma monitorizării de către APM Brăila a acestui program, </w:t>
      </w:r>
      <w:r w:rsidRPr="00EE4BE5">
        <w:rPr>
          <w:rFonts w:ascii="Arial" w:hAnsi="Arial" w:cs="Arial"/>
          <w:b/>
          <w:noProof/>
        </w:rPr>
        <w:t>s</w:t>
      </w:r>
      <w:r w:rsidRPr="00DD58BF">
        <w:rPr>
          <w:rFonts w:ascii="Arial" w:hAnsi="Arial" w:cs="Arial"/>
          <w:b/>
          <w:noProof/>
        </w:rPr>
        <w:t>tadiul realizării măsurilor la 31.12.2014 se prezintă astfel:</w:t>
      </w:r>
    </w:p>
    <w:p w:rsidR="0024783F" w:rsidRPr="00DD58BF" w:rsidRDefault="0024783F" w:rsidP="0024783F">
      <w:pPr>
        <w:autoSpaceDE w:val="0"/>
        <w:autoSpaceDN w:val="0"/>
        <w:adjustRightInd w:val="0"/>
        <w:jc w:val="both"/>
        <w:rPr>
          <w:rFonts w:ascii="Arial" w:hAnsi="Arial" w:cs="Arial"/>
          <w:noProof/>
        </w:rPr>
      </w:pPr>
      <w:r w:rsidRPr="00DD58BF">
        <w:rPr>
          <w:rFonts w:ascii="Arial" w:hAnsi="Arial" w:cs="Arial"/>
          <w:noProof/>
        </w:rPr>
        <w:t>Măsuri cu termene scadente pentru perioada 2010 – 2014  = 79 din care :</w:t>
      </w:r>
    </w:p>
    <w:p w:rsidR="0024783F" w:rsidRPr="00DD58BF" w:rsidRDefault="0024783F" w:rsidP="005E6B2E">
      <w:pPr>
        <w:pStyle w:val="ListParagraph"/>
        <w:numPr>
          <w:ilvl w:val="0"/>
          <w:numId w:val="5"/>
        </w:numPr>
        <w:tabs>
          <w:tab w:val="left" w:pos="720"/>
        </w:tabs>
        <w:suppressAutoHyphens/>
        <w:autoSpaceDE w:val="0"/>
        <w:autoSpaceDN w:val="0"/>
        <w:adjustRightInd w:val="0"/>
        <w:jc w:val="both"/>
        <w:rPr>
          <w:rFonts w:ascii="Arial" w:hAnsi="Arial" w:cs="Arial"/>
          <w:noProof/>
        </w:rPr>
      </w:pPr>
      <w:r w:rsidRPr="00DD58BF">
        <w:rPr>
          <w:rFonts w:ascii="Arial" w:hAnsi="Arial" w:cs="Arial"/>
          <w:noProof/>
        </w:rPr>
        <w:t xml:space="preserve">Realizate </w:t>
      </w:r>
      <w:r w:rsidR="00F92AE5">
        <w:rPr>
          <w:rFonts w:ascii="Arial" w:hAnsi="Arial" w:cs="Arial"/>
          <w:noProof/>
        </w:rPr>
        <w:tab/>
      </w:r>
      <w:r w:rsidRPr="00DD58BF">
        <w:rPr>
          <w:rFonts w:ascii="Arial" w:hAnsi="Arial" w:cs="Arial"/>
          <w:noProof/>
        </w:rPr>
        <w:t>= 70  ( 88%)</w:t>
      </w:r>
    </w:p>
    <w:p w:rsidR="0024783F" w:rsidRPr="00DD58BF" w:rsidRDefault="0024783F" w:rsidP="005E6B2E">
      <w:pPr>
        <w:pStyle w:val="ListParagraph"/>
        <w:numPr>
          <w:ilvl w:val="0"/>
          <w:numId w:val="5"/>
        </w:numPr>
        <w:tabs>
          <w:tab w:val="left" w:pos="720"/>
        </w:tabs>
        <w:suppressAutoHyphens/>
        <w:autoSpaceDE w:val="0"/>
        <w:autoSpaceDN w:val="0"/>
        <w:adjustRightInd w:val="0"/>
        <w:jc w:val="both"/>
        <w:rPr>
          <w:rFonts w:ascii="Arial" w:hAnsi="Arial" w:cs="Arial"/>
          <w:noProof/>
        </w:rPr>
      </w:pPr>
      <w:r w:rsidRPr="00DD58BF">
        <w:rPr>
          <w:rFonts w:ascii="Arial" w:hAnsi="Arial" w:cs="Arial"/>
          <w:noProof/>
        </w:rPr>
        <w:t xml:space="preserve">Nerealizate </w:t>
      </w:r>
      <w:r w:rsidR="00F92AE5">
        <w:rPr>
          <w:rFonts w:ascii="Arial" w:hAnsi="Arial" w:cs="Arial"/>
          <w:noProof/>
        </w:rPr>
        <w:tab/>
      </w:r>
      <w:r w:rsidRPr="00DD58BF">
        <w:rPr>
          <w:rFonts w:ascii="Arial" w:hAnsi="Arial" w:cs="Arial"/>
          <w:noProof/>
        </w:rPr>
        <w:t>= 3 ( din cauza lipsei resurselor de finanțare)</w:t>
      </w:r>
    </w:p>
    <w:p w:rsidR="0024783F" w:rsidRPr="00DD58BF" w:rsidRDefault="0024783F" w:rsidP="005E6B2E">
      <w:pPr>
        <w:pStyle w:val="ListParagraph"/>
        <w:numPr>
          <w:ilvl w:val="0"/>
          <w:numId w:val="5"/>
        </w:numPr>
        <w:tabs>
          <w:tab w:val="left" w:pos="720"/>
        </w:tabs>
        <w:suppressAutoHyphens/>
        <w:autoSpaceDE w:val="0"/>
        <w:autoSpaceDN w:val="0"/>
        <w:adjustRightInd w:val="0"/>
        <w:contextualSpacing w:val="0"/>
        <w:jc w:val="both"/>
        <w:rPr>
          <w:rFonts w:ascii="Arial" w:hAnsi="Arial" w:cs="Arial"/>
          <w:noProof/>
        </w:rPr>
      </w:pPr>
      <w:r w:rsidRPr="00DD58BF">
        <w:rPr>
          <w:rFonts w:ascii="Arial" w:hAnsi="Arial" w:cs="Arial"/>
          <w:noProof/>
        </w:rPr>
        <w:t xml:space="preserve">Anulate      </w:t>
      </w:r>
      <w:r w:rsidR="00F92AE5">
        <w:rPr>
          <w:rFonts w:ascii="Arial" w:hAnsi="Arial" w:cs="Arial"/>
          <w:noProof/>
        </w:rPr>
        <w:tab/>
      </w:r>
      <w:r w:rsidRPr="00DD58BF">
        <w:rPr>
          <w:rFonts w:ascii="Arial" w:hAnsi="Arial" w:cs="Arial"/>
          <w:noProof/>
        </w:rPr>
        <w:t xml:space="preserve">= 3  ( aferente CET Brăila care și-a încetat activitatea)  </w:t>
      </w:r>
    </w:p>
    <w:p w:rsidR="009020EB" w:rsidRDefault="00F92AE5" w:rsidP="005E6B2E">
      <w:pPr>
        <w:pStyle w:val="ListParagraph"/>
        <w:numPr>
          <w:ilvl w:val="0"/>
          <w:numId w:val="5"/>
        </w:numPr>
        <w:tabs>
          <w:tab w:val="left" w:pos="720"/>
        </w:tabs>
        <w:suppressAutoHyphens/>
        <w:autoSpaceDE w:val="0"/>
        <w:autoSpaceDN w:val="0"/>
        <w:adjustRightInd w:val="0"/>
        <w:jc w:val="both"/>
        <w:rPr>
          <w:rFonts w:ascii="Arial" w:hAnsi="Arial" w:cs="Arial"/>
          <w:noProof/>
        </w:rPr>
      </w:pPr>
      <w:r>
        <w:rPr>
          <w:rFonts w:ascii="Arial" w:hAnsi="Arial" w:cs="Arial"/>
          <w:noProof/>
        </w:rPr>
        <w:t>Măsuri scadente în anul 2014(</w:t>
      </w:r>
      <w:r w:rsidR="0024783F" w:rsidRPr="00DD58BF">
        <w:rPr>
          <w:rFonts w:ascii="Arial" w:hAnsi="Arial" w:cs="Arial"/>
          <w:noProof/>
        </w:rPr>
        <w:t>în derulare</w:t>
      </w:r>
      <w:r>
        <w:rPr>
          <w:rFonts w:ascii="Arial" w:hAnsi="Arial" w:cs="Arial"/>
          <w:noProof/>
        </w:rPr>
        <w:t>)</w:t>
      </w:r>
      <w:r w:rsidR="0024783F" w:rsidRPr="00DD58BF">
        <w:rPr>
          <w:rFonts w:ascii="Arial" w:hAnsi="Arial" w:cs="Arial"/>
          <w:noProof/>
        </w:rPr>
        <w:t xml:space="preserve"> = 3 cu termene decalate </w:t>
      </w:r>
      <w:r w:rsidR="0024783F">
        <w:rPr>
          <w:rFonts w:ascii="Arial" w:hAnsi="Arial" w:cs="Arial"/>
          <w:noProof/>
        </w:rPr>
        <w:t>î</w:t>
      </w:r>
      <w:r>
        <w:rPr>
          <w:rFonts w:ascii="Arial" w:hAnsi="Arial" w:cs="Arial"/>
          <w:noProof/>
        </w:rPr>
        <w:t>n 2015</w:t>
      </w:r>
      <w:r w:rsidR="0024783F" w:rsidRPr="00DD58BF">
        <w:rPr>
          <w:rFonts w:ascii="Arial" w:hAnsi="Arial" w:cs="Arial"/>
          <w:noProof/>
        </w:rPr>
        <w:t>-2 si 2016</w:t>
      </w:r>
      <w:r>
        <w:rPr>
          <w:rFonts w:ascii="Arial" w:hAnsi="Arial" w:cs="Arial"/>
          <w:noProof/>
        </w:rPr>
        <w:t>–</w:t>
      </w:r>
      <w:r w:rsidR="0024783F" w:rsidRPr="00DD58BF">
        <w:rPr>
          <w:rFonts w:ascii="Arial" w:hAnsi="Arial" w:cs="Arial"/>
          <w:noProof/>
        </w:rPr>
        <w:t>1</w:t>
      </w:r>
    </w:p>
    <w:p w:rsidR="00691934" w:rsidRDefault="00691934" w:rsidP="00691934">
      <w:pPr>
        <w:pStyle w:val="ListParagraph"/>
        <w:tabs>
          <w:tab w:val="left" w:pos="720"/>
        </w:tabs>
        <w:suppressAutoHyphens/>
        <w:autoSpaceDE w:val="0"/>
        <w:autoSpaceDN w:val="0"/>
        <w:adjustRightInd w:val="0"/>
        <w:jc w:val="both"/>
        <w:rPr>
          <w:rFonts w:ascii="Arial" w:hAnsi="Arial" w:cs="Arial"/>
          <w:noProof/>
        </w:rPr>
      </w:pPr>
    </w:p>
    <w:p w:rsidR="00691934" w:rsidRPr="00100280" w:rsidRDefault="00691934" w:rsidP="00691934">
      <w:pPr>
        <w:pStyle w:val="BodyTextIndent2"/>
        <w:spacing w:after="0" w:line="240" w:lineRule="auto"/>
        <w:ind w:left="0"/>
        <w:rPr>
          <w:rFonts w:ascii="Arial" w:hAnsi="Arial" w:cs="Arial"/>
          <w:b/>
          <w:bCs/>
          <w:lang w:val="ro-RO"/>
        </w:rPr>
      </w:pPr>
    </w:p>
    <w:p w:rsidR="00691934" w:rsidRPr="00F13F48" w:rsidRDefault="00691934" w:rsidP="00691934">
      <w:pPr>
        <w:pStyle w:val="BodyTextIndent2"/>
        <w:spacing w:after="0" w:line="240" w:lineRule="auto"/>
        <w:ind w:left="0"/>
        <w:rPr>
          <w:rFonts w:ascii="Arial" w:hAnsi="Arial" w:cs="Arial"/>
          <w:b/>
          <w:bCs/>
          <w:u w:val="single"/>
          <w:lang w:val="ro-RO"/>
        </w:rPr>
      </w:pPr>
    </w:p>
    <w:p w:rsidR="00691934" w:rsidRPr="00F13F48" w:rsidRDefault="00691934" w:rsidP="00691934">
      <w:pPr>
        <w:pStyle w:val="BodyTextIndent2"/>
        <w:spacing w:after="0" w:line="240" w:lineRule="auto"/>
        <w:ind w:left="0"/>
        <w:rPr>
          <w:rFonts w:ascii="Arial" w:hAnsi="Arial" w:cs="Arial"/>
          <w:b/>
          <w:bCs/>
          <w:u w:val="single"/>
          <w:lang w:val="ro-RO"/>
        </w:rPr>
      </w:pPr>
      <w:r w:rsidRPr="00F13F48">
        <w:rPr>
          <w:rFonts w:ascii="Arial" w:hAnsi="Arial" w:cs="Arial"/>
          <w:b/>
          <w:bCs/>
          <w:u w:val="single"/>
          <w:lang w:val="ro-RO"/>
        </w:rPr>
        <w:t>CAP. II – APA</w:t>
      </w:r>
    </w:p>
    <w:p w:rsidR="00691934" w:rsidRPr="00F13F48" w:rsidRDefault="00691934" w:rsidP="00691934">
      <w:pPr>
        <w:pStyle w:val="BodyTextIndent2"/>
        <w:spacing w:after="0" w:line="240" w:lineRule="auto"/>
        <w:ind w:left="0"/>
        <w:rPr>
          <w:rFonts w:ascii="Arial" w:hAnsi="Arial" w:cs="Arial"/>
          <w:b/>
          <w:bCs/>
          <w:u w:val="single"/>
          <w:lang w:val="ro-RO"/>
        </w:rPr>
      </w:pPr>
    </w:p>
    <w:p w:rsidR="00691934" w:rsidRPr="00F13F48" w:rsidRDefault="00691934" w:rsidP="00691934">
      <w:pPr>
        <w:pStyle w:val="BodyTextIndent2"/>
        <w:spacing w:after="0" w:line="240" w:lineRule="auto"/>
        <w:ind w:left="0"/>
        <w:rPr>
          <w:rFonts w:ascii="Arial" w:hAnsi="Arial" w:cs="Arial"/>
          <w:b/>
          <w:bCs/>
          <w:u w:val="single"/>
          <w:lang w:val="ro-RO"/>
        </w:rPr>
      </w:pPr>
      <w:r w:rsidRPr="00F13F48">
        <w:rPr>
          <w:rFonts w:ascii="Arial" w:hAnsi="Arial" w:cs="Arial"/>
          <w:b/>
          <w:bCs/>
          <w:u w:val="single"/>
          <w:lang w:val="ro-RO"/>
        </w:rPr>
        <w:t>II.1 Resursele de apă, Cantități și debite</w:t>
      </w:r>
    </w:p>
    <w:p w:rsidR="00691934" w:rsidRPr="00F13F48" w:rsidRDefault="00691934" w:rsidP="00691934">
      <w:pPr>
        <w:pStyle w:val="BodyTextIndent2"/>
        <w:spacing w:after="0" w:line="240" w:lineRule="auto"/>
        <w:ind w:left="0"/>
        <w:rPr>
          <w:rFonts w:ascii="Arial" w:hAnsi="Arial" w:cs="Arial"/>
          <w:b/>
          <w:bCs/>
          <w:u w:val="single"/>
          <w:lang w:val="ro-RO"/>
        </w:rPr>
      </w:pPr>
    </w:p>
    <w:p w:rsidR="00691934" w:rsidRPr="00F13F48" w:rsidRDefault="00691934" w:rsidP="00691934">
      <w:pPr>
        <w:pStyle w:val="BodyTextIndent2"/>
        <w:spacing w:after="0" w:line="240" w:lineRule="auto"/>
        <w:ind w:left="0"/>
        <w:rPr>
          <w:rFonts w:ascii="Arial" w:hAnsi="Arial" w:cs="Arial"/>
          <w:b/>
          <w:bCs/>
          <w:i/>
          <w:iCs/>
          <w:u w:val="single"/>
          <w:lang w:val="ro-RO"/>
        </w:rPr>
      </w:pPr>
      <w:r w:rsidRPr="00F13F48">
        <w:rPr>
          <w:rFonts w:ascii="Arial" w:hAnsi="Arial" w:cs="Arial"/>
          <w:b/>
          <w:bCs/>
          <w:i/>
          <w:iCs/>
          <w:u w:val="single"/>
          <w:lang w:val="ro-RO"/>
        </w:rPr>
        <w:t xml:space="preserve">II.1.1 Stare, presiuni </w:t>
      </w:r>
      <w:r>
        <w:rPr>
          <w:rFonts w:ascii="Arial" w:hAnsi="Arial" w:cs="Arial"/>
          <w:b/>
          <w:bCs/>
          <w:i/>
          <w:iCs/>
          <w:u w:val="single"/>
          <w:lang w:val="ro-RO"/>
        </w:rPr>
        <w:t>şi consecinţ</w:t>
      </w:r>
      <w:r w:rsidRPr="00F13F48">
        <w:rPr>
          <w:rFonts w:ascii="Arial" w:hAnsi="Arial" w:cs="Arial"/>
          <w:b/>
          <w:bCs/>
          <w:i/>
          <w:iCs/>
          <w:u w:val="single"/>
          <w:lang w:val="ro-RO"/>
        </w:rPr>
        <w:t>e</w:t>
      </w:r>
    </w:p>
    <w:p w:rsidR="00691934" w:rsidRPr="00F13F48" w:rsidRDefault="00691934" w:rsidP="00691934">
      <w:pPr>
        <w:pStyle w:val="BodyTextIndent2"/>
        <w:spacing w:after="0" w:line="240" w:lineRule="auto"/>
        <w:ind w:left="0"/>
        <w:rPr>
          <w:rFonts w:ascii="Arial" w:hAnsi="Arial" w:cs="Arial"/>
          <w:b/>
          <w:bCs/>
          <w:i/>
          <w:iCs/>
          <w:u w:val="single"/>
          <w:lang w:val="ro-RO"/>
        </w:rPr>
      </w:pPr>
    </w:p>
    <w:p w:rsidR="00691934" w:rsidRPr="00F13F48" w:rsidRDefault="00691934" w:rsidP="00691934">
      <w:pPr>
        <w:pStyle w:val="Default"/>
        <w:rPr>
          <w:rFonts w:ascii="Arial" w:hAnsi="Arial" w:cs="Arial"/>
          <w:b/>
          <w:bCs/>
          <w:color w:val="auto"/>
        </w:rPr>
      </w:pPr>
      <w:r w:rsidRPr="00F13F48">
        <w:rPr>
          <w:rFonts w:ascii="Arial" w:hAnsi="Arial" w:cs="Arial"/>
          <w:b/>
          <w:bCs/>
          <w:color w:val="auto"/>
        </w:rPr>
        <w:t>II.1.1.1</w:t>
      </w:r>
      <w:r w:rsidRPr="00F13F48">
        <w:rPr>
          <w:rFonts w:ascii="Arial" w:hAnsi="Arial" w:cs="Arial"/>
          <w:b/>
          <w:bCs/>
          <w:i/>
          <w:iCs/>
          <w:color w:val="auto"/>
        </w:rPr>
        <w:t xml:space="preserve"> </w:t>
      </w:r>
      <w:r w:rsidRPr="00F13F48">
        <w:rPr>
          <w:rFonts w:ascii="Arial" w:hAnsi="Arial" w:cs="Arial"/>
          <w:b/>
          <w:bCs/>
          <w:color w:val="auto"/>
        </w:rPr>
        <w:t xml:space="preserve">Resurse de apă potenţiale şi tehnic utilizabile </w:t>
      </w:r>
    </w:p>
    <w:p w:rsidR="00691934" w:rsidRPr="00F13F48" w:rsidRDefault="00691934" w:rsidP="00691934">
      <w:pPr>
        <w:pStyle w:val="Default"/>
        <w:rPr>
          <w:rFonts w:ascii="Arial" w:hAnsi="Arial" w:cs="Arial"/>
          <w:b/>
          <w:bCs/>
          <w:color w:val="auto"/>
        </w:rPr>
      </w:pPr>
    </w:p>
    <w:p w:rsidR="00691934" w:rsidRPr="00F13F48" w:rsidRDefault="00691934" w:rsidP="00691934">
      <w:pPr>
        <w:pStyle w:val="Default"/>
        <w:jc w:val="both"/>
        <w:rPr>
          <w:rFonts w:ascii="Arial" w:hAnsi="Arial" w:cs="Arial"/>
          <w:color w:val="auto"/>
        </w:rPr>
      </w:pPr>
      <w:r w:rsidRPr="00F13F48">
        <w:rPr>
          <w:rFonts w:ascii="Arial" w:hAnsi="Arial" w:cs="Arial"/>
          <w:color w:val="auto"/>
        </w:rPr>
        <w:t>În cadrul acestei secţiuni se vor prezenta, sub formă de tabele centralizatoare la nivelul județului Brăila resursele d</w:t>
      </w:r>
      <w:r>
        <w:rPr>
          <w:rFonts w:ascii="Arial" w:hAnsi="Arial" w:cs="Arial"/>
          <w:color w:val="auto"/>
        </w:rPr>
        <w:t>e apă potenţiale şi tehnic uti</w:t>
      </w:r>
      <w:r w:rsidRPr="00F13F48">
        <w:rPr>
          <w:rFonts w:ascii="Arial" w:hAnsi="Arial" w:cs="Arial"/>
          <w:color w:val="auto"/>
        </w:rPr>
        <w:t xml:space="preserve">lizabile (balanţa apei şi cerinţa de apă) specifice anului 2014, diferenţiat pe tipuri de resurse de apă: râuri interioare, </w:t>
      </w:r>
      <w:r>
        <w:rPr>
          <w:rFonts w:ascii="Arial" w:hAnsi="Arial" w:cs="Arial"/>
          <w:color w:val="auto"/>
        </w:rPr>
        <w:t>fluviul Dunărea, ape subterane.</w:t>
      </w:r>
      <w:r w:rsidRPr="00F13F48">
        <w:rPr>
          <w:rFonts w:ascii="Arial" w:hAnsi="Arial" w:cs="Arial"/>
          <w:color w:val="auto"/>
        </w:rPr>
        <w:t xml:space="preserve"> </w:t>
      </w:r>
    </w:p>
    <w:p w:rsidR="00691934" w:rsidRPr="00F13F48" w:rsidRDefault="00691934" w:rsidP="00691934">
      <w:pPr>
        <w:pStyle w:val="Default"/>
        <w:rPr>
          <w:rFonts w:ascii="Arial" w:hAnsi="Arial" w:cs="Arial"/>
          <w:color w:val="auto"/>
        </w:rPr>
      </w:pPr>
    </w:p>
    <w:p w:rsidR="00691934" w:rsidRDefault="00691934" w:rsidP="00691934">
      <w:pPr>
        <w:pStyle w:val="Default"/>
        <w:rPr>
          <w:rFonts w:ascii="Arial" w:hAnsi="Arial" w:cs="Arial"/>
          <w:color w:val="auto"/>
        </w:rPr>
      </w:pPr>
      <w:r w:rsidRPr="00F13F48">
        <w:rPr>
          <w:rFonts w:ascii="Arial" w:hAnsi="Arial" w:cs="Arial"/>
          <w:b/>
          <w:bCs/>
          <w:color w:val="auto"/>
        </w:rPr>
        <w:t>Tabel nr. II.1.1.1</w:t>
      </w:r>
      <w:r>
        <w:rPr>
          <w:rFonts w:ascii="Arial" w:hAnsi="Arial" w:cs="Arial"/>
          <w:b/>
          <w:bCs/>
          <w:color w:val="auto"/>
        </w:rPr>
        <w:t xml:space="preserve"> - 1 </w:t>
      </w:r>
      <w:r w:rsidRPr="00F13F48">
        <w:rPr>
          <w:rFonts w:ascii="Arial" w:hAnsi="Arial" w:cs="Arial"/>
          <w:color w:val="auto"/>
        </w:rPr>
        <w:t xml:space="preserve"> Resursele de apă potenţiale şi tehnic utililizabile la nivelul jud</w:t>
      </w:r>
      <w:r>
        <w:rPr>
          <w:rFonts w:ascii="Arial" w:hAnsi="Arial" w:cs="Arial"/>
          <w:color w:val="auto"/>
        </w:rPr>
        <w:t>.</w:t>
      </w:r>
      <w:r w:rsidRPr="00F13F48">
        <w:rPr>
          <w:rFonts w:ascii="Arial" w:hAnsi="Arial" w:cs="Arial"/>
          <w:color w:val="auto"/>
        </w:rPr>
        <w:t xml:space="preserve"> Brăila pentru anul 2014 </w:t>
      </w:r>
    </w:p>
    <w:p w:rsidR="00691934" w:rsidRPr="00F13F48" w:rsidRDefault="00691934" w:rsidP="00691934">
      <w:pPr>
        <w:pStyle w:val="Default"/>
        <w:rPr>
          <w:rFonts w:ascii="Arial" w:hAnsi="Arial" w:cs="Arial"/>
          <w:color w:val="auto"/>
        </w:rPr>
      </w:pPr>
    </w:p>
    <w:tbl>
      <w:tblPr>
        <w:tblW w:w="0" w:type="auto"/>
        <w:jc w:val="center"/>
        <w:tblInd w:w="-212"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7799"/>
        <w:gridCol w:w="1842"/>
      </w:tblGrid>
      <w:tr w:rsidR="00691934" w:rsidRPr="00F13F48" w:rsidTr="00012F90">
        <w:trPr>
          <w:jc w:val="center"/>
        </w:trPr>
        <w:tc>
          <w:tcPr>
            <w:tcW w:w="7799" w:type="dxa"/>
            <w:shd w:val="clear" w:color="auto" w:fill="F2DBDB" w:themeFill="accent2" w:themeFillTint="33"/>
          </w:tcPr>
          <w:p w:rsidR="00691934" w:rsidRPr="00F13F48" w:rsidRDefault="00691934" w:rsidP="00012F90">
            <w:pPr>
              <w:pStyle w:val="Default"/>
              <w:rPr>
                <w:rFonts w:ascii="Arial" w:hAnsi="Arial" w:cs="Arial"/>
                <w:color w:val="auto"/>
                <w:lang w:val="pt-BR"/>
              </w:rPr>
            </w:pPr>
            <w:r w:rsidRPr="00F13F48">
              <w:rPr>
                <w:rFonts w:ascii="Arial" w:hAnsi="Arial" w:cs="Arial"/>
                <w:b/>
                <w:bCs/>
                <w:color w:val="auto"/>
                <w:lang w:val="pt-BR"/>
              </w:rPr>
              <w:t>Sursa de apă. Indicator de caracterizare</w:t>
            </w:r>
          </w:p>
        </w:tc>
        <w:tc>
          <w:tcPr>
            <w:tcW w:w="1842" w:type="dxa"/>
            <w:shd w:val="clear" w:color="auto" w:fill="F2DBDB" w:themeFill="accent2" w:themeFillTint="33"/>
          </w:tcPr>
          <w:p w:rsidR="00691934" w:rsidRDefault="00691934" w:rsidP="00012F90">
            <w:pPr>
              <w:pStyle w:val="Default"/>
              <w:jc w:val="center"/>
              <w:rPr>
                <w:rFonts w:ascii="Arial" w:hAnsi="Arial" w:cs="Arial"/>
                <w:b/>
                <w:bCs/>
                <w:color w:val="auto"/>
              </w:rPr>
            </w:pPr>
            <w:r w:rsidRPr="00F13F48">
              <w:rPr>
                <w:rFonts w:ascii="Arial" w:hAnsi="Arial" w:cs="Arial"/>
                <w:b/>
                <w:bCs/>
                <w:color w:val="auto"/>
              </w:rPr>
              <w:t>Total</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(mii mc)</w:t>
            </w:r>
          </w:p>
        </w:tc>
      </w:tr>
      <w:tr w:rsidR="00691934" w:rsidRPr="00F13F48" w:rsidTr="00012F90">
        <w:trPr>
          <w:jc w:val="center"/>
        </w:trPr>
        <w:tc>
          <w:tcPr>
            <w:tcW w:w="7799" w:type="dxa"/>
            <w:shd w:val="clear" w:color="auto" w:fill="FDE9D9" w:themeFill="accent6" w:themeFillTint="33"/>
          </w:tcPr>
          <w:p w:rsidR="00691934" w:rsidRPr="00F13F48" w:rsidRDefault="00691934" w:rsidP="005E6B2E">
            <w:pPr>
              <w:pStyle w:val="Default"/>
              <w:widowControl w:val="0"/>
              <w:numPr>
                <w:ilvl w:val="0"/>
                <w:numId w:val="8"/>
              </w:numPr>
              <w:jc w:val="center"/>
              <w:rPr>
                <w:rFonts w:ascii="Arial" w:hAnsi="Arial" w:cs="Arial"/>
                <w:color w:val="auto"/>
                <w:u w:val="single"/>
              </w:rPr>
            </w:pPr>
            <w:r w:rsidRPr="00F13F48">
              <w:rPr>
                <w:rFonts w:ascii="Arial" w:hAnsi="Arial" w:cs="Arial"/>
                <w:b/>
                <w:bCs/>
                <w:i/>
                <w:iCs/>
                <w:color w:val="auto"/>
                <w:u w:val="single"/>
              </w:rPr>
              <w:t>A. Râuri interioare</w:t>
            </w:r>
          </w:p>
          <w:p w:rsidR="00691934" w:rsidRPr="00F13F48" w:rsidRDefault="00691934" w:rsidP="00012F90">
            <w:pPr>
              <w:pStyle w:val="Default"/>
              <w:rPr>
                <w:rFonts w:ascii="Arial" w:hAnsi="Arial" w:cs="Arial"/>
                <w:color w:val="auto"/>
              </w:rPr>
            </w:pPr>
            <w:r w:rsidRPr="00F13F48">
              <w:rPr>
                <w:rFonts w:ascii="Arial" w:hAnsi="Arial" w:cs="Arial"/>
                <w:color w:val="auto"/>
              </w:rPr>
              <w:t xml:space="preserve">1. Resursa teoretică </w:t>
            </w:r>
          </w:p>
          <w:p w:rsidR="00691934" w:rsidRPr="00F13F48" w:rsidRDefault="00691934" w:rsidP="005E6B2E">
            <w:pPr>
              <w:pStyle w:val="Default"/>
              <w:widowControl w:val="0"/>
              <w:numPr>
                <w:ilvl w:val="0"/>
                <w:numId w:val="9"/>
              </w:numPr>
              <w:rPr>
                <w:rFonts w:ascii="Arial" w:hAnsi="Arial" w:cs="Arial"/>
                <w:color w:val="auto"/>
                <w:lang w:val="pt-BR"/>
              </w:rPr>
            </w:pPr>
            <w:r w:rsidRPr="00F13F48">
              <w:rPr>
                <w:rFonts w:ascii="Arial" w:hAnsi="Arial" w:cs="Arial"/>
                <w:color w:val="auto"/>
                <w:lang w:val="pt-BR"/>
              </w:rPr>
              <w:t xml:space="preserve">2. Resursa existentă potrivit gradului de amenajare a bazinelor hidrografice </w:t>
            </w:r>
          </w:p>
          <w:p w:rsidR="00691934" w:rsidRPr="00F13F48" w:rsidRDefault="00691934" w:rsidP="005E6B2E">
            <w:pPr>
              <w:pStyle w:val="Default"/>
              <w:widowControl w:val="0"/>
              <w:numPr>
                <w:ilvl w:val="0"/>
                <w:numId w:val="10"/>
              </w:numPr>
              <w:rPr>
                <w:rFonts w:ascii="Arial" w:hAnsi="Arial" w:cs="Arial"/>
                <w:color w:val="auto"/>
                <w:lang w:val="pt-BR"/>
              </w:rPr>
            </w:pPr>
            <w:r w:rsidRPr="00F13F48">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691934" w:rsidRPr="00F13F48" w:rsidRDefault="00691934" w:rsidP="00012F90">
            <w:pPr>
              <w:pStyle w:val="Default"/>
              <w:jc w:val="center"/>
              <w:rPr>
                <w:rFonts w:ascii="Arial" w:hAnsi="Arial" w:cs="Arial"/>
                <w:color w:val="auto"/>
                <w:lang w:val="pt-BR"/>
              </w:rPr>
            </w:pPr>
          </w:p>
          <w:p w:rsidR="00691934" w:rsidRPr="00F13F48" w:rsidRDefault="00691934" w:rsidP="00012F90">
            <w:pPr>
              <w:pStyle w:val="Default"/>
              <w:jc w:val="center"/>
              <w:rPr>
                <w:rFonts w:ascii="Arial" w:hAnsi="Arial" w:cs="Arial"/>
                <w:color w:val="auto"/>
              </w:rPr>
            </w:pPr>
            <w:r w:rsidRPr="00F13F48">
              <w:rPr>
                <w:rFonts w:ascii="Arial" w:hAnsi="Arial" w:cs="Arial"/>
                <w:color w:val="auto"/>
              </w:rPr>
              <w:t>866897</w:t>
            </w:r>
          </w:p>
          <w:p w:rsidR="00691934" w:rsidRPr="00F13F48" w:rsidRDefault="00691934" w:rsidP="00012F90">
            <w:pPr>
              <w:pStyle w:val="Default"/>
              <w:jc w:val="center"/>
              <w:rPr>
                <w:rFonts w:ascii="Arial" w:hAnsi="Arial" w:cs="Arial"/>
                <w:color w:val="auto"/>
              </w:rPr>
            </w:pPr>
            <w:r w:rsidRPr="00F13F48">
              <w:rPr>
                <w:rFonts w:ascii="Arial" w:hAnsi="Arial" w:cs="Arial"/>
                <w:color w:val="auto"/>
              </w:rPr>
              <w:t>9903</w:t>
            </w:r>
            <w:r>
              <w:rPr>
                <w:rFonts w:ascii="Arial" w:hAnsi="Arial" w:cs="Arial"/>
                <w:color w:val="auto"/>
              </w:rPr>
              <w:t>0</w:t>
            </w:r>
          </w:p>
          <w:p w:rsidR="00691934" w:rsidRPr="00F13F48" w:rsidRDefault="00691934" w:rsidP="00012F90">
            <w:pPr>
              <w:pStyle w:val="Default"/>
              <w:jc w:val="center"/>
              <w:rPr>
                <w:rFonts w:ascii="Arial" w:hAnsi="Arial" w:cs="Arial"/>
                <w:color w:val="auto"/>
              </w:rPr>
            </w:pPr>
          </w:p>
          <w:p w:rsidR="00691934" w:rsidRPr="00F13F48" w:rsidRDefault="00691934" w:rsidP="00012F90">
            <w:pPr>
              <w:pStyle w:val="Default"/>
              <w:jc w:val="center"/>
              <w:rPr>
                <w:rFonts w:ascii="Arial" w:hAnsi="Arial" w:cs="Arial"/>
                <w:color w:val="auto"/>
              </w:rPr>
            </w:pPr>
            <w:r w:rsidRPr="00F13F48">
              <w:rPr>
                <w:rFonts w:ascii="Arial" w:hAnsi="Arial" w:cs="Arial"/>
                <w:color w:val="auto"/>
              </w:rPr>
              <w:t>14202,38</w:t>
            </w:r>
          </w:p>
        </w:tc>
      </w:tr>
      <w:tr w:rsidR="00691934" w:rsidRPr="00F13F48" w:rsidTr="00012F90">
        <w:trPr>
          <w:jc w:val="center"/>
        </w:trPr>
        <w:tc>
          <w:tcPr>
            <w:tcW w:w="7799" w:type="dxa"/>
            <w:shd w:val="clear" w:color="auto" w:fill="FDE9D9" w:themeFill="accent6" w:themeFillTint="33"/>
          </w:tcPr>
          <w:p w:rsidR="00691934" w:rsidRPr="00F13F48" w:rsidRDefault="00691934" w:rsidP="005E6B2E">
            <w:pPr>
              <w:pStyle w:val="Default"/>
              <w:widowControl w:val="0"/>
              <w:numPr>
                <w:ilvl w:val="0"/>
                <w:numId w:val="11"/>
              </w:numPr>
              <w:jc w:val="center"/>
              <w:rPr>
                <w:rFonts w:ascii="Arial" w:hAnsi="Arial" w:cs="Arial"/>
                <w:color w:val="auto"/>
                <w:u w:val="single"/>
              </w:rPr>
            </w:pPr>
            <w:r w:rsidRPr="00F13F48">
              <w:rPr>
                <w:rFonts w:ascii="Arial" w:hAnsi="Arial" w:cs="Arial"/>
                <w:b/>
                <w:bCs/>
                <w:i/>
                <w:iCs/>
                <w:color w:val="auto"/>
                <w:u w:val="single"/>
              </w:rPr>
              <w:t>B. Dunăre (direct)</w:t>
            </w:r>
          </w:p>
          <w:p w:rsidR="00691934" w:rsidRPr="00F13F48" w:rsidRDefault="00691934" w:rsidP="005E6B2E">
            <w:pPr>
              <w:pStyle w:val="Default"/>
              <w:widowControl w:val="0"/>
              <w:numPr>
                <w:ilvl w:val="0"/>
                <w:numId w:val="12"/>
              </w:numPr>
              <w:rPr>
                <w:rFonts w:ascii="Arial" w:hAnsi="Arial" w:cs="Arial"/>
                <w:color w:val="auto"/>
              </w:rPr>
            </w:pPr>
            <w:r w:rsidRPr="00F13F48">
              <w:rPr>
                <w:rFonts w:ascii="Arial" w:hAnsi="Arial" w:cs="Arial"/>
                <w:color w:val="auto"/>
              </w:rPr>
              <w:t xml:space="preserve">1. Resursa teoretică (în secțiunea de intrare în țară) </w:t>
            </w:r>
          </w:p>
          <w:p w:rsidR="00691934" w:rsidRPr="00F13F48" w:rsidRDefault="00691934" w:rsidP="005E6B2E">
            <w:pPr>
              <w:pStyle w:val="Default"/>
              <w:widowControl w:val="0"/>
              <w:numPr>
                <w:ilvl w:val="0"/>
                <w:numId w:val="13"/>
              </w:numPr>
              <w:rPr>
                <w:rFonts w:ascii="Arial" w:hAnsi="Arial" w:cs="Arial"/>
                <w:color w:val="auto"/>
                <w:lang w:val="pt-BR"/>
              </w:rPr>
            </w:pPr>
            <w:r w:rsidRPr="00F13F48">
              <w:rPr>
                <w:rFonts w:ascii="Arial" w:hAnsi="Arial" w:cs="Arial"/>
                <w:color w:val="auto"/>
                <w:lang w:val="pt-BR"/>
              </w:rPr>
              <w:t xml:space="preserve">2. Resursa utilizabilă în regim actual de amenajare </w:t>
            </w:r>
          </w:p>
          <w:p w:rsidR="00691934" w:rsidRPr="00F13F48" w:rsidRDefault="00691934" w:rsidP="005E6B2E">
            <w:pPr>
              <w:pStyle w:val="Default"/>
              <w:widowControl w:val="0"/>
              <w:numPr>
                <w:ilvl w:val="0"/>
                <w:numId w:val="14"/>
              </w:numPr>
              <w:rPr>
                <w:rFonts w:ascii="Arial" w:hAnsi="Arial" w:cs="Arial"/>
                <w:color w:val="auto"/>
                <w:lang w:val="pt-BR"/>
              </w:rPr>
            </w:pPr>
            <w:r w:rsidRPr="00F13F48">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691934" w:rsidRPr="00F13F48" w:rsidRDefault="00691934" w:rsidP="00012F90">
            <w:pPr>
              <w:pStyle w:val="Default"/>
              <w:jc w:val="center"/>
              <w:rPr>
                <w:rFonts w:ascii="Arial" w:hAnsi="Arial" w:cs="Arial"/>
                <w:color w:val="auto"/>
                <w:lang w:val="pt-BR"/>
              </w:rPr>
            </w:pPr>
          </w:p>
          <w:p w:rsidR="00691934" w:rsidRPr="00F13F48" w:rsidRDefault="00691934" w:rsidP="00012F90">
            <w:pPr>
              <w:pStyle w:val="Default"/>
              <w:jc w:val="center"/>
              <w:rPr>
                <w:rFonts w:ascii="Arial" w:hAnsi="Arial" w:cs="Arial"/>
                <w:color w:val="auto"/>
              </w:rPr>
            </w:pPr>
            <w:r w:rsidRPr="00F13F48">
              <w:rPr>
                <w:rFonts w:ascii="Arial" w:hAnsi="Arial" w:cs="Arial"/>
                <w:color w:val="auto"/>
              </w:rPr>
              <w:t>194261700</w:t>
            </w:r>
          </w:p>
          <w:p w:rsidR="00691934" w:rsidRPr="00F13F48" w:rsidRDefault="00691934" w:rsidP="00012F90">
            <w:pPr>
              <w:pStyle w:val="Default"/>
              <w:jc w:val="center"/>
              <w:rPr>
                <w:rFonts w:ascii="Arial" w:hAnsi="Arial" w:cs="Arial"/>
                <w:color w:val="auto"/>
              </w:rPr>
            </w:pPr>
            <w:r w:rsidRPr="00F13F48">
              <w:rPr>
                <w:rFonts w:ascii="Arial" w:hAnsi="Arial" w:cs="Arial"/>
                <w:color w:val="auto"/>
              </w:rPr>
              <w:t>55188000</w:t>
            </w:r>
          </w:p>
          <w:p w:rsidR="00691934" w:rsidRPr="00F13F48" w:rsidRDefault="00691934" w:rsidP="00012F90">
            <w:pPr>
              <w:pStyle w:val="Default"/>
              <w:jc w:val="center"/>
              <w:rPr>
                <w:rFonts w:ascii="Arial" w:hAnsi="Arial" w:cs="Arial"/>
                <w:color w:val="auto"/>
              </w:rPr>
            </w:pPr>
            <w:r w:rsidRPr="00F13F48">
              <w:rPr>
                <w:rFonts w:ascii="Arial" w:hAnsi="Arial" w:cs="Arial"/>
                <w:color w:val="auto"/>
              </w:rPr>
              <w:t>158761,3</w:t>
            </w:r>
          </w:p>
        </w:tc>
      </w:tr>
      <w:tr w:rsidR="00691934" w:rsidRPr="00F13F48" w:rsidTr="00012F90">
        <w:trPr>
          <w:jc w:val="center"/>
        </w:trPr>
        <w:tc>
          <w:tcPr>
            <w:tcW w:w="7799" w:type="dxa"/>
            <w:shd w:val="clear" w:color="auto" w:fill="FDE9D9" w:themeFill="accent6" w:themeFillTint="33"/>
          </w:tcPr>
          <w:p w:rsidR="00691934" w:rsidRPr="00F13F48" w:rsidRDefault="00691934" w:rsidP="00012F90">
            <w:pPr>
              <w:pStyle w:val="Default"/>
              <w:jc w:val="center"/>
              <w:rPr>
                <w:rFonts w:ascii="Arial" w:hAnsi="Arial" w:cs="Arial"/>
                <w:b/>
                <w:bCs/>
                <w:i/>
                <w:iCs/>
                <w:color w:val="auto"/>
                <w:u w:val="single"/>
              </w:rPr>
            </w:pPr>
            <w:r w:rsidRPr="00F13F48">
              <w:rPr>
                <w:rFonts w:ascii="Arial" w:hAnsi="Arial" w:cs="Arial"/>
                <w:b/>
                <w:bCs/>
                <w:i/>
                <w:iCs/>
                <w:color w:val="auto"/>
                <w:u w:val="single"/>
              </w:rPr>
              <w:t>C. Subteran</w:t>
            </w:r>
          </w:p>
          <w:p w:rsidR="00691934" w:rsidRPr="00F13F48" w:rsidRDefault="00691934" w:rsidP="005E6B2E">
            <w:pPr>
              <w:pStyle w:val="Default"/>
              <w:widowControl w:val="0"/>
              <w:numPr>
                <w:ilvl w:val="0"/>
                <w:numId w:val="15"/>
              </w:numPr>
              <w:rPr>
                <w:rFonts w:ascii="Arial" w:hAnsi="Arial" w:cs="Arial"/>
                <w:color w:val="auto"/>
              </w:rPr>
            </w:pPr>
            <w:r w:rsidRPr="00F13F48">
              <w:rPr>
                <w:rFonts w:ascii="Arial" w:hAnsi="Arial" w:cs="Arial"/>
                <w:color w:val="auto"/>
              </w:rPr>
              <w:t xml:space="preserve">1. Resursa teoretică din care: </w:t>
            </w:r>
          </w:p>
          <w:p w:rsidR="00691934" w:rsidRPr="00F13F48" w:rsidRDefault="00691934" w:rsidP="00012F90">
            <w:pPr>
              <w:pStyle w:val="Default"/>
              <w:rPr>
                <w:rFonts w:ascii="Arial" w:hAnsi="Arial" w:cs="Arial"/>
                <w:color w:val="auto"/>
              </w:rPr>
            </w:pPr>
            <w:r w:rsidRPr="00F13F48">
              <w:rPr>
                <w:rFonts w:ascii="Arial" w:hAnsi="Arial" w:cs="Arial"/>
                <w:color w:val="auto"/>
              </w:rPr>
              <w:t>- ape freatice</w:t>
            </w:r>
          </w:p>
          <w:p w:rsidR="00691934" w:rsidRPr="00F13F48" w:rsidRDefault="00691934" w:rsidP="00012F90">
            <w:pPr>
              <w:pStyle w:val="Default"/>
              <w:rPr>
                <w:rFonts w:ascii="Arial" w:hAnsi="Arial" w:cs="Arial"/>
                <w:color w:val="auto"/>
              </w:rPr>
            </w:pPr>
            <w:r w:rsidRPr="00F13F48">
              <w:rPr>
                <w:rFonts w:ascii="Arial" w:hAnsi="Arial" w:cs="Arial"/>
                <w:color w:val="auto"/>
              </w:rPr>
              <w:t>- ape de adâncime</w:t>
            </w:r>
          </w:p>
          <w:p w:rsidR="00691934" w:rsidRPr="00F13F48" w:rsidRDefault="00691934" w:rsidP="005E6B2E">
            <w:pPr>
              <w:pStyle w:val="Default"/>
              <w:widowControl w:val="0"/>
              <w:numPr>
                <w:ilvl w:val="0"/>
                <w:numId w:val="16"/>
              </w:numPr>
              <w:rPr>
                <w:rFonts w:ascii="Arial" w:hAnsi="Arial" w:cs="Arial"/>
                <w:color w:val="auto"/>
              </w:rPr>
            </w:pPr>
            <w:r w:rsidRPr="00F13F48">
              <w:rPr>
                <w:rFonts w:ascii="Arial" w:hAnsi="Arial" w:cs="Arial"/>
                <w:color w:val="auto"/>
              </w:rPr>
              <w:t xml:space="preserve">2. Resursa utilizabilă </w:t>
            </w:r>
          </w:p>
          <w:p w:rsidR="00691934" w:rsidRPr="00F13F48" w:rsidRDefault="00691934" w:rsidP="005E6B2E">
            <w:pPr>
              <w:pStyle w:val="Default"/>
              <w:widowControl w:val="0"/>
              <w:numPr>
                <w:ilvl w:val="0"/>
                <w:numId w:val="17"/>
              </w:numPr>
              <w:rPr>
                <w:rFonts w:ascii="Arial" w:hAnsi="Arial" w:cs="Arial"/>
                <w:color w:val="auto"/>
                <w:lang w:val="pt-BR"/>
              </w:rPr>
            </w:pPr>
            <w:r w:rsidRPr="00F13F48">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691934" w:rsidRPr="00F13F48" w:rsidRDefault="00691934" w:rsidP="00012F90">
            <w:pPr>
              <w:pStyle w:val="Default"/>
              <w:jc w:val="center"/>
              <w:rPr>
                <w:rFonts w:ascii="Arial" w:hAnsi="Arial" w:cs="Arial"/>
                <w:color w:val="auto"/>
                <w:lang w:val="pt-BR"/>
              </w:rPr>
            </w:pPr>
          </w:p>
          <w:p w:rsidR="00691934" w:rsidRPr="00F13F48" w:rsidRDefault="00691934" w:rsidP="00012F90">
            <w:pPr>
              <w:pStyle w:val="Default"/>
              <w:jc w:val="center"/>
              <w:rPr>
                <w:rFonts w:ascii="Arial" w:hAnsi="Arial" w:cs="Arial"/>
                <w:color w:val="auto"/>
              </w:rPr>
            </w:pPr>
            <w:r w:rsidRPr="00F13F48">
              <w:rPr>
                <w:rFonts w:ascii="Arial" w:hAnsi="Arial" w:cs="Arial"/>
                <w:color w:val="auto"/>
              </w:rPr>
              <w:t>1919200</w:t>
            </w:r>
          </w:p>
          <w:p w:rsidR="00691934" w:rsidRPr="00F13F48" w:rsidRDefault="00691934" w:rsidP="00012F90">
            <w:pPr>
              <w:pStyle w:val="Default"/>
              <w:jc w:val="center"/>
              <w:rPr>
                <w:rFonts w:ascii="Arial" w:hAnsi="Arial" w:cs="Arial"/>
                <w:color w:val="auto"/>
              </w:rPr>
            </w:pPr>
          </w:p>
          <w:p w:rsidR="00691934" w:rsidRPr="00F13F48" w:rsidRDefault="00691934" w:rsidP="00012F90">
            <w:pPr>
              <w:pStyle w:val="Default"/>
              <w:jc w:val="center"/>
              <w:rPr>
                <w:rFonts w:ascii="Arial" w:hAnsi="Arial" w:cs="Arial"/>
                <w:color w:val="auto"/>
              </w:rPr>
            </w:pPr>
          </w:p>
          <w:p w:rsidR="00691934" w:rsidRDefault="00691934" w:rsidP="00012F90">
            <w:pPr>
              <w:pStyle w:val="Default"/>
              <w:jc w:val="center"/>
              <w:rPr>
                <w:rFonts w:ascii="Arial" w:hAnsi="Arial" w:cs="Arial"/>
              </w:rPr>
            </w:pPr>
            <w:r w:rsidRPr="003A249C">
              <w:rPr>
                <w:rFonts w:ascii="Arial" w:hAnsi="Arial" w:cs="Arial"/>
              </w:rPr>
              <w:t>329.550</w:t>
            </w:r>
          </w:p>
          <w:p w:rsidR="00691934" w:rsidRPr="00F13F48" w:rsidRDefault="00691934" w:rsidP="00012F90">
            <w:pPr>
              <w:pStyle w:val="Default"/>
              <w:jc w:val="center"/>
              <w:rPr>
                <w:rFonts w:ascii="Arial" w:hAnsi="Arial" w:cs="Arial"/>
                <w:color w:val="auto"/>
              </w:rPr>
            </w:pPr>
            <w:r w:rsidRPr="00F13F48">
              <w:rPr>
                <w:rFonts w:ascii="Arial" w:hAnsi="Arial" w:cs="Arial"/>
                <w:color w:val="auto"/>
              </w:rPr>
              <w:t>3340,5</w:t>
            </w:r>
          </w:p>
        </w:tc>
      </w:tr>
      <w:tr w:rsidR="00691934" w:rsidRPr="00F13F48" w:rsidTr="00012F90">
        <w:trPr>
          <w:jc w:val="center"/>
        </w:trPr>
        <w:tc>
          <w:tcPr>
            <w:tcW w:w="7799" w:type="dxa"/>
            <w:shd w:val="clear" w:color="auto" w:fill="FDE9D9" w:themeFill="accent6" w:themeFillTint="33"/>
          </w:tcPr>
          <w:p w:rsidR="00691934" w:rsidRPr="00F13F48" w:rsidRDefault="00691934" w:rsidP="00012F90">
            <w:pPr>
              <w:pStyle w:val="Default"/>
              <w:jc w:val="center"/>
              <w:rPr>
                <w:rFonts w:ascii="Arial" w:hAnsi="Arial" w:cs="Arial"/>
                <w:b/>
                <w:bCs/>
                <w:i/>
                <w:iCs/>
                <w:color w:val="auto"/>
                <w:u w:val="single"/>
              </w:rPr>
            </w:pPr>
            <w:r w:rsidRPr="00F13F48">
              <w:rPr>
                <w:rFonts w:ascii="Arial" w:hAnsi="Arial" w:cs="Arial"/>
                <w:b/>
                <w:bCs/>
                <w:i/>
                <w:iCs/>
                <w:color w:val="auto"/>
                <w:u w:val="single"/>
              </w:rPr>
              <w:t>Total resurse</w:t>
            </w:r>
          </w:p>
          <w:p w:rsidR="00691934" w:rsidRPr="00F13F48" w:rsidRDefault="00691934" w:rsidP="005E6B2E">
            <w:pPr>
              <w:pStyle w:val="Default"/>
              <w:widowControl w:val="0"/>
              <w:numPr>
                <w:ilvl w:val="0"/>
                <w:numId w:val="18"/>
              </w:numPr>
              <w:rPr>
                <w:rFonts w:ascii="Arial" w:hAnsi="Arial" w:cs="Arial"/>
                <w:color w:val="auto"/>
              </w:rPr>
            </w:pPr>
            <w:r w:rsidRPr="00F13F48">
              <w:rPr>
                <w:rFonts w:ascii="Arial" w:hAnsi="Arial" w:cs="Arial"/>
                <w:color w:val="auto"/>
              </w:rPr>
              <w:t xml:space="preserve">1. Resursa teoretică </w:t>
            </w:r>
          </w:p>
          <w:p w:rsidR="00691934" w:rsidRPr="00F13F48" w:rsidRDefault="00691934" w:rsidP="005E6B2E">
            <w:pPr>
              <w:pStyle w:val="Default"/>
              <w:widowControl w:val="0"/>
              <w:numPr>
                <w:ilvl w:val="0"/>
                <w:numId w:val="19"/>
              </w:numPr>
              <w:rPr>
                <w:rFonts w:ascii="Arial" w:hAnsi="Arial" w:cs="Arial"/>
                <w:color w:val="auto"/>
                <w:lang w:val="pt-BR"/>
              </w:rPr>
            </w:pPr>
            <w:r w:rsidRPr="00F13F48">
              <w:rPr>
                <w:rFonts w:ascii="Arial" w:hAnsi="Arial" w:cs="Arial"/>
                <w:color w:val="auto"/>
                <w:lang w:val="pt-BR"/>
              </w:rPr>
              <w:t xml:space="preserve">2. Resursa existentă potrivit gradului de amenajare a bazinelor hidrografice </w:t>
            </w:r>
          </w:p>
          <w:p w:rsidR="00691934" w:rsidRPr="00F13F48" w:rsidRDefault="00691934" w:rsidP="005E6B2E">
            <w:pPr>
              <w:pStyle w:val="Default"/>
              <w:widowControl w:val="0"/>
              <w:numPr>
                <w:ilvl w:val="0"/>
                <w:numId w:val="20"/>
              </w:numPr>
              <w:rPr>
                <w:rFonts w:ascii="Arial" w:hAnsi="Arial" w:cs="Arial"/>
                <w:color w:val="auto"/>
                <w:lang w:val="pt-BR"/>
              </w:rPr>
            </w:pPr>
            <w:r w:rsidRPr="00F13F48">
              <w:rPr>
                <w:rFonts w:ascii="Arial" w:hAnsi="Arial" w:cs="Arial"/>
                <w:color w:val="auto"/>
                <w:lang w:val="pt-BR"/>
              </w:rPr>
              <w:t xml:space="preserve">3. Cerința de apă a folosințelor potrivit capacităților de captare aflate în funcțiune </w:t>
            </w:r>
          </w:p>
        </w:tc>
        <w:tc>
          <w:tcPr>
            <w:tcW w:w="1842" w:type="dxa"/>
            <w:shd w:val="clear" w:color="auto" w:fill="FDE9D9" w:themeFill="accent6" w:themeFillTint="33"/>
          </w:tcPr>
          <w:p w:rsidR="00691934" w:rsidRPr="00F13F48" w:rsidRDefault="00691934" w:rsidP="00012F90">
            <w:pPr>
              <w:pStyle w:val="Default"/>
              <w:jc w:val="center"/>
              <w:rPr>
                <w:rFonts w:ascii="Arial" w:hAnsi="Arial" w:cs="Arial"/>
                <w:color w:val="auto"/>
                <w:lang w:val="pt-BR"/>
              </w:rPr>
            </w:pPr>
          </w:p>
          <w:p w:rsidR="00691934" w:rsidRPr="00F13F48" w:rsidRDefault="00691934" w:rsidP="00012F90">
            <w:pPr>
              <w:pStyle w:val="Default"/>
              <w:jc w:val="center"/>
              <w:rPr>
                <w:rFonts w:ascii="Arial" w:hAnsi="Arial" w:cs="Arial"/>
                <w:color w:val="auto"/>
              </w:rPr>
            </w:pPr>
            <w:r w:rsidRPr="00F13F48">
              <w:rPr>
                <w:rFonts w:ascii="Arial" w:hAnsi="Arial" w:cs="Arial"/>
                <w:color w:val="auto"/>
              </w:rPr>
              <w:t>197914694</w:t>
            </w:r>
          </w:p>
          <w:p w:rsidR="00691934" w:rsidRPr="00F13F48" w:rsidRDefault="00691934" w:rsidP="00012F90">
            <w:pPr>
              <w:pStyle w:val="Default"/>
              <w:jc w:val="center"/>
              <w:rPr>
                <w:rFonts w:ascii="Arial" w:hAnsi="Arial" w:cs="Arial"/>
                <w:color w:val="auto"/>
              </w:rPr>
            </w:pPr>
            <w:r>
              <w:rPr>
                <w:rFonts w:ascii="Arial" w:hAnsi="Arial" w:cs="Arial"/>
              </w:rPr>
              <w:t>55.616.580</w:t>
            </w:r>
          </w:p>
          <w:p w:rsidR="00691934" w:rsidRPr="00F13F48" w:rsidRDefault="00691934" w:rsidP="00012F90">
            <w:pPr>
              <w:pStyle w:val="Default"/>
              <w:jc w:val="center"/>
              <w:rPr>
                <w:rFonts w:ascii="Arial" w:hAnsi="Arial" w:cs="Arial"/>
                <w:color w:val="auto"/>
              </w:rPr>
            </w:pPr>
          </w:p>
          <w:p w:rsidR="00691934" w:rsidRPr="00F13F48" w:rsidRDefault="00691934" w:rsidP="00012F90">
            <w:pPr>
              <w:pStyle w:val="Default"/>
              <w:jc w:val="center"/>
              <w:rPr>
                <w:rFonts w:ascii="Arial" w:hAnsi="Arial" w:cs="Arial"/>
                <w:color w:val="auto"/>
              </w:rPr>
            </w:pPr>
            <w:r w:rsidRPr="00F13F48">
              <w:rPr>
                <w:rFonts w:ascii="Arial" w:hAnsi="Arial" w:cs="Arial"/>
                <w:color w:val="auto"/>
              </w:rPr>
              <w:t>176304,18</w:t>
            </w:r>
          </w:p>
        </w:tc>
      </w:tr>
    </w:tbl>
    <w:p w:rsidR="00691934" w:rsidRPr="00F13F48"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b/>
          <w:bCs/>
          <w:color w:val="auto"/>
        </w:rPr>
      </w:pPr>
    </w:p>
    <w:p w:rsidR="00691934" w:rsidRDefault="00691934" w:rsidP="00691934">
      <w:pPr>
        <w:pStyle w:val="Default"/>
        <w:rPr>
          <w:rFonts w:ascii="Arial" w:hAnsi="Arial" w:cs="Arial"/>
          <w:color w:val="auto"/>
        </w:rPr>
      </w:pPr>
      <w:r>
        <w:rPr>
          <w:rFonts w:ascii="Arial" w:hAnsi="Arial" w:cs="Arial"/>
          <w:b/>
          <w:bCs/>
          <w:color w:val="auto"/>
        </w:rPr>
        <w:t xml:space="preserve">Tabelul </w:t>
      </w:r>
      <w:r w:rsidRPr="003A249C">
        <w:rPr>
          <w:rFonts w:ascii="Arial" w:hAnsi="Arial" w:cs="Arial"/>
          <w:b/>
          <w:bCs/>
          <w:color w:val="auto"/>
        </w:rPr>
        <w:t xml:space="preserve"> nr.</w:t>
      </w:r>
      <w:r w:rsidRPr="0025610C">
        <w:rPr>
          <w:rFonts w:ascii="Arial" w:hAnsi="Arial" w:cs="Arial"/>
          <w:b/>
          <w:bCs/>
          <w:color w:val="auto"/>
        </w:rPr>
        <w:t xml:space="preserve"> </w:t>
      </w:r>
      <w:r w:rsidRPr="00F13F48">
        <w:rPr>
          <w:rFonts w:ascii="Arial" w:hAnsi="Arial" w:cs="Arial"/>
          <w:b/>
          <w:bCs/>
          <w:color w:val="auto"/>
        </w:rPr>
        <w:t>II.1.1.1</w:t>
      </w:r>
      <w:r w:rsidRPr="00F13F48">
        <w:rPr>
          <w:rFonts w:ascii="Arial" w:hAnsi="Arial" w:cs="Arial"/>
          <w:b/>
          <w:bCs/>
          <w:i/>
          <w:iCs/>
          <w:color w:val="auto"/>
        </w:rPr>
        <w:t xml:space="preserve"> </w:t>
      </w:r>
      <w:r>
        <w:rPr>
          <w:rFonts w:ascii="Arial" w:hAnsi="Arial" w:cs="Arial"/>
          <w:b/>
          <w:bCs/>
          <w:i/>
          <w:iCs/>
          <w:color w:val="auto"/>
        </w:rPr>
        <w:t>-</w:t>
      </w:r>
      <w:r w:rsidRPr="003A249C">
        <w:rPr>
          <w:rFonts w:ascii="Arial" w:hAnsi="Arial" w:cs="Arial"/>
          <w:b/>
          <w:bCs/>
          <w:color w:val="auto"/>
        </w:rPr>
        <w:t xml:space="preserve"> 2</w:t>
      </w:r>
      <w:r w:rsidRPr="003A249C">
        <w:rPr>
          <w:rFonts w:ascii="Arial" w:hAnsi="Arial" w:cs="Arial"/>
          <w:color w:val="auto"/>
        </w:rPr>
        <w:t xml:space="preserve"> Resursele de apă potenţiale</w:t>
      </w:r>
      <w:r>
        <w:rPr>
          <w:rFonts w:ascii="Arial" w:hAnsi="Arial" w:cs="Arial"/>
          <w:color w:val="auto"/>
        </w:rPr>
        <w:t xml:space="preserve"> şi tehnic uti</w:t>
      </w:r>
      <w:r w:rsidRPr="003A249C">
        <w:rPr>
          <w:rFonts w:ascii="Arial" w:hAnsi="Arial" w:cs="Arial"/>
          <w:color w:val="auto"/>
        </w:rPr>
        <w:t>lizabile la nivelul județului Brăila în perioada anilor  2010 - 2014  (</w:t>
      </w:r>
      <w:r>
        <w:rPr>
          <w:rFonts w:ascii="Arial" w:hAnsi="Arial" w:cs="Arial"/>
          <w:color w:val="auto"/>
        </w:rPr>
        <w:t>mii</w:t>
      </w:r>
      <w:r w:rsidRPr="003A249C">
        <w:rPr>
          <w:rFonts w:ascii="Arial" w:hAnsi="Arial" w:cs="Arial"/>
          <w:color w:val="auto"/>
        </w:rPr>
        <w:t xml:space="preserve"> m</w:t>
      </w:r>
      <w:r w:rsidRPr="00677508">
        <w:rPr>
          <w:rFonts w:ascii="Arial" w:hAnsi="Arial" w:cs="Arial"/>
          <w:color w:val="auto"/>
          <w:vertAlign w:val="superscript"/>
        </w:rPr>
        <w:t>3</w:t>
      </w:r>
      <w:r w:rsidRPr="003A249C">
        <w:rPr>
          <w:rFonts w:ascii="Arial" w:hAnsi="Arial" w:cs="Arial"/>
          <w:color w:val="auto"/>
        </w:rPr>
        <w:t xml:space="preserve">) </w:t>
      </w:r>
    </w:p>
    <w:p w:rsidR="00691934" w:rsidRPr="003A249C" w:rsidRDefault="00691934" w:rsidP="00691934">
      <w:pPr>
        <w:pStyle w:val="Default"/>
        <w:rPr>
          <w:rFonts w:ascii="Arial" w:hAnsi="Arial" w:cs="Arial"/>
          <w:b/>
          <w:bCs/>
          <w:color w:val="auto"/>
        </w:rPr>
      </w:pPr>
    </w:p>
    <w:tbl>
      <w:tblPr>
        <w:tblW w:w="859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tblPr>
      <w:tblGrid>
        <w:gridCol w:w="2308"/>
        <w:gridCol w:w="1418"/>
        <w:gridCol w:w="1418"/>
        <w:gridCol w:w="1418"/>
        <w:gridCol w:w="1418"/>
        <w:gridCol w:w="1418"/>
      </w:tblGrid>
      <w:tr w:rsidR="00691934" w:rsidRPr="003A249C" w:rsidTr="00012F90">
        <w:trPr>
          <w:trHeight w:val="300"/>
          <w:jc w:val="center"/>
        </w:trPr>
        <w:tc>
          <w:tcPr>
            <w:tcW w:w="2308" w:type="dxa"/>
            <w:shd w:val="clear" w:color="auto" w:fill="FBD4B4" w:themeFill="accent6" w:themeFillTint="66"/>
            <w:noWrap/>
            <w:vAlign w:val="center"/>
          </w:tcPr>
          <w:p w:rsidR="00691934" w:rsidRPr="003A249C" w:rsidRDefault="00691934" w:rsidP="00012F90">
            <w:pPr>
              <w:jc w:val="center"/>
              <w:rPr>
                <w:rFonts w:ascii="Arial" w:hAnsi="Arial" w:cs="Arial"/>
              </w:rPr>
            </w:pPr>
            <w:r w:rsidRPr="003A249C">
              <w:rPr>
                <w:rFonts w:ascii="Arial" w:hAnsi="Arial" w:cs="Arial"/>
              </w:rPr>
              <w:t>Județul BRĂILA</w:t>
            </w:r>
          </w:p>
        </w:tc>
        <w:tc>
          <w:tcPr>
            <w:tcW w:w="1044" w:type="dxa"/>
            <w:shd w:val="clear" w:color="auto" w:fill="FBD4B4" w:themeFill="accent6" w:themeFillTint="66"/>
            <w:noWrap/>
            <w:vAlign w:val="center"/>
          </w:tcPr>
          <w:p w:rsidR="00691934" w:rsidRPr="003A249C" w:rsidRDefault="00691934" w:rsidP="00012F90">
            <w:pPr>
              <w:jc w:val="center"/>
              <w:rPr>
                <w:rFonts w:ascii="Arial" w:hAnsi="Arial" w:cs="Arial"/>
                <w:b/>
                <w:bCs/>
              </w:rPr>
            </w:pPr>
            <w:r w:rsidRPr="003A249C">
              <w:rPr>
                <w:rFonts w:ascii="Arial" w:hAnsi="Arial" w:cs="Arial"/>
                <w:b/>
                <w:bCs/>
              </w:rPr>
              <w:t>2010</w:t>
            </w:r>
          </w:p>
        </w:tc>
        <w:tc>
          <w:tcPr>
            <w:tcW w:w="1318" w:type="dxa"/>
            <w:shd w:val="clear" w:color="auto" w:fill="FBD4B4" w:themeFill="accent6" w:themeFillTint="66"/>
            <w:vAlign w:val="center"/>
          </w:tcPr>
          <w:p w:rsidR="00691934" w:rsidRPr="003A249C" w:rsidRDefault="00691934" w:rsidP="00012F90">
            <w:pPr>
              <w:jc w:val="center"/>
              <w:rPr>
                <w:rFonts w:ascii="Arial" w:hAnsi="Arial" w:cs="Arial"/>
                <w:b/>
                <w:bCs/>
              </w:rPr>
            </w:pPr>
            <w:r w:rsidRPr="003A249C">
              <w:rPr>
                <w:rFonts w:ascii="Arial" w:hAnsi="Arial" w:cs="Arial"/>
                <w:b/>
                <w:bCs/>
              </w:rPr>
              <w:t>2011</w:t>
            </w:r>
          </w:p>
        </w:tc>
        <w:tc>
          <w:tcPr>
            <w:tcW w:w="1318" w:type="dxa"/>
            <w:shd w:val="clear" w:color="auto" w:fill="FBD4B4" w:themeFill="accent6" w:themeFillTint="66"/>
            <w:vAlign w:val="center"/>
          </w:tcPr>
          <w:p w:rsidR="00691934" w:rsidRPr="003A249C" w:rsidRDefault="00691934" w:rsidP="00012F90">
            <w:pPr>
              <w:jc w:val="center"/>
              <w:rPr>
                <w:rFonts w:ascii="Arial" w:hAnsi="Arial" w:cs="Arial"/>
                <w:b/>
                <w:bCs/>
              </w:rPr>
            </w:pPr>
            <w:r w:rsidRPr="003A249C">
              <w:rPr>
                <w:rFonts w:ascii="Arial" w:hAnsi="Arial" w:cs="Arial"/>
                <w:b/>
                <w:bCs/>
              </w:rPr>
              <w:t>2012</w:t>
            </w:r>
          </w:p>
        </w:tc>
        <w:tc>
          <w:tcPr>
            <w:tcW w:w="1318" w:type="dxa"/>
            <w:shd w:val="clear" w:color="auto" w:fill="FBD4B4" w:themeFill="accent6" w:themeFillTint="66"/>
            <w:vAlign w:val="center"/>
          </w:tcPr>
          <w:p w:rsidR="00691934" w:rsidRPr="003A249C" w:rsidRDefault="00691934" w:rsidP="00012F90">
            <w:pPr>
              <w:jc w:val="center"/>
              <w:rPr>
                <w:rFonts w:ascii="Arial" w:hAnsi="Arial" w:cs="Arial"/>
                <w:b/>
                <w:bCs/>
              </w:rPr>
            </w:pPr>
            <w:r w:rsidRPr="003A249C">
              <w:rPr>
                <w:rFonts w:ascii="Arial" w:hAnsi="Arial" w:cs="Arial"/>
                <w:b/>
                <w:bCs/>
              </w:rPr>
              <w:t>2013</w:t>
            </w:r>
          </w:p>
        </w:tc>
        <w:tc>
          <w:tcPr>
            <w:tcW w:w="1284" w:type="dxa"/>
            <w:shd w:val="clear" w:color="auto" w:fill="FBD4B4" w:themeFill="accent6" w:themeFillTint="66"/>
            <w:vAlign w:val="center"/>
          </w:tcPr>
          <w:p w:rsidR="00691934" w:rsidRPr="003A249C" w:rsidRDefault="00691934" w:rsidP="00012F90">
            <w:pPr>
              <w:jc w:val="center"/>
              <w:rPr>
                <w:rFonts w:ascii="Arial" w:hAnsi="Arial" w:cs="Arial"/>
                <w:b/>
                <w:bCs/>
              </w:rPr>
            </w:pPr>
            <w:r w:rsidRPr="003A249C">
              <w:rPr>
                <w:rFonts w:ascii="Arial" w:hAnsi="Arial" w:cs="Arial"/>
                <w:b/>
                <w:bCs/>
              </w:rPr>
              <w:t>2014</w:t>
            </w:r>
          </w:p>
        </w:tc>
      </w:tr>
      <w:tr w:rsidR="00691934" w:rsidRPr="003A249C" w:rsidTr="00012F90">
        <w:trPr>
          <w:trHeight w:val="300"/>
          <w:jc w:val="center"/>
        </w:trPr>
        <w:tc>
          <w:tcPr>
            <w:tcW w:w="2308" w:type="dxa"/>
            <w:shd w:val="clear" w:color="auto" w:fill="FDE9D9" w:themeFill="accent6" w:themeFillTint="33"/>
            <w:noWrap/>
            <w:vAlign w:val="center"/>
          </w:tcPr>
          <w:p w:rsidR="00691934" w:rsidRPr="003A249C" w:rsidRDefault="00691934" w:rsidP="00012F90">
            <w:pPr>
              <w:rPr>
                <w:rFonts w:ascii="Arial" w:hAnsi="Arial" w:cs="Arial"/>
                <w:b/>
                <w:bCs/>
              </w:rPr>
            </w:pPr>
            <w:r w:rsidRPr="003A249C">
              <w:rPr>
                <w:rFonts w:ascii="Arial" w:hAnsi="Arial" w:cs="Arial"/>
                <w:b/>
                <w:bCs/>
              </w:rPr>
              <w:t>Total</w:t>
            </w:r>
          </w:p>
        </w:tc>
        <w:tc>
          <w:tcPr>
            <w:tcW w:w="1044" w:type="dxa"/>
            <w:shd w:val="clear" w:color="auto" w:fill="FDE9D9" w:themeFill="accent6" w:themeFillTint="33"/>
            <w:noWrap/>
            <w:vAlign w:val="center"/>
          </w:tcPr>
          <w:p w:rsidR="00691934" w:rsidRPr="003A249C" w:rsidRDefault="00691934" w:rsidP="00012F90">
            <w:pPr>
              <w:jc w:val="center"/>
              <w:rPr>
                <w:rFonts w:ascii="Arial" w:hAnsi="Arial" w:cs="Arial"/>
              </w:rPr>
            </w:pPr>
            <w:r>
              <w:rPr>
                <w:rFonts w:ascii="Arial" w:hAnsi="Arial" w:cs="Arial"/>
              </w:rPr>
              <w:t>55.616.580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Pr>
                <w:rFonts w:ascii="Arial" w:hAnsi="Arial" w:cs="Arial"/>
              </w:rPr>
              <w:t>55.616.580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Pr>
                <w:rFonts w:ascii="Arial" w:hAnsi="Arial" w:cs="Arial"/>
              </w:rPr>
              <w:t>55.616.580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Pr>
                <w:rFonts w:ascii="Arial" w:hAnsi="Arial" w:cs="Arial"/>
              </w:rPr>
              <w:t>55.616.580</w:t>
            </w:r>
          </w:p>
        </w:tc>
        <w:tc>
          <w:tcPr>
            <w:tcW w:w="1284" w:type="dxa"/>
            <w:shd w:val="clear" w:color="auto" w:fill="FDE9D9" w:themeFill="accent6" w:themeFillTint="33"/>
            <w:vAlign w:val="center"/>
          </w:tcPr>
          <w:p w:rsidR="00691934" w:rsidRPr="003A249C" w:rsidRDefault="00691934" w:rsidP="00012F90">
            <w:pPr>
              <w:pStyle w:val="Default"/>
              <w:jc w:val="center"/>
              <w:rPr>
                <w:rFonts w:ascii="Arial" w:hAnsi="Arial" w:cs="Arial"/>
              </w:rPr>
            </w:pPr>
            <w:r>
              <w:rPr>
                <w:rFonts w:ascii="Arial" w:hAnsi="Arial" w:cs="Arial"/>
              </w:rPr>
              <w:t>55.616.580</w:t>
            </w:r>
          </w:p>
        </w:tc>
      </w:tr>
      <w:tr w:rsidR="00691934" w:rsidRPr="003A249C" w:rsidTr="00012F90">
        <w:trPr>
          <w:trHeight w:val="300"/>
          <w:jc w:val="center"/>
        </w:trPr>
        <w:tc>
          <w:tcPr>
            <w:tcW w:w="2308" w:type="dxa"/>
            <w:shd w:val="clear" w:color="auto" w:fill="FDE9D9" w:themeFill="accent6" w:themeFillTint="33"/>
            <w:noWrap/>
            <w:vAlign w:val="center"/>
          </w:tcPr>
          <w:p w:rsidR="00691934" w:rsidRPr="003A249C" w:rsidRDefault="00691934" w:rsidP="00012F90">
            <w:pPr>
              <w:rPr>
                <w:rFonts w:ascii="Arial" w:hAnsi="Arial" w:cs="Arial"/>
                <w:b/>
                <w:bCs/>
              </w:rPr>
            </w:pPr>
            <w:r w:rsidRPr="003A249C">
              <w:rPr>
                <w:rFonts w:ascii="Arial" w:hAnsi="Arial" w:cs="Arial"/>
                <w:b/>
                <w:bCs/>
              </w:rPr>
              <w:lastRenderedPageBreak/>
              <w:t>Râuri interioare</w:t>
            </w:r>
          </w:p>
        </w:tc>
        <w:tc>
          <w:tcPr>
            <w:tcW w:w="1044" w:type="dxa"/>
            <w:shd w:val="clear" w:color="auto" w:fill="FDE9D9" w:themeFill="accent6" w:themeFillTint="33"/>
            <w:noWrap/>
            <w:vAlign w:val="center"/>
          </w:tcPr>
          <w:p w:rsidR="00691934" w:rsidRPr="003A249C" w:rsidRDefault="00691934" w:rsidP="00012F90">
            <w:pPr>
              <w:jc w:val="center"/>
              <w:rPr>
                <w:rFonts w:ascii="Arial" w:hAnsi="Arial" w:cs="Arial"/>
              </w:rPr>
            </w:pPr>
            <w:r w:rsidRPr="003A249C">
              <w:rPr>
                <w:rFonts w:ascii="Arial" w:hAnsi="Arial" w:cs="Arial"/>
              </w:rPr>
              <w:t>99030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99030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99030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99030</w:t>
            </w:r>
          </w:p>
        </w:tc>
        <w:tc>
          <w:tcPr>
            <w:tcW w:w="1284" w:type="dxa"/>
            <w:shd w:val="clear" w:color="auto" w:fill="FDE9D9" w:themeFill="accent6" w:themeFillTint="33"/>
            <w:vAlign w:val="center"/>
          </w:tcPr>
          <w:p w:rsidR="00691934" w:rsidRPr="007F29C1" w:rsidRDefault="00691934" w:rsidP="00012F90">
            <w:pPr>
              <w:pStyle w:val="Default"/>
              <w:jc w:val="center"/>
              <w:rPr>
                <w:rFonts w:ascii="Arial" w:hAnsi="Arial" w:cs="Arial"/>
                <w:color w:val="auto"/>
              </w:rPr>
            </w:pPr>
            <w:r w:rsidRPr="003A249C">
              <w:rPr>
                <w:rFonts w:ascii="Arial" w:hAnsi="Arial" w:cs="Arial"/>
                <w:color w:val="auto"/>
              </w:rPr>
              <w:t>99030</w:t>
            </w:r>
          </w:p>
        </w:tc>
      </w:tr>
      <w:tr w:rsidR="00691934" w:rsidRPr="003A249C" w:rsidTr="00012F90">
        <w:trPr>
          <w:trHeight w:val="300"/>
          <w:jc w:val="center"/>
        </w:trPr>
        <w:tc>
          <w:tcPr>
            <w:tcW w:w="2308" w:type="dxa"/>
            <w:shd w:val="clear" w:color="auto" w:fill="FDE9D9" w:themeFill="accent6" w:themeFillTint="33"/>
            <w:noWrap/>
            <w:vAlign w:val="center"/>
          </w:tcPr>
          <w:p w:rsidR="00691934" w:rsidRPr="003A249C" w:rsidRDefault="00691934" w:rsidP="00012F90">
            <w:pPr>
              <w:rPr>
                <w:rFonts w:ascii="Arial" w:hAnsi="Arial" w:cs="Arial"/>
                <w:b/>
                <w:bCs/>
              </w:rPr>
            </w:pPr>
            <w:r w:rsidRPr="003A249C">
              <w:rPr>
                <w:rFonts w:ascii="Arial" w:hAnsi="Arial" w:cs="Arial"/>
                <w:b/>
                <w:bCs/>
              </w:rPr>
              <w:t>Fluviu Dunărea</w:t>
            </w:r>
          </w:p>
        </w:tc>
        <w:tc>
          <w:tcPr>
            <w:tcW w:w="1044" w:type="dxa"/>
            <w:shd w:val="clear" w:color="auto" w:fill="FDE9D9" w:themeFill="accent6" w:themeFillTint="33"/>
            <w:noWrap/>
            <w:vAlign w:val="center"/>
          </w:tcPr>
          <w:p w:rsidR="00691934" w:rsidRPr="003A249C" w:rsidRDefault="00691934" w:rsidP="00012F90">
            <w:pPr>
              <w:jc w:val="center"/>
              <w:rPr>
                <w:rFonts w:ascii="Arial" w:hAnsi="Arial" w:cs="Arial"/>
              </w:rPr>
            </w:pPr>
            <w:r w:rsidRPr="003A249C">
              <w:rPr>
                <w:rFonts w:ascii="Arial" w:hAnsi="Arial" w:cs="Arial"/>
              </w:rPr>
              <w:t>55.188.000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55.188.000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55.188.000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55.188.000</w:t>
            </w:r>
          </w:p>
        </w:tc>
        <w:tc>
          <w:tcPr>
            <w:tcW w:w="1284" w:type="dxa"/>
            <w:shd w:val="clear" w:color="auto" w:fill="FDE9D9" w:themeFill="accent6" w:themeFillTint="33"/>
            <w:vAlign w:val="center"/>
          </w:tcPr>
          <w:p w:rsidR="00691934" w:rsidRPr="007F29C1" w:rsidRDefault="00691934" w:rsidP="00012F90">
            <w:pPr>
              <w:pStyle w:val="Default"/>
              <w:jc w:val="center"/>
              <w:rPr>
                <w:rFonts w:ascii="Arial" w:hAnsi="Arial" w:cs="Arial"/>
                <w:color w:val="auto"/>
              </w:rPr>
            </w:pPr>
            <w:r w:rsidRPr="003A249C">
              <w:rPr>
                <w:rFonts w:ascii="Arial" w:hAnsi="Arial" w:cs="Arial"/>
                <w:color w:val="auto"/>
              </w:rPr>
              <w:t>55</w:t>
            </w:r>
            <w:r>
              <w:rPr>
                <w:rFonts w:ascii="Arial" w:hAnsi="Arial" w:cs="Arial"/>
                <w:color w:val="auto"/>
              </w:rPr>
              <w:t>.</w:t>
            </w:r>
            <w:r w:rsidRPr="003A249C">
              <w:rPr>
                <w:rFonts w:ascii="Arial" w:hAnsi="Arial" w:cs="Arial"/>
                <w:color w:val="auto"/>
              </w:rPr>
              <w:t>188</w:t>
            </w:r>
            <w:r>
              <w:rPr>
                <w:rFonts w:ascii="Arial" w:hAnsi="Arial" w:cs="Arial"/>
                <w:color w:val="auto"/>
              </w:rPr>
              <w:t>.</w:t>
            </w:r>
            <w:r w:rsidRPr="003A249C">
              <w:rPr>
                <w:rFonts w:ascii="Arial" w:hAnsi="Arial" w:cs="Arial"/>
                <w:color w:val="auto"/>
              </w:rPr>
              <w:t>000</w:t>
            </w:r>
          </w:p>
        </w:tc>
      </w:tr>
      <w:tr w:rsidR="00691934" w:rsidRPr="00F13F48" w:rsidTr="00012F90">
        <w:trPr>
          <w:trHeight w:val="300"/>
          <w:jc w:val="center"/>
        </w:trPr>
        <w:tc>
          <w:tcPr>
            <w:tcW w:w="2308" w:type="dxa"/>
            <w:shd w:val="clear" w:color="auto" w:fill="FDE9D9" w:themeFill="accent6" w:themeFillTint="33"/>
            <w:noWrap/>
            <w:vAlign w:val="center"/>
          </w:tcPr>
          <w:p w:rsidR="00691934" w:rsidRPr="003A249C" w:rsidRDefault="00691934" w:rsidP="00012F90">
            <w:pPr>
              <w:rPr>
                <w:rFonts w:ascii="Arial" w:hAnsi="Arial" w:cs="Arial"/>
                <w:b/>
                <w:bCs/>
              </w:rPr>
            </w:pPr>
            <w:r w:rsidRPr="003A249C">
              <w:rPr>
                <w:rFonts w:ascii="Arial" w:hAnsi="Arial" w:cs="Arial"/>
                <w:b/>
                <w:bCs/>
              </w:rPr>
              <w:t>Ape subterane</w:t>
            </w:r>
          </w:p>
        </w:tc>
        <w:tc>
          <w:tcPr>
            <w:tcW w:w="1044" w:type="dxa"/>
            <w:shd w:val="clear" w:color="auto" w:fill="FDE9D9" w:themeFill="accent6" w:themeFillTint="33"/>
            <w:noWrap/>
            <w:vAlign w:val="center"/>
          </w:tcPr>
          <w:p w:rsidR="00691934" w:rsidRPr="003A249C" w:rsidRDefault="00691934" w:rsidP="00012F90">
            <w:pPr>
              <w:jc w:val="center"/>
              <w:rPr>
                <w:rFonts w:ascii="Arial" w:hAnsi="Arial" w:cs="Arial"/>
              </w:rPr>
            </w:pPr>
            <w:r w:rsidRPr="003A249C">
              <w:rPr>
                <w:rFonts w:ascii="Arial" w:hAnsi="Arial" w:cs="Arial"/>
              </w:rPr>
              <w:t>329.550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329.550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329.550</w:t>
            </w:r>
          </w:p>
        </w:tc>
        <w:tc>
          <w:tcPr>
            <w:tcW w:w="1318" w:type="dxa"/>
            <w:shd w:val="clear" w:color="auto" w:fill="FDE9D9" w:themeFill="accent6" w:themeFillTint="33"/>
            <w:vAlign w:val="center"/>
          </w:tcPr>
          <w:p w:rsidR="00691934" w:rsidRPr="003A249C" w:rsidRDefault="00691934" w:rsidP="00012F90">
            <w:pPr>
              <w:jc w:val="center"/>
              <w:rPr>
                <w:rFonts w:ascii="Arial" w:hAnsi="Arial" w:cs="Arial"/>
              </w:rPr>
            </w:pPr>
            <w:r w:rsidRPr="003A249C">
              <w:rPr>
                <w:rFonts w:ascii="Arial" w:hAnsi="Arial" w:cs="Arial"/>
              </w:rPr>
              <w:t>329.550</w:t>
            </w:r>
          </w:p>
        </w:tc>
        <w:tc>
          <w:tcPr>
            <w:tcW w:w="1284" w:type="dxa"/>
            <w:shd w:val="clear" w:color="auto" w:fill="FDE9D9" w:themeFill="accent6" w:themeFillTint="33"/>
            <w:vAlign w:val="center"/>
          </w:tcPr>
          <w:p w:rsidR="00691934" w:rsidRPr="00F13F48" w:rsidRDefault="00691934" w:rsidP="00012F90">
            <w:pPr>
              <w:pStyle w:val="Default"/>
              <w:jc w:val="center"/>
              <w:rPr>
                <w:rFonts w:ascii="Arial" w:hAnsi="Arial" w:cs="Arial"/>
              </w:rPr>
            </w:pPr>
            <w:r w:rsidRPr="003A249C">
              <w:rPr>
                <w:rFonts w:ascii="Arial" w:hAnsi="Arial" w:cs="Arial"/>
              </w:rPr>
              <w:t>329.550</w:t>
            </w:r>
          </w:p>
        </w:tc>
      </w:tr>
    </w:tbl>
    <w:p w:rsidR="00691934" w:rsidRDefault="00691934" w:rsidP="00691934">
      <w:pPr>
        <w:pStyle w:val="Default"/>
        <w:rPr>
          <w:rFonts w:ascii="Arial" w:hAnsi="Arial" w:cs="Arial"/>
          <w:b/>
          <w:bCs/>
          <w:color w:val="auto"/>
        </w:rPr>
      </w:pPr>
    </w:p>
    <w:p w:rsidR="00691934" w:rsidRDefault="00691934" w:rsidP="00691934">
      <w:pPr>
        <w:pStyle w:val="Default"/>
        <w:rPr>
          <w:rFonts w:ascii="Arial" w:hAnsi="Arial" w:cs="Arial"/>
          <w:b/>
          <w:bCs/>
          <w:color w:val="auto"/>
        </w:rPr>
      </w:pPr>
    </w:p>
    <w:p w:rsidR="00691934" w:rsidRDefault="00691934" w:rsidP="00691934"/>
    <w:p w:rsidR="00691934" w:rsidRDefault="00691934" w:rsidP="00691934">
      <w:pPr>
        <w:jc w:val="center"/>
      </w:pPr>
      <w:r>
        <w:rPr>
          <w:noProof/>
          <w:lang w:val="ro-RO" w:eastAsia="ro-RO"/>
        </w:rPr>
        <w:drawing>
          <wp:inline distT="0" distB="0" distL="0" distR="0">
            <wp:extent cx="5486400" cy="3200400"/>
            <wp:effectExtent l="19050" t="0" r="19050" b="0"/>
            <wp:docPr id="32"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55"/>
              </a:graphicData>
            </a:graphic>
          </wp:inline>
        </w:drawing>
      </w:r>
    </w:p>
    <w:p w:rsidR="00691934" w:rsidRPr="003A249C" w:rsidRDefault="00691934" w:rsidP="00691934">
      <w:pPr>
        <w:pStyle w:val="Default"/>
        <w:jc w:val="center"/>
        <w:rPr>
          <w:rFonts w:ascii="Arial" w:hAnsi="Arial" w:cs="Arial"/>
          <w:b/>
          <w:bCs/>
          <w:color w:val="auto"/>
        </w:rPr>
      </w:pPr>
      <w:r w:rsidRPr="003A249C">
        <w:rPr>
          <w:rFonts w:ascii="Arial" w:hAnsi="Arial" w:cs="Arial"/>
          <w:b/>
          <w:bCs/>
          <w:color w:val="auto"/>
        </w:rPr>
        <w:t xml:space="preserve">Figura nr. </w:t>
      </w:r>
      <w:r w:rsidRPr="00F13F48">
        <w:rPr>
          <w:rFonts w:ascii="Arial" w:hAnsi="Arial" w:cs="Arial"/>
          <w:b/>
          <w:bCs/>
          <w:color w:val="auto"/>
        </w:rPr>
        <w:t>II.1.1.1</w:t>
      </w:r>
      <w:r w:rsidRPr="00F13F48">
        <w:rPr>
          <w:rFonts w:ascii="Arial" w:hAnsi="Arial" w:cs="Arial"/>
          <w:b/>
          <w:bCs/>
          <w:i/>
          <w:iCs/>
          <w:color w:val="auto"/>
        </w:rPr>
        <w:t xml:space="preserve"> </w:t>
      </w:r>
      <w:r>
        <w:rPr>
          <w:rFonts w:ascii="Arial" w:hAnsi="Arial" w:cs="Arial"/>
          <w:b/>
          <w:bCs/>
          <w:i/>
          <w:iCs/>
          <w:color w:val="auto"/>
        </w:rPr>
        <w:t xml:space="preserve">- </w:t>
      </w:r>
      <w:r w:rsidRPr="003A249C">
        <w:rPr>
          <w:rFonts w:ascii="Arial" w:hAnsi="Arial" w:cs="Arial"/>
          <w:b/>
          <w:bCs/>
          <w:color w:val="auto"/>
        </w:rPr>
        <w:t>1</w:t>
      </w:r>
      <w:r w:rsidRPr="003A249C">
        <w:rPr>
          <w:rFonts w:ascii="Arial" w:hAnsi="Arial" w:cs="Arial"/>
          <w:color w:val="auto"/>
        </w:rPr>
        <w:t xml:space="preserve"> Resursele d</w:t>
      </w:r>
      <w:r>
        <w:rPr>
          <w:rFonts w:ascii="Arial" w:hAnsi="Arial" w:cs="Arial"/>
          <w:color w:val="auto"/>
        </w:rPr>
        <w:t>e apă potenţiale şi tehnic uti</w:t>
      </w:r>
      <w:r w:rsidRPr="003A249C">
        <w:rPr>
          <w:rFonts w:ascii="Arial" w:hAnsi="Arial" w:cs="Arial"/>
          <w:color w:val="auto"/>
        </w:rPr>
        <w:t>lizabile la nivelul județului Brăila în perioada anilor  2010 - 2014  (</w:t>
      </w:r>
      <w:r>
        <w:rPr>
          <w:rFonts w:ascii="Arial" w:hAnsi="Arial" w:cs="Arial"/>
          <w:color w:val="auto"/>
        </w:rPr>
        <w:t>mii</w:t>
      </w:r>
      <w:r w:rsidRPr="003A249C">
        <w:rPr>
          <w:rFonts w:ascii="Arial" w:hAnsi="Arial" w:cs="Arial"/>
          <w:color w:val="auto"/>
        </w:rPr>
        <w:t xml:space="preserve"> m3)</w:t>
      </w:r>
    </w:p>
    <w:p w:rsidR="00691934" w:rsidRDefault="00691934" w:rsidP="00691934">
      <w:pPr>
        <w:pStyle w:val="Default"/>
        <w:rPr>
          <w:rFonts w:ascii="Arial" w:hAnsi="Arial" w:cs="Arial"/>
          <w:b/>
          <w:bCs/>
          <w:color w:val="auto"/>
        </w:rPr>
      </w:pPr>
    </w:p>
    <w:p w:rsidR="00691934" w:rsidRDefault="00691934" w:rsidP="00691934">
      <w:pPr>
        <w:pStyle w:val="Default"/>
        <w:rPr>
          <w:rFonts w:ascii="Arial" w:hAnsi="Arial" w:cs="Arial"/>
          <w:b/>
          <w:bCs/>
          <w:color w:val="auto"/>
        </w:rPr>
      </w:pPr>
      <w:r w:rsidRPr="00F13F48">
        <w:rPr>
          <w:rFonts w:ascii="Arial" w:hAnsi="Arial" w:cs="Arial"/>
          <w:b/>
          <w:bCs/>
          <w:color w:val="auto"/>
        </w:rPr>
        <w:t xml:space="preserve">II.1.1.2. Utilizarea resurselor de apă </w:t>
      </w:r>
    </w:p>
    <w:p w:rsidR="00691934" w:rsidRPr="00F13F48" w:rsidRDefault="00691934" w:rsidP="00691934">
      <w:pPr>
        <w:pStyle w:val="Default"/>
        <w:rPr>
          <w:rFonts w:ascii="Arial" w:hAnsi="Arial" w:cs="Arial"/>
          <w:b/>
          <w:bCs/>
          <w:color w:val="auto"/>
        </w:rPr>
      </w:pPr>
    </w:p>
    <w:p w:rsidR="00691934" w:rsidRDefault="00691934" w:rsidP="00691934">
      <w:pPr>
        <w:pStyle w:val="Default"/>
        <w:jc w:val="both"/>
        <w:rPr>
          <w:rFonts w:ascii="Arial" w:hAnsi="Arial" w:cs="Arial"/>
          <w:color w:val="auto"/>
        </w:rPr>
      </w:pPr>
      <w:r w:rsidRPr="00D11AB7">
        <w:rPr>
          <w:rFonts w:ascii="Arial" w:hAnsi="Arial" w:cs="Arial"/>
          <w:color w:val="auto"/>
        </w:rPr>
        <w:t xml:space="preserve">Indicele de exploatare a </w:t>
      </w:r>
      <w:r>
        <w:rPr>
          <w:rFonts w:ascii="Arial" w:hAnsi="Arial" w:cs="Arial"/>
          <w:color w:val="auto"/>
        </w:rPr>
        <w:t xml:space="preserve">apei (WEI) reprezintă captarea </w:t>
      </w:r>
      <w:r w:rsidRPr="00D11AB7">
        <w:rPr>
          <w:rFonts w:ascii="Arial" w:hAnsi="Arial" w:cs="Arial"/>
          <w:color w:val="auto"/>
        </w:rPr>
        <w:t xml:space="preserve">totală medie anuală de apă dulce raportată la resursele totale anuale de apă regenerabilă la nivel </w:t>
      </w:r>
      <w:r>
        <w:rPr>
          <w:rFonts w:ascii="Arial" w:hAnsi="Arial" w:cs="Arial"/>
          <w:color w:val="auto"/>
        </w:rPr>
        <w:t>județului</w:t>
      </w:r>
      <w:r w:rsidRPr="00D11AB7">
        <w:rPr>
          <w:rFonts w:ascii="Arial" w:hAnsi="Arial" w:cs="Arial"/>
          <w:color w:val="auto"/>
        </w:rPr>
        <w:t>, se exprimă în procente și se calculează cu următoarea formulă:</w:t>
      </w:r>
    </w:p>
    <w:p w:rsidR="00691934" w:rsidRPr="00D11AB7" w:rsidRDefault="00691934" w:rsidP="00691934">
      <w:pPr>
        <w:pStyle w:val="Default"/>
        <w:rPr>
          <w:rFonts w:ascii="Arial" w:hAnsi="Arial" w:cs="Arial"/>
          <w:color w:val="auto"/>
        </w:rPr>
      </w:pPr>
    </w:p>
    <w:p w:rsidR="00691934" w:rsidRPr="001F5549" w:rsidRDefault="00691934" w:rsidP="00691934">
      <w:pPr>
        <w:pStyle w:val="Default"/>
        <w:rPr>
          <w:rFonts w:ascii="Arial" w:hAnsi="Arial" w:cs="Arial"/>
          <w:color w:val="0070C0"/>
          <w:u w:val="single"/>
        </w:rPr>
      </w:pPr>
      <w:r w:rsidRPr="001F5549">
        <w:rPr>
          <w:rFonts w:ascii="Arial" w:hAnsi="Arial" w:cs="Arial"/>
          <w:color w:val="0070C0"/>
        </w:rPr>
        <w:t xml:space="preserve">WEI = </w:t>
      </w:r>
      <w:r w:rsidRPr="001F5549">
        <w:rPr>
          <w:rFonts w:ascii="Arial" w:hAnsi="Arial" w:cs="Arial"/>
          <w:color w:val="0070C0"/>
          <w:u w:val="single"/>
        </w:rPr>
        <w:t>C</w:t>
      </w:r>
      <w:r w:rsidRPr="001F5549">
        <w:rPr>
          <w:rFonts w:ascii="Arial" w:hAnsi="Arial" w:cs="Arial"/>
          <w:color w:val="0070C0"/>
          <w:u w:val="single"/>
          <w:vertAlign w:val="subscript"/>
        </w:rPr>
        <w:t>T</w:t>
      </w:r>
      <w:r w:rsidRPr="001F5549">
        <w:rPr>
          <w:rFonts w:ascii="Arial" w:hAnsi="Arial" w:cs="Arial"/>
          <w:color w:val="0070C0"/>
          <w:u w:val="single"/>
        </w:rPr>
        <w:t xml:space="preserve"> (captarea totală medie anuală de apă dulce, exprimată în mii m</w:t>
      </w:r>
      <w:r w:rsidRPr="001F5549">
        <w:rPr>
          <w:rFonts w:ascii="Arial" w:hAnsi="Arial" w:cs="Arial"/>
          <w:color w:val="0070C0"/>
          <w:u w:val="single"/>
          <w:vertAlign w:val="superscript"/>
        </w:rPr>
        <w:t>3</w:t>
      </w:r>
      <w:r w:rsidRPr="001F5549">
        <w:rPr>
          <w:rFonts w:ascii="Arial" w:hAnsi="Arial" w:cs="Arial"/>
          <w:color w:val="0070C0"/>
          <w:u w:val="single"/>
        </w:rPr>
        <w:t>/an )</w:t>
      </w:r>
    </w:p>
    <w:p w:rsidR="00691934" w:rsidRPr="001F5549" w:rsidRDefault="00691934" w:rsidP="00691934">
      <w:pPr>
        <w:pStyle w:val="Default"/>
        <w:ind w:left="708" w:firstLine="12"/>
        <w:rPr>
          <w:rFonts w:ascii="Arial" w:hAnsi="Arial" w:cs="Arial"/>
          <w:color w:val="0070C0"/>
        </w:rPr>
      </w:pPr>
      <w:r w:rsidRPr="001F5549">
        <w:rPr>
          <w:rFonts w:ascii="Arial" w:hAnsi="Arial" w:cs="Arial"/>
          <w:color w:val="0070C0"/>
        </w:rPr>
        <w:t>R</w:t>
      </w:r>
      <w:r w:rsidRPr="001F5549">
        <w:rPr>
          <w:rFonts w:ascii="Arial" w:hAnsi="Arial" w:cs="Arial"/>
          <w:color w:val="0070C0"/>
          <w:vertAlign w:val="subscript"/>
        </w:rPr>
        <w:t xml:space="preserve">T </w:t>
      </w:r>
      <w:r w:rsidRPr="001F5549">
        <w:rPr>
          <w:rFonts w:ascii="Arial" w:hAnsi="Arial" w:cs="Arial"/>
          <w:color w:val="0070C0"/>
        </w:rPr>
        <w:t>( resursele totale medii anuale de apă regenerabilă la nivel național, exprimate în  mii m</w:t>
      </w:r>
      <w:r w:rsidRPr="001F5549">
        <w:rPr>
          <w:rFonts w:ascii="Arial" w:hAnsi="Arial" w:cs="Arial"/>
          <w:color w:val="0070C0"/>
          <w:vertAlign w:val="superscript"/>
        </w:rPr>
        <w:t>3</w:t>
      </w:r>
      <w:r w:rsidRPr="001F5549">
        <w:rPr>
          <w:rFonts w:ascii="Arial" w:hAnsi="Arial" w:cs="Arial"/>
          <w:color w:val="0070C0"/>
        </w:rPr>
        <w:t>/an)</w:t>
      </w:r>
    </w:p>
    <w:p w:rsidR="00691934" w:rsidRDefault="00691934" w:rsidP="00691934">
      <w:pPr>
        <w:pStyle w:val="Default"/>
        <w:rPr>
          <w:rFonts w:ascii="Arial" w:hAnsi="Arial" w:cs="Arial"/>
          <w:b/>
          <w:color w:val="auto"/>
        </w:rPr>
      </w:pPr>
    </w:p>
    <w:p w:rsidR="00691934" w:rsidRDefault="00691934" w:rsidP="00691934">
      <w:pPr>
        <w:pStyle w:val="Default"/>
        <w:rPr>
          <w:rFonts w:ascii="Arial" w:hAnsi="Arial" w:cs="Arial"/>
          <w:color w:val="auto"/>
          <w:u w:val="single"/>
        </w:rPr>
      </w:pPr>
      <w:r w:rsidRPr="0039455A">
        <w:rPr>
          <w:rFonts w:ascii="Arial" w:hAnsi="Arial" w:cs="Arial"/>
          <w:b/>
          <w:color w:val="auto"/>
        </w:rPr>
        <w:t>Tabelul nr.</w:t>
      </w:r>
      <w:r w:rsidRPr="0025610C">
        <w:rPr>
          <w:rFonts w:ascii="Arial" w:hAnsi="Arial" w:cs="Arial"/>
          <w:b/>
          <w:bCs/>
          <w:color w:val="auto"/>
        </w:rPr>
        <w:t xml:space="preserve"> </w:t>
      </w:r>
      <w:r w:rsidRPr="00F13F48">
        <w:rPr>
          <w:rFonts w:ascii="Arial" w:hAnsi="Arial" w:cs="Arial"/>
          <w:b/>
          <w:bCs/>
          <w:color w:val="auto"/>
        </w:rPr>
        <w:t>II.1.1.</w:t>
      </w:r>
      <w:r>
        <w:rPr>
          <w:rFonts w:ascii="Arial" w:hAnsi="Arial" w:cs="Arial"/>
          <w:b/>
          <w:bCs/>
          <w:color w:val="auto"/>
        </w:rPr>
        <w:t>2</w:t>
      </w:r>
      <w:r w:rsidRPr="00F13F48">
        <w:rPr>
          <w:rFonts w:ascii="Arial" w:hAnsi="Arial" w:cs="Arial"/>
          <w:b/>
          <w:bCs/>
          <w:i/>
          <w:iCs/>
          <w:color w:val="auto"/>
        </w:rPr>
        <w:t xml:space="preserve"> </w:t>
      </w:r>
      <w:r>
        <w:rPr>
          <w:rFonts w:ascii="Arial" w:hAnsi="Arial" w:cs="Arial"/>
          <w:b/>
          <w:bCs/>
          <w:iCs/>
          <w:color w:val="auto"/>
        </w:rPr>
        <w:t>–</w:t>
      </w:r>
      <w:r w:rsidRPr="0025610C">
        <w:rPr>
          <w:rFonts w:ascii="Arial" w:hAnsi="Arial" w:cs="Arial"/>
          <w:b/>
          <w:bCs/>
          <w:iCs/>
          <w:color w:val="auto"/>
        </w:rPr>
        <w:t xml:space="preserve"> 1</w:t>
      </w:r>
      <w:r>
        <w:rPr>
          <w:rFonts w:ascii="Arial" w:hAnsi="Arial" w:cs="Arial"/>
          <w:b/>
          <w:bCs/>
          <w:iCs/>
          <w:color w:val="auto"/>
        </w:rPr>
        <w:t xml:space="preserve"> </w:t>
      </w:r>
      <w:r w:rsidRPr="00FE19F5">
        <w:rPr>
          <w:rFonts w:ascii="Arial" w:hAnsi="Arial" w:cs="Arial"/>
          <w:bCs/>
          <w:iCs/>
          <w:color w:val="auto"/>
        </w:rPr>
        <w:t>Evoluția prelevărilor</w:t>
      </w:r>
      <w:r>
        <w:rPr>
          <w:rFonts w:ascii="Arial" w:hAnsi="Arial" w:cs="Arial"/>
          <w:bCs/>
          <w:iCs/>
          <w:color w:val="auto"/>
        </w:rPr>
        <w:t xml:space="preserve"> (captărilor)/</w:t>
      </w:r>
      <w:r w:rsidRPr="00FE19F5">
        <w:rPr>
          <w:rFonts w:ascii="Arial" w:hAnsi="Arial" w:cs="Arial"/>
          <w:bCs/>
          <w:iCs/>
          <w:color w:val="auto"/>
        </w:rPr>
        <w:t>resurselor la nivelul județului Brăila în perioada 2010 -</w:t>
      </w:r>
      <w:r>
        <w:rPr>
          <w:rFonts w:ascii="Arial" w:hAnsi="Arial" w:cs="Arial"/>
          <w:bCs/>
          <w:iCs/>
          <w:color w:val="auto"/>
        </w:rPr>
        <w:t xml:space="preserve"> </w:t>
      </w:r>
      <w:r w:rsidRPr="00FE19F5">
        <w:rPr>
          <w:rFonts w:ascii="Arial" w:hAnsi="Arial" w:cs="Arial"/>
          <w:bCs/>
          <w:iCs/>
          <w:color w:val="auto"/>
        </w:rPr>
        <w:t xml:space="preserve">2014 - </w:t>
      </w:r>
      <w:r w:rsidRPr="00FE19F5">
        <w:rPr>
          <w:rFonts w:ascii="Arial" w:hAnsi="Arial" w:cs="Arial"/>
          <w:color w:val="auto"/>
        </w:rPr>
        <w:t>Indicele de exploatare a apei (WEI)</w:t>
      </w:r>
      <w:r w:rsidRPr="00D11AB7">
        <w:rPr>
          <w:rFonts w:ascii="Arial" w:hAnsi="Arial" w:cs="Arial"/>
          <w:color w:val="auto"/>
          <w:u w:val="single"/>
        </w:rPr>
        <w:t xml:space="preserve">   </w:t>
      </w:r>
    </w:p>
    <w:p w:rsidR="00691934" w:rsidRPr="00D11AB7" w:rsidRDefault="00691934" w:rsidP="00691934">
      <w:pPr>
        <w:pStyle w:val="Default"/>
        <w:rPr>
          <w:rFonts w:ascii="Arial" w:hAnsi="Arial" w:cs="Arial"/>
          <w:color w:val="auto"/>
          <w:u w:val="single"/>
        </w:rPr>
      </w:pPr>
      <w:r w:rsidRPr="00D11AB7">
        <w:rPr>
          <w:rFonts w:ascii="Arial" w:hAnsi="Arial" w:cs="Arial"/>
          <w:color w:val="auto"/>
          <w:u w:val="single"/>
        </w:rPr>
        <w:t xml:space="preserve">        </w:t>
      </w:r>
    </w:p>
    <w:tbl>
      <w:tblPr>
        <w:tblW w:w="9687" w:type="dxa"/>
        <w:jc w:val="center"/>
        <w:tblInd w:w="-132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99"/>
        <w:gridCol w:w="1484"/>
        <w:gridCol w:w="1484"/>
        <w:gridCol w:w="1484"/>
        <w:gridCol w:w="1418"/>
        <w:gridCol w:w="1418"/>
      </w:tblGrid>
      <w:tr w:rsidR="00691934" w:rsidRPr="00D11AB7" w:rsidTr="00012F90">
        <w:trPr>
          <w:jc w:val="center"/>
        </w:trPr>
        <w:tc>
          <w:tcPr>
            <w:tcW w:w="2506" w:type="dxa"/>
            <w:shd w:val="clear" w:color="auto" w:fill="FBD4B4" w:themeFill="accent6" w:themeFillTint="66"/>
          </w:tcPr>
          <w:p w:rsidR="00691934" w:rsidRPr="007F29C1" w:rsidRDefault="00691934" w:rsidP="00012F90">
            <w:pPr>
              <w:pStyle w:val="Default"/>
              <w:rPr>
                <w:rFonts w:ascii="Arial" w:hAnsi="Arial" w:cs="Arial"/>
                <w:b/>
                <w:color w:val="auto"/>
              </w:rPr>
            </w:pPr>
            <w:r w:rsidRPr="007F29C1">
              <w:rPr>
                <w:rFonts w:ascii="Arial" w:hAnsi="Arial" w:cs="Arial"/>
                <w:b/>
                <w:color w:val="auto"/>
              </w:rPr>
              <w:t>Județul Brăila</w:t>
            </w:r>
          </w:p>
        </w:tc>
        <w:tc>
          <w:tcPr>
            <w:tcW w:w="1377"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2010</w:t>
            </w:r>
          </w:p>
        </w:tc>
        <w:tc>
          <w:tcPr>
            <w:tcW w:w="1484"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2011</w:t>
            </w:r>
          </w:p>
        </w:tc>
        <w:tc>
          <w:tcPr>
            <w:tcW w:w="1484"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2012</w:t>
            </w:r>
          </w:p>
        </w:tc>
        <w:tc>
          <w:tcPr>
            <w:tcW w:w="1418"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2013</w:t>
            </w:r>
          </w:p>
        </w:tc>
        <w:tc>
          <w:tcPr>
            <w:tcW w:w="1418"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2014</w:t>
            </w:r>
          </w:p>
        </w:tc>
      </w:tr>
      <w:tr w:rsidR="00691934" w:rsidRPr="00D11AB7" w:rsidTr="00012F90">
        <w:trPr>
          <w:jc w:val="center"/>
        </w:trPr>
        <w:tc>
          <w:tcPr>
            <w:tcW w:w="2506" w:type="dxa"/>
            <w:shd w:val="clear" w:color="auto" w:fill="FDE9D9" w:themeFill="accent6" w:themeFillTint="33"/>
          </w:tcPr>
          <w:p w:rsidR="00691934" w:rsidRDefault="00691934" w:rsidP="00012F90">
            <w:pPr>
              <w:pStyle w:val="Default"/>
              <w:jc w:val="center"/>
              <w:rPr>
                <w:rFonts w:ascii="Arial" w:hAnsi="Arial" w:cs="Arial"/>
                <w:color w:val="auto"/>
              </w:rPr>
            </w:pPr>
            <w:r w:rsidRPr="00D11AB7">
              <w:rPr>
                <w:rFonts w:ascii="Arial" w:hAnsi="Arial" w:cs="Arial"/>
                <w:color w:val="auto"/>
              </w:rPr>
              <w:t>Total prelevat</w:t>
            </w:r>
          </w:p>
          <w:p w:rsidR="00691934" w:rsidRPr="00D11AB7" w:rsidRDefault="00691934" w:rsidP="00012F90">
            <w:pPr>
              <w:pStyle w:val="Default"/>
              <w:jc w:val="center"/>
              <w:rPr>
                <w:rFonts w:ascii="Arial" w:hAnsi="Arial" w:cs="Arial"/>
                <w:color w:val="auto"/>
              </w:rPr>
            </w:pPr>
            <w:r w:rsidRPr="00D11AB7">
              <w:rPr>
                <w:rFonts w:ascii="Arial" w:hAnsi="Arial" w:cs="Arial"/>
                <w:color w:val="auto"/>
              </w:rPr>
              <w:t>(mii mc)</w:t>
            </w:r>
          </w:p>
        </w:tc>
        <w:tc>
          <w:tcPr>
            <w:tcW w:w="1377" w:type="dxa"/>
            <w:shd w:val="clear" w:color="auto" w:fill="FDE9D9" w:themeFill="accent6" w:themeFillTint="33"/>
            <w:vAlign w:val="center"/>
          </w:tcPr>
          <w:p w:rsidR="00691934" w:rsidRPr="00D11AB7" w:rsidRDefault="00691934" w:rsidP="00012F90">
            <w:pPr>
              <w:pStyle w:val="Default"/>
              <w:jc w:val="center"/>
              <w:rPr>
                <w:rFonts w:ascii="Arial" w:hAnsi="Arial" w:cs="Arial"/>
                <w:color w:val="auto"/>
              </w:rPr>
            </w:pPr>
            <w:r w:rsidRPr="00D11AB7">
              <w:rPr>
                <w:rFonts w:ascii="Arial" w:hAnsi="Arial" w:cs="Arial"/>
              </w:rPr>
              <w:t>136852,356</w:t>
            </w:r>
          </w:p>
        </w:tc>
        <w:tc>
          <w:tcPr>
            <w:tcW w:w="1484" w:type="dxa"/>
            <w:shd w:val="clear" w:color="auto" w:fill="FDE9D9" w:themeFill="accent6" w:themeFillTint="33"/>
            <w:vAlign w:val="center"/>
          </w:tcPr>
          <w:p w:rsidR="00691934" w:rsidRPr="00D11AB7" w:rsidRDefault="00691934" w:rsidP="00012F90">
            <w:pPr>
              <w:pStyle w:val="Default"/>
              <w:jc w:val="center"/>
              <w:rPr>
                <w:rFonts w:ascii="Arial" w:hAnsi="Arial" w:cs="Arial"/>
                <w:color w:val="auto"/>
              </w:rPr>
            </w:pPr>
            <w:r w:rsidRPr="00D11AB7">
              <w:rPr>
                <w:rFonts w:ascii="Arial" w:eastAsia="MS Mincho" w:hAnsi="Arial" w:cs="Arial"/>
                <w:lang w:eastAsia="ja-JP"/>
              </w:rPr>
              <w:t>168344,634</w:t>
            </w:r>
          </w:p>
        </w:tc>
        <w:tc>
          <w:tcPr>
            <w:tcW w:w="1484" w:type="dxa"/>
            <w:shd w:val="clear" w:color="auto" w:fill="FDE9D9" w:themeFill="accent6" w:themeFillTint="33"/>
            <w:vAlign w:val="center"/>
          </w:tcPr>
          <w:p w:rsidR="00691934" w:rsidRPr="00D11AB7" w:rsidRDefault="00691934" w:rsidP="00012F90">
            <w:pPr>
              <w:jc w:val="center"/>
              <w:rPr>
                <w:rFonts w:ascii="Arial" w:hAnsi="Arial" w:cs="Arial"/>
                <w:bCs/>
              </w:rPr>
            </w:pPr>
            <w:r w:rsidRPr="00D11AB7">
              <w:rPr>
                <w:rFonts w:ascii="Arial" w:eastAsia="MS Mincho" w:hAnsi="Arial" w:cs="Arial"/>
                <w:lang w:eastAsia="ja-JP"/>
              </w:rPr>
              <w:t>208666,871</w:t>
            </w:r>
          </w:p>
        </w:tc>
        <w:tc>
          <w:tcPr>
            <w:tcW w:w="1418" w:type="dxa"/>
            <w:shd w:val="clear" w:color="auto" w:fill="FDE9D9" w:themeFill="accent6" w:themeFillTint="33"/>
            <w:vAlign w:val="center"/>
          </w:tcPr>
          <w:p w:rsidR="00691934" w:rsidRPr="00D11AB7" w:rsidRDefault="00691934" w:rsidP="00012F90">
            <w:pPr>
              <w:pStyle w:val="Default"/>
              <w:jc w:val="center"/>
              <w:rPr>
                <w:rFonts w:ascii="Arial" w:hAnsi="Arial" w:cs="Arial"/>
                <w:color w:val="auto"/>
              </w:rPr>
            </w:pPr>
            <w:r w:rsidRPr="00D11AB7">
              <w:rPr>
                <w:rFonts w:ascii="Arial" w:hAnsi="Arial" w:cs="Arial"/>
                <w:bCs/>
              </w:rPr>
              <w:t>171748,42</w:t>
            </w:r>
          </w:p>
        </w:tc>
        <w:tc>
          <w:tcPr>
            <w:tcW w:w="1418" w:type="dxa"/>
            <w:shd w:val="clear" w:color="auto" w:fill="FDE9D9" w:themeFill="accent6" w:themeFillTint="33"/>
            <w:vAlign w:val="center"/>
          </w:tcPr>
          <w:p w:rsidR="00691934" w:rsidRPr="00D11AB7" w:rsidRDefault="00691934" w:rsidP="00012F90">
            <w:pPr>
              <w:pStyle w:val="Default"/>
              <w:jc w:val="center"/>
              <w:rPr>
                <w:rFonts w:ascii="Arial" w:hAnsi="Arial" w:cs="Arial"/>
                <w:color w:val="auto"/>
              </w:rPr>
            </w:pPr>
            <w:r w:rsidRPr="00D11AB7">
              <w:rPr>
                <w:rFonts w:ascii="Arial" w:hAnsi="Arial" w:cs="Arial"/>
                <w:color w:val="auto"/>
              </w:rPr>
              <w:t>91785,863</w:t>
            </w:r>
          </w:p>
        </w:tc>
      </w:tr>
      <w:tr w:rsidR="00691934" w:rsidRPr="00D11AB7" w:rsidTr="00012F90">
        <w:trPr>
          <w:jc w:val="center"/>
        </w:trPr>
        <w:tc>
          <w:tcPr>
            <w:tcW w:w="2506" w:type="dxa"/>
            <w:shd w:val="clear" w:color="auto" w:fill="FDE9D9" w:themeFill="accent6" w:themeFillTint="33"/>
          </w:tcPr>
          <w:p w:rsidR="00691934" w:rsidRDefault="00691934" w:rsidP="00012F90">
            <w:pPr>
              <w:pStyle w:val="Default"/>
              <w:jc w:val="center"/>
              <w:rPr>
                <w:rFonts w:ascii="Arial" w:hAnsi="Arial" w:cs="Arial"/>
                <w:color w:val="auto"/>
              </w:rPr>
            </w:pPr>
            <w:r w:rsidRPr="00D11AB7">
              <w:rPr>
                <w:rFonts w:ascii="Arial" w:hAnsi="Arial" w:cs="Arial"/>
                <w:color w:val="auto"/>
              </w:rPr>
              <w:t>Total resurse</w:t>
            </w:r>
          </w:p>
          <w:p w:rsidR="00691934" w:rsidRPr="00D11AB7" w:rsidRDefault="00691934" w:rsidP="00012F90">
            <w:pPr>
              <w:pStyle w:val="Default"/>
              <w:jc w:val="center"/>
              <w:rPr>
                <w:rFonts w:ascii="Arial" w:hAnsi="Arial" w:cs="Arial"/>
                <w:color w:val="auto"/>
              </w:rPr>
            </w:pPr>
            <w:r w:rsidRPr="00D11AB7">
              <w:rPr>
                <w:rFonts w:ascii="Arial" w:hAnsi="Arial" w:cs="Arial"/>
                <w:color w:val="auto"/>
              </w:rPr>
              <w:t>(mii mc)</w:t>
            </w:r>
          </w:p>
        </w:tc>
        <w:tc>
          <w:tcPr>
            <w:tcW w:w="1377"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55.616.580</w:t>
            </w:r>
          </w:p>
        </w:tc>
        <w:tc>
          <w:tcPr>
            <w:tcW w:w="1484"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55.616.580</w:t>
            </w:r>
          </w:p>
        </w:tc>
        <w:tc>
          <w:tcPr>
            <w:tcW w:w="1484"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55.616.580</w:t>
            </w:r>
          </w:p>
        </w:tc>
        <w:tc>
          <w:tcPr>
            <w:tcW w:w="1418"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55.616.580</w:t>
            </w:r>
          </w:p>
        </w:tc>
        <w:tc>
          <w:tcPr>
            <w:tcW w:w="1418" w:type="dxa"/>
            <w:shd w:val="clear" w:color="auto" w:fill="FDE9D9" w:themeFill="accent6" w:themeFillTint="33"/>
            <w:vAlign w:val="center"/>
          </w:tcPr>
          <w:p w:rsidR="00691934" w:rsidRPr="00D11AB7" w:rsidRDefault="00691934" w:rsidP="00012F90">
            <w:pPr>
              <w:pStyle w:val="Default"/>
              <w:jc w:val="center"/>
              <w:rPr>
                <w:rFonts w:ascii="Arial" w:hAnsi="Arial" w:cs="Arial"/>
              </w:rPr>
            </w:pPr>
            <w:r w:rsidRPr="00D11AB7">
              <w:rPr>
                <w:rFonts w:ascii="Arial" w:hAnsi="Arial" w:cs="Arial"/>
              </w:rPr>
              <w:t>55.616.580</w:t>
            </w:r>
          </w:p>
        </w:tc>
      </w:tr>
      <w:tr w:rsidR="00691934" w:rsidRPr="00D11AB7" w:rsidTr="00012F90">
        <w:trPr>
          <w:jc w:val="center"/>
        </w:trPr>
        <w:tc>
          <w:tcPr>
            <w:tcW w:w="2506" w:type="dxa"/>
            <w:shd w:val="clear" w:color="auto" w:fill="FDE9D9" w:themeFill="accent6" w:themeFillTint="33"/>
          </w:tcPr>
          <w:p w:rsidR="00691934" w:rsidRPr="00D11AB7" w:rsidRDefault="00691934" w:rsidP="00012F90">
            <w:pPr>
              <w:pStyle w:val="Default"/>
              <w:jc w:val="center"/>
              <w:rPr>
                <w:rFonts w:ascii="Arial" w:hAnsi="Arial" w:cs="Arial"/>
                <w:color w:val="auto"/>
              </w:rPr>
            </w:pPr>
            <w:r w:rsidRPr="00D11AB7">
              <w:rPr>
                <w:rFonts w:ascii="Arial" w:hAnsi="Arial" w:cs="Arial"/>
                <w:color w:val="auto"/>
              </w:rPr>
              <w:t>WEI (%)</w:t>
            </w:r>
          </w:p>
        </w:tc>
        <w:tc>
          <w:tcPr>
            <w:tcW w:w="1377" w:type="dxa"/>
            <w:shd w:val="clear" w:color="auto" w:fill="FDE9D9" w:themeFill="accent6" w:themeFillTint="33"/>
            <w:vAlign w:val="center"/>
          </w:tcPr>
          <w:p w:rsidR="00691934" w:rsidRPr="00D11AB7" w:rsidRDefault="00691934" w:rsidP="00012F90">
            <w:pPr>
              <w:jc w:val="center"/>
              <w:rPr>
                <w:rFonts w:ascii="Arial" w:hAnsi="Arial" w:cs="Arial"/>
              </w:rPr>
            </w:pPr>
            <w:r>
              <w:rPr>
                <w:rFonts w:ascii="Arial" w:hAnsi="Arial" w:cs="Arial"/>
              </w:rPr>
              <w:t>0</w:t>
            </w:r>
            <w:r w:rsidRPr="00D11AB7">
              <w:rPr>
                <w:rFonts w:ascii="Arial" w:hAnsi="Arial" w:cs="Arial"/>
              </w:rPr>
              <w:t>,246%</w:t>
            </w:r>
          </w:p>
        </w:tc>
        <w:tc>
          <w:tcPr>
            <w:tcW w:w="1484"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0,30%</w:t>
            </w:r>
          </w:p>
        </w:tc>
        <w:tc>
          <w:tcPr>
            <w:tcW w:w="1484"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0,37%</w:t>
            </w:r>
          </w:p>
        </w:tc>
        <w:tc>
          <w:tcPr>
            <w:tcW w:w="1418"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0,30%</w:t>
            </w:r>
          </w:p>
        </w:tc>
        <w:tc>
          <w:tcPr>
            <w:tcW w:w="1418" w:type="dxa"/>
            <w:shd w:val="clear" w:color="auto" w:fill="FDE9D9" w:themeFill="accent6" w:themeFillTint="33"/>
            <w:vAlign w:val="center"/>
          </w:tcPr>
          <w:p w:rsidR="00691934" w:rsidRPr="00D11AB7" w:rsidRDefault="00691934" w:rsidP="00012F90">
            <w:pPr>
              <w:pStyle w:val="Default"/>
              <w:jc w:val="center"/>
              <w:rPr>
                <w:rFonts w:ascii="Arial" w:hAnsi="Arial" w:cs="Arial"/>
              </w:rPr>
            </w:pPr>
            <w:r w:rsidRPr="00D11AB7">
              <w:rPr>
                <w:rFonts w:ascii="Arial" w:hAnsi="Arial" w:cs="Arial"/>
              </w:rPr>
              <w:t>0,16%</w:t>
            </w:r>
          </w:p>
        </w:tc>
      </w:tr>
    </w:tbl>
    <w:p w:rsidR="00691934" w:rsidRPr="00D11AB7" w:rsidRDefault="00691934" w:rsidP="00691934">
      <w:pPr>
        <w:pStyle w:val="Default"/>
        <w:rPr>
          <w:rFonts w:ascii="Arial" w:hAnsi="Arial" w:cs="Arial"/>
          <w:b/>
          <w:bCs/>
          <w:color w:val="auto"/>
        </w:rPr>
      </w:pPr>
    </w:p>
    <w:p w:rsidR="00691934" w:rsidRPr="00D11AB7" w:rsidRDefault="00691934" w:rsidP="00691934">
      <w:pPr>
        <w:pStyle w:val="Default"/>
        <w:rPr>
          <w:rFonts w:ascii="Arial" w:hAnsi="Arial" w:cs="Arial"/>
          <w:color w:val="auto"/>
        </w:rPr>
      </w:pPr>
      <w:r w:rsidRPr="0039455A">
        <w:rPr>
          <w:rFonts w:ascii="Arial" w:hAnsi="Arial" w:cs="Arial"/>
          <w:b/>
          <w:color w:val="auto"/>
        </w:rPr>
        <w:t>Tabelul nr.</w:t>
      </w:r>
      <w:r w:rsidRPr="0025610C">
        <w:rPr>
          <w:rFonts w:ascii="Arial" w:hAnsi="Arial" w:cs="Arial"/>
          <w:b/>
          <w:bCs/>
          <w:color w:val="auto"/>
        </w:rPr>
        <w:t xml:space="preserve"> </w:t>
      </w:r>
      <w:r w:rsidRPr="00F13F48">
        <w:rPr>
          <w:rFonts w:ascii="Arial" w:hAnsi="Arial" w:cs="Arial"/>
          <w:b/>
          <w:bCs/>
          <w:color w:val="auto"/>
        </w:rPr>
        <w:t>II.1.1.</w:t>
      </w:r>
      <w:r>
        <w:rPr>
          <w:rFonts w:ascii="Arial" w:hAnsi="Arial" w:cs="Arial"/>
          <w:b/>
          <w:bCs/>
          <w:color w:val="auto"/>
        </w:rPr>
        <w:t>2</w:t>
      </w:r>
      <w:r w:rsidRPr="00F13F48">
        <w:rPr>
          <w:rFonts w:ascii="Arial" w:hAnsi="Arial" w:cs="Arial"/>
          <w:b/>
          <w:bCs/>
          <w:i/>
          <w:iCs/>
          <w:color w:val="auto"/>
        </w:rPr>
        <w:t xml:space="preserve"> </w:t>
      </w:r>
      <w:r>
        <w:rPr>
          <w:rFonts w:ascii="Arial" w:hAnsi="Arial" w:cs="Arial"/>
          <w:b/>
          <w:bCs/>
          <w:iCs/>
          <w:color w:val="auto"/>
        </w:rPr>
        <w:t>–</w:t>
      </w:r>
      <w:r w:rsidRPr="0025610C">
        <w:rPr>
          <w:rFonts w:ascii="Arial" w:hAnsi="Arial" w:cs="Arial"/>
          <w:b/>
          <w:bCs/>
          <w:iCs/>
          <w:color w:val="auto"/>
        </w:rPr>
        <w:t xml:space="preserve"> </w:t>
      </w:r>
      <w:r>
        <w:rPr>
          <w:rFonts w:ascii="Arial" w:hAnsi="Arial" w:cs="Arial"/>
          <w:b/>
          <w:bCs/>
          <w:iCs/>
          <w:color w:val="auto"/>
        </w:rPr>
        <w:t xml:space="preserve">2 </w:t>
      </w:r>
      <w:r w:rsidRPr="00D11AB7">
        <w:rPr>
          <w:rFonts w:ascii="Arial" w:hAnsi="Arial" w:cs="Arial"/>
          <w:color w:val="auto"/>
        </w:rPr>
        <w:t xml:space="preserve">Evoluţia indicelui de exploatare a apei (WEI)  la nivelul județului Brăila, în perioada anilor  2010 - 2014 </w:t>
      </w:r>
    </w:p>
    <w:p w:rsidR="00691934" w:rsidRPr="00D11AB7" w:rsidRDefault="00691934" w:rsidP="00691934">
      <w:pPr>
        <w:pStyle w:val="Default"/>
        <w:rPr>
          <w:rFonts w:ascii="Arial" w:hAnsi="Arial" w:cs="Arial"/>
          <w:color w:val="auto"/>
        </w:rPr>
      </w:pPr>
    </w:p>
    <w:tbl>
      <w:tblPr>
        <w:tblW w:w="0" w:type="auto"/>
        <w:jc w:val="center"/>
        <w:tblInd w:w="-12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04"/>
        <w:gridCol w:w="1084"/>
        <w:gridCol w:w="1069"/>
        <w:gridCol w:w="1070"/>
        <w:gridCol w:w="1070"/>
        <w:gridCol w:w="1070"/>
      </w:tblGrid>
      <w:tr w:rsidR="00691934" w:rsidRPr="00D11AB7" w:rsidTr="00012F90">
        <w:trPr>
          <w:jc w:val="center"/>
        </w:trPr>
        <w:tc>
          <w:tcPr>
            <w:tcW w:w="2304" w:type="dxa"/>
            <w:shd w:val="clear" w:color="auto" w:fill="FDE9D9" w:themeFill="accent6" w:themeFillTint="33"/>
            <w:vAlign w:val="center"/>
          </w:tcPr>
          <w:p w:rsidR="00691934" w:rsidRPr="007F29C1" w:rsidRDefault="00691934" w:rsidP="00012F90">
            <w:pPr>
              <w:pStyle w:val="Default"/>
              <w:rPr>
                <w:rFonts w:ascii="Arial" w:hAnsi="Arial" w:cs="Arial"/>
                <w:b/>
                <w:color w:val="auto"/>
              </w:rPr>
            </w:pPr>
            <w:r w:rsidRPr="007F29C1">
              <w:rPr>
                <w:rFonts w:ascii="Arial" w:hAnsi="Arial" w:cs="Arial"/>
                <w:b/>
                <w:color w:val="auto"/>
              </w:rPr>
              <w:lastRenderedPageBreak/>
              <w:t>Județul Brăila</w:t>
            </w:r>
          </w:p>
        </w:tc>
        <w:tc>
          <w:tcPr>
            <w:tcW w:w="1084" w:type="dxa"/>
            <w:shd w:val="clear" w:color="auto" w:fill="FDE9D9" w:themeFill="accent6" w:themeFillTint="33"/>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2010</w:t>
            </w:r>
          </w:p>
        </w:tc>
        <w:tc>
          <w:tcPr>
            <w:tcW w:w="1069" w:type="dxa"/>
            <w:shd w:val="clear" w:color="auto" w:fill="FDE9D9" w:themeFill="accent6" w:themeFillTint="33"/>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2011</w:t>
            </w:r>
          </w:p>
        </w:tc>
        <w:tc>
          <w:tcPr>
            <w:tcW w:w="1070" w:type="dxa"/>
            <w:shd w:val="clear" w:color="auto" w:fill="FDE9D9" w:themeFill="accent6" w:themeFillTint="33"/>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2012</w:t>
            </w:r>
          </w:p>
        </w:tc>
        <w:tc>
          <w:tcPr>
            <w:tcW w:w="1070" w:type="dxa"/>
            <w:shd w:val="clear" w:color="auto" w:fill="FDE9D9" w:themeFill="accent6" w:themeFillTint="33"/>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2013</w:t>
            </w:r>
          </w:p>
        </w:tc>
        <w:tc>
          <w:tcPr>
            <w:tcW w:w="1070" w:type="dxa"/>
            <w:shd w:val="clear" w:color="auto" w:fill="FDE9D9" w:themeFill="accent6" w:themeFillTint="33"/>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2014</w:t>
            </w:r>
          </w:p>
        </w:tc>
      </w:tr>
      <w:tr w:rsidR="00691934" w:rsidRPr="00F13F48" w:rsidTr="00012F90">
        <w:trPr>
          <w:trHeight w:val="385"/>
          <w:jc w:val="center"/>
        </w:trPr>
        <w:tc>
          <w:tcPr>
            <w:tcW w:w="2304"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D11AB7">
              <w:rPr>
                <w:rFonts w:ascii="Arial" w:hAnsi="Arial" w:cs="Arial"/>
                <w:color w:val="auto"/>
              </w:rPr>
              <w:t>WEI (%)</w:t>
            </w:r>
          </w:p>
        </w:tc>
        <w:tc>
          <w:tcPr>
            <w:tcW w:w="1084"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O,246%</w:t>
            </w:r>
          </w:p>
        </w:tc>
        <w:tc>
          <w:tcPr>
            <w:tcW w:w="1069"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0,30%</w:t>
            </w:r>
          </w:p>
        </w:tc>
        <w:tc>
          <w:tcPr>
            <w:tcW w:w="1070"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0,37%</w:t>
            </w:r>
          </w:p>
        </w:tc>
        <w:tc>
          <w:tcPr>
            <w:tcW w:w="1070" w:type="dxa"/>
            <w:shd w:val="clear" w:color="auto" w:fill="FDE9D9" w:themeFill="accent6" w:themeFillTint="33"/>
            <w:vAlign w:val="center"/>
          </w:tcPr>
          <w:p w:rsidR="00691934" w:rsidRPr="00D11AB7" w:rsidRDefault="00691934" w:rsidP="00012F90">
            <w:pPr>
              <w:jc w:val="center"/>
              <w:rPr>
                <w:rFonts w:ascii="Arial" w:hAnsi="Arial" w:cs="Arial"/>
              </w:rPr>
            </w:pPr>
            <w:r w:rsidRPr="00D11AB7">
              <w:rPr>
                <w:rFonts w:ascii="Arial" w:hAnsi="Arial" w:cs="Arial"/>
              </w:rPr>
              <w:t>0,30%</w:t>
            </w:r>
          </w:p>
        </w:tc>
        <w:tc>
          <w:tcPr>
            <w:tcW w:w="1070" w:type="dxa"/>
            <w:shd w:val="clear" w:color="auto" w:fill="FDE9D9" w:themeFill="accent6" w:themeFillTint="33"/>
            <w:vAlign w:val="center"/>
          </w:tcPr>
          <w:p w:rsidR="00691934" w:rsidRPr="00D11AB7" w:rsidRDefault="00691934" w:rsidP="00012F90">
            <w:pPr>
              <w:pStyle w:val="Default"/>
              <w:jc w:val="center"/>
              <w:rPr>
                <w:rFonts w:ascii="Arial" w:hAnsi="Arial" w:cs="Arial"/>
              </w:rPr>
            </w:pPr>
            <w:r w:rsidRPr="00D11AB7">
              <w:rPr>
                <w:rFonts w:ascii="Arial" w:hAnsi="Arial" w:cs="Arial"/>
              </w:rPr>
              <w:t>0,16%</w:t>
            </w:r>
          </w:p>
        </w:tc>
      </w:tr>
    </w:tbl>
    <w:p w:rsidR="00691934" w:rsidRPr="00F13F48" w:rsidRDefault="00691934" w:rsidP="00691934">
      <w:pPr>
        <w:pStyle w:val="Default"/>
        <w:ind w:firstLine="720"/>
        <w:rPr>
          <w:rFonts w:ascii="Arial" w:hAnsi="Arial" w:cs="Arial"/>
          <w:color w:val="auto"/>
        </w:rPr>
      </w:pPr>
    </w:p>
    <w:p w:rsidR="00691934" w:rsidRPr="00F13F48" w:rsidRDefault="00691934" w:rsidP="00691934">
      <w:pPr>
        <w:pStyle w:val="Default"/>
        <w:ind w:firstLine="720"/>
        <w:rPr>
          <w:rFonts w:ascii="Arial" w:hAnsi="Arial" w:cs="Arial"/>
          <w:color w:val="auto"/>
        </w:rPr>
      </w:pPr>
    </w:p>
    <w:p w:rsidR="00691934" w:rsidRDefault="00691934" w:rsidP="00691934">
      <w:pPr>
        <w:tabs>
          <w:tab w:val="left" w:pos="1875"/>
        </w:tabs>
        <w:jc w:val="center"/>
      </w:pPr>
      <w:r>
        <w:rPr>
          <w:noProof/>
          <w:lang w:val="ro-RO" w:eastAsia="ro-RO"/>
        </w:rPr>
        <w:drawing>
          <wp:inline distT="0" distB="0" distL="0" distR="0">
            <wp:extent cx="5486400" cy="3200400"/>
            <wp:effectExtent l="19050" t="0" r="19050" b="0"/>
            <wp:docPr id="4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56"/>
              </a:graphicData>
            </a:graphic>
          </wp:inline>
        </w:drawing>
      </w:r>
    </w:p>
    <w:p w:rsidR="00691934" w:rsidRPr="007C7CFE" w:rsidRDefault="00691934" w:rsidP="00691934">
      <w:pPr>
        <w:pStyle w:val="Heading1"/>
      </w:pPr>
      <w:r w:rsidRPr="00100280">
        <w:rPr>
          <w:sz w:val="24"/>
          <w:szCs w:val="24"/>
        </w:rPr>
        <w:t xml:space="preserve">Tabel nr. </w:t>
      </w:r>
      <w:r w:rsidRPr="0037495C">
        <w:rPr>
          <w:bCs w:val="0"/>
          <w:sz w:val="24"/>
          <w:szCs w:val="24"/>
        </w:rPr>
        <w:t>II.1.1.2</w:t>
      </w:r>
      <w:r w:rsidRPr="0037495C">
        <w:rPr>
          <w:bCs w:val="0"/>
          <w:i/>
          <w:iCs/>
          <w:sz w:val="24"/>
          <w:szCs w:val="24"/>
        </w:rPr>
        <w:t xml:space="preserve"> </w:t>
      </w:r>
      <w:r w:rsidRPr="0037495C">
        <w:rPr>
          <w:bCs w:val="0"/>
          <w:iCs/>
          <w:sz w:val="24"/>
          <w:szCs w:val="24"/>
        </w:rPr>
        <w:t>– 3</w:t>
      </w:r>
      <w:r>
        <w:rPr>
          <w:b w:val="0"/>
          <w:bCs w:val="0"/>
          <w:iCs/>
        </w:rPr>
        <w:t xml:space="preserve"> </w:t>
      </w:r>
      <w:r w:rsidRPr="00100280">
        <w:rPr>
          <w:b w:val="0"/>
          <w:sz w:val="24"/>
          <w:szCs w:val="24"/>
        </w:rPr>
        <w:t xml:space="preserve"> </w:t>
      </w:r>
      <w:r>
        <w:rPr>
          <w:b w:val="0"/>
          <w:sz w:val="24"/>
          <w:szCs w:val="24"/>
        </w:rPr>
        <w:t>C</w:t>
      </w:r>
      <w:r w:rsidRPr="00100280">
        <w:rPr>
          <w:b w:val="0"/>
          <w:sz w:val="24"/>
          <w:szCs w:val="24"/>
        </w:rPr>
        <w:t>erinţe</w:t>
      </w:r>
      <w:r>
        <w:rPr>
          <w:b w:val="0"/>
          <w:sz w:val="24"/>
          <w:szCs w:val="24"/>
        </w:rPr>
        <w:t>le</w:t>
      </w:r>
      <w:r w:rsidRPr="00100280">
        <w:rPr>
          <w:b w:val="0"/>
          <w:sz w:val="24"/>
          <w:szCs w:val="24"/>
        </w:rPr>
        <w:t xml:space="preserve"> şi prelevăril</w:t>
      </w:r>
      <w:r>
        <w:rPr>
          <w:b w:val="0"/>
          <w:sz w:val="24"/>
          <w:szCs w:val="24"/>
        </w:rPr>
        <w:t xml:space="preserve">e </w:t>
      </w:r>
      <w:r w:rsidRPr="00100280">
        <w:rPr>
          <w:b w:val="0"/>
          <w:sz w:val="24"/>
          <w:szCs w:val="24"/>
        </w:rPr>
        <w:t xml:space="preserve">de apă la nivelul județului Brăila, în anul 2014 </w:t>
      </w:r>
    </w:p>
    <w:tbl>
      <w:tblPr>
        <w:tblW w:w="3634" w:type="dxa"/>
        <w:jc w:val="center"/>
        <w:tblInd w:w="-87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0A0"/>
      </w:tblPr>
      <w:tblGrid>
        <w:gridCol w:w="1949"/>
        <w:gridCol w:w="1685"/>
      </w:tblGrid>
      <w:tr w:rsidR="00691934" w:rsidRPr="00F13F48" w:rsidTr="00012F90">
        <w:trPr>
          <w:jc w:val="center"/>
        </w:trPr>
        <w:tc>
          <w:tcPr>
            <w:tcW w:w="1949" w:type="dxa"/>
            <w:shd w:val="clear" w:color="auto" w:fill="FDE9D9" w:themeFill="accent6" w:themeFillTint="33"/>
          </w:tcPr>
          <w:p w:rsidR="00691934" w:rsidRPr="007F29C1" w:rsidRDefault="00691934" w:rsidP="00012F90">
            <w:pPr>
              <w:pStyle w:val="Default"/>
              <w:rPr>
                <w:rFonts w:ascii="Arial" w:hAnsi="Arial" w:cs="Arial"/>
                <w:b/>
                <w:color w:val="auto"/>
              </w:rPr>
            </w:pPr>
            <w:r w:rsidRPr="007F29C1">
              <w:rPr>
                <w:rFonts w:ascii="Arial" w:hAnsi="Arial" w:cs="Arial"/>
                <w:b/>
                <w:color w:val="auto"/>
              </w:rPr>
              <w:t>Județul Brăila</w:t>
            </w:r>
          </w:p>
        </w:tc>
        <w:tc>
          <w:tcPr>
            <w:tcW w:w="1685" w:type="dxa"/>
            <w:shd w:val="clear" w:color="auto" w:fill="FDE9D9" w:themeFill="accent6" w:themeFillTint="33"/>
          </w:tcPr>
          <w:p w:rsidR="00691934" w:rsidRPr="007F29C1" w:rsidRDefault="00691934" w:rsidP="00012F90">
            <w:pPr>
              <w:pStyle w:val="Default"/>
              <w:rPr>
                <w:rFonts w:ascii="Arial" w:hAnsi="Arial" w:cs="Arial"/>
                <w:b/>
                <w:color w:val="auto"/>
              </w:rPr>
            </w:pPr>
            <w:r w:rsidRPr="007F29C1">
              <w:rPr>
                <w:rFonts w:ascii="Arial" w:hAnsi="Arial" w:cs="Arial"/>
                <w:b/>
                <w:color w:val="auto"/>
              </w:rPr>
              <w:t>2014(mii mc)</w:t>
            </w:r>
          </w:p>
        </w:tc>
      </w:tr>
      <w:tr w:rsidR="00691934" w:rsidRPr="00F13F48" w:rsidTr="00012F90">
        <w:trPr>
          <w:jc w:val="center"/>
        </w:trPr>
        <w:tc>
          <w:tcPr>
            <w:tcW w:w="1949"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Total prelevat</w:t>
            </w:r>
          </w:p>
        </w:tc>
        <w:tc>
          <w:tcPr>
            <w:tcW w:w="16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91785,863</w:t>
            </w:r>
          </w:p>
        </w:tc>
      </w:tr>
      <w:tr w:rsidR="00691934" w:rsidRPr="00F13F48" w:rsidTr="00012F90">
        <w:trPr>
          <w:jc w:val="center"/>
        </w:trPr>
        <w:tc>
          <w:tcPr>
            <w:tcW w:w="1949"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Total cerință</w:t>
            </w:r>
          </w:p>
        </w:tc>
        <w:tc>
          <w:tcPr>
            <w:tcW w:w="16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176304,18</w:t>
            </w:r>
          </w:p>
        </w:tc>
      </w:tr>
    </w:tbl>
    <w:p w:rsidR="00691934" w:rsidRDefault="00691934" w:rsidP="00691934">
      <w:pPr>
        <w:rPr>
          <w:rFonts w:ascii="Arial" w:hAnsi="Arial" w:cs="Arial"/>
          <w:b/>
          <w:noProof/>
        </w:rPr>
      </w:pPr>
    </w:p>
    <w:p w:rsidR="00691934" w:rsidRDefault="00691934" w:rsidP="00691934">
      <w:pPr>
        <w:jc w:val="center"/>
      </w:pPr>
      <w:r w:rsidRPr="00875E00">
        <w:rPr>
          <w:noProof/>
          <w:lang w:val="ro-RO" w:eastAsia="ro-RO"/>
        </w:rPr>
        <w:drawing>
          <wp:inline distT="0" distB="0" distL="0" distR="0">
            <wp:extent cx="3876675" cy="1800225"/>
            <wp:effectExtent l="19050" t="0" r="9525" b="0"/>
            <wp:docPr id="49"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57"/>
              </a:graphicData>
            </a:graphic>
          </wp:inline>
        </w:drawing>
      </w:r>
    </w:p>
    <w:p w:rsidR="00691934" w:rsidRPr="007514BF" w:rsidRDefault="00691934" w:rsidP="005E6B2E">
      <w:pPr>
        <w:pStyle w:val="Default"/>
        <w:widowControl w:val="0"/>
        <w:numPr>
          <w:ilvl w:val="0"/>
          <w:numId w:val="21"/>
        </w:numPr>
      </w:pPr>
      <w:r w:rsidRPr="007C7CFE">
        <w:rPr>
          <w:rFonts w:ascii="Arial" w:hAnsi="Arial" w:cs="Arial"/>
          <w:b/>
        </w:rPr>
        <w:t xml:space="preserve">Tabel nr. </w:t>
      </w:r>
      <w:r w:rsidRPr="007C7CFE">
        <w:rPr>
          <w:rFonts w:ascii="Arial" w:hAnsi="Arial" w:cs="Arial"/>
          <w:b/>
          <w:bCs/>
          <w:color w:val="auto"/>
        </w:rPr>
        <w:t>II.1.1.2</w:t>
      </w:r>
      <w:r w:rsidRPr="007C7CFE">
        <w:rPr>
          <w:rFonts w:ascii="Arial" w:hAnsi="Arial" w:cs="Arial"/>
          <w:b/>
          <w:bCs/>
          <w:i/>
          <w:iCs/>
          <w:color w:val="auto"/>
        </w:rPr>
        <w:t xml:space="preserve"> </w:t>
      </w:r>
      <w:r w:rsidRPr="007C7CFE">
        <w:rPr>
          <w:rFonts w:ascii="Arial" w:hAnsi="Arial" w:cs="Arial"/>
          <w:b/>
          <w:bCs/>
          <w:iCs/>
          <w:color w:val="auto"/>
        </w:rPr>
        <w:t xml:space="preserve">– 4 </w:t>
      </w:r>
      <w:r w:rsidRPr="007C7CFE">
        <w:rPr>
          <w:rFonts w:ascii="Arial" w:hAnsi="Arial" w:cs="Arial"/>
          <w:b/>
        </w:rPr>
        <w:t xml:space="preserve"> </w:t>
      </w:r>
      <w:r w:rsidRPr="007C7CFE">
        <w:rPr>
          <w:rFonts w:ascii="Arial" w:hAnsi="Arial" w:cs="Arial"/>
          <w:color w:val="auto"/>
        </w:rPr>
        <w:t xml:space="preserve"> Evoluţia cerinţei şi prelevărilor de apă la nivelul județului Brăila, în perioada 2010 – 2014 Volum  (mii m</w:t>
      </w:r>
      <w:r w:rsidRPr="007C7CFE">
        <w:rPr>
          <w:rFonts w:ascii="Arial" w:hAnsi="Arial" w:cs="Arial"/>
          <w:color w:val="auto"/>
          <w:vertAlign w:val="superscript"/>
        </w:rPr>
        <w:t>3</w:t>
      </w:r>
      <w:r w:rsidRPr="007C7CFE">
        <w:rPr>
          <w:rFonts w:ascii="Arial" w:hAnsi="Arial" w:cs="Arial"/>
          <w:color w:val="auto"/>
        </w:rPr>
        <w:t>)</w:t>
      </w:r>
    </w:p>
    <w:p w:rsidR="00691934" w:rsidRPr="00F13F48" w:rsidRDefault="00691934" w:rsidP="00691934">
      <w:pPr>
        <w:pStyle w:val="Default"/>
        <w:jc w:val="center"/>
        <w:rPr>
          <w:rFonts w:ascii="Arial" w:hAnsi="Arial" w:cs="Arial"/>
          <w:color w:val="auto"/>
        </w:rPr>
      </w:pPr>
      <w:r>
        <w:rPr>
          <w:rFonts w:ascii="Arial" w:hAnsi="Arial" w:cs="Arial"/>
          <w:color w:val="auto"/>
        </w:rPr>
        <w:t xml:space="preserve">                                                                                              </w:t>
      </w:r>
    </w:p>
    <w:tbl>
      <w:tblPr>
        <w:tblW w:w="9011" w:type="dxa"/>
        <w:jc w:val="center"/>
        <w:tblInd w:w="-1053"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123"/>
        <w:gridCol w:w="1484"/>
        <w:gridCol w:w="1218"/>
        <w:gridCol w:w="1484"/>
        <w:gridCol w:w="1351"/>
        <w:gridCol w:w="1351"/>
      </w:tblGrid>
      <w:tr w:rsidR="00691934" w:rsidRPr="00FA259A" w:rsidTr="00012F90">
        <w:trPr>
          <w:jc w:val="center"/>
        </w:trPr>
        <w:tc>
          <w:tcPr>
            <w:tcW w:w="2123" w:type="dxa"/>
            <w:shd w:val="clear" w:color="auto" w:fill="FBD4B4" w:themeFill="accent6" w:themeFillTint="66"/>
          </w:tcPr>
          <w:p w:rsidR="00691934" w:rsidRPr="007F29C1" w:rsidRDefault="00691934" w:rsidP="00012F90">
            <w:pPr>
              <w:pStyle w:val="Default"/>
              <w:rPr>
                <w:rFonts w:ascii="Arial" w:hAnsi="Arial" w:cs="Arial"/>
                <w:b/>
                <w:color w:val="auto"/>
              </w:rPr>
            </w:pPr>
            <w:r w:rsidRPr="007F29C1">
              <w:rPr>
                <w:rFonts w:ascii="Arial" w:hAnsi="Arial" w:cs="Arial"/>
                <w:b/>
                <w:color w:val="auto"/>
              </w:rPr>
              <w:t>Județul Brăila</w:t>
            </w:r>
          </w:p>
        </w:tc>
        <w:tc>
          <w:tcPr>
            <w:tcW w:w="1484"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2010</w:t>
            </w:r>
          </w:p>
        </w:tc>
        <w:tc>
          <w:tcPr>
            <w:tcW w:w="1218"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2011</w:t>
            </w:r>
          </w:p>
        </w:tc>
        <w:tc>
          <w:tcPr>
            <w:tcW w:w="1484"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2012</w:t>
            </w:r>
          </w:p>
        </w:tc>
        <w:tc>
          <w:tcPr>
            <w:tcW w:w="1351"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2013</w:t>
            </w:r>
          </w:p>
        </w:tc>
        <w:tc>
          <w:tcPr>
            <w:tcW w:w="1351" w:type="dxa"/>
            <w:shd w:val="clear" w:color="auto" w:fill="FBD4B4" w:themeFill="accent6" w:themeFillTint="66"/>
            <w:vAlign w:val="center"/>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2014</w:t>
            </w:r>
          </w:p>
        </w:tc>
      </w:tr>
      <w:tr w:rsidR="00691934" w:rsidRPr="00FA259A" w:rsidTr="00012F90">
        <w:trPr>
          <w:jc w:val="center"/>
        </w:trPr>
        <w:tc>
          <w:tcPr>
            <w:tcW w:w="2123" w:type="dxa"/>
            <w:shd w:val="clear" w:color="auto" w:fill="FDE9D9" w:themeFill="accent6" w:themeFillTint="33"/>
          </w:tcPr>
          <w:p w:rsidR="00691934" w:rsidRPr="00FA259A" w:rsidRDefault="00691934" w:rsidP="00012F90">
            <w:pPr>
              <w:pStyle w:val="Default"/>
              <w:rPr>
                <w:rFonts w:ascii="Arial" w:hAnsi="Arial" w:cs="Arial"/>
                <w:color w:val="auto"/>
              </w:rPr>
            </w:pPr>
            <w:r w:rsidRPr="00FA259A">
              <w:rPr>
                <w:rFonts w:ascii="Arial" w:hAnsi="Arial" w:cs="Arial"/>
                <w:color w:val="auto"/>
              </w:rPr>
              <w:t>Total prelevat</w:t>
            </w:r>
          </w:p>
        </w:tc>
        <w:tc>
          <w:tcPr>
            <w:tcW w:w="1484"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rPr>
              <w:t>136852,356</w:t>
            </w:r>
          </w:p>
        </w:tc>
        <w:tc>
          <w:tcPr>
            <w:tcW w:w="1218"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eastAsia="MS Mincho" w:hAnsi="Arial" w:cs="Arial"/>
                <w:lang w:eastAsia="ja-JP"/>
              </w:rPr>
              <w:t>168344,5</w:t>
            </w:r>
          </w:p>
        </w:tc>
        <w:tc>
          <w:tcPr>
            <w:tcW w:w="1484" w:type="dxa"/>
            <w:shd w:val="clear" w:color="auto" w:fill="FDE9D9" w:themeFill="accent6" w:themeFillTint="33"/>
            <w:vAlign w:val="center"/>
          </w:tcPr>
          <w:p w:rsidR="00691934" w:rsidRPr="00FA259A" w:rsidRDefault="00691934" w:rsidP="00012F90">
            <w:pPr>
              <w:jc w:val="center"/>
              <w:rPr>
                <w:rFonts w:ascii="Arial" w:hAnsi="Arial" w:cs="Arial"/>
                <w:bCs/>
              </w:rPr>
            </w:pPr>
            <w:r w:rsidRPr="00FA259A">
              <w:rPr>
                <w:rFonts w:ascii="Arial" w:eastAsia="MS Mincho" w:hAnsi="Arial" w:cs="Arial"/>
                <w:lang w:eastAsia="ja-JP"/>
              </w:rPr>
              <w:t>208666,871</w:t>
            </w:r>
          </w:p>
        </w:tc>
        <w:tc>
          <w:tcPr>
            <w:tcW w:w="1351"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bCs/>
              </w:rPr>
              <w:t>171748,42</w:t>
            </w:r>
          </w:p>
        </w:tc>
        <w:tc>
          <w:tcPr>
            <w:tcW w:w="1351"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color w:val="auto"/>
              </w:rPr>
              <w:t>91785,863</w:t>
            </w:r>
          </w:p>
        </w:tc>
      </w:tr>
      <w:tr w:rsidR="00691934" w:rsidRPr="00FA259A" w:rsidTr="00012F90">
        <w:trPr>
          <w:jc w:val="center"/>
        </w:trPr>
        <w:tc>
          <w:tcPr>
            <w:tcW w:w="2123" w:type="dxa"/>
            <w:shd w:val="clear" w:color="auto" w:fill="FDE9D9" w:themeFill="accent6" w:themeFillTint="33"/>
          </w:tcPr>
          <w:p w:rsidR="00691934" w:rsidRPr="00FA259A" w:rsidRDefault="00691934" w:rsidP="00012F90">
            <w:pPr>
              <w:pStyle w:val="Default"/>
              <w:rPr>
                <w:rFonts w:ascii="Arial" w:hAnsi="Arial" w:cs="Arial"/>
                <w:color w:val="auto"/>
              </w:rPr>
            </w:pPr>
            <w:r w:rsidRPr="00FA259A">
              <w:rPr>
                <w:rFonts w:ascii="Arial" w:hAnsi="Arial" w:cs="Arial"/>
                <w:color w:val="auto"/>
              </w:rPr>
              <w:t>Total cerință</w:t>
            </w:r>
          </w:p>
        </w:tc>
        <w:tc>
          <w:tcPr>
            <w:tcW w:w="1484"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color w:val="auto"/>
              </w:rPr>
              <w:t>- lipsă date</w:t>
            </w:r>
          </w:p>
        </w:tc>
        <w:tc>
          <w:tcPr>
            <w:tcW w:w="1218"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bCs/>
              </w:rPr>
              <w:t>399788,1</w:t>
            </w:r>
          </w:p>
        </w:tc>
        <w:tc>
          <w:tcPr>
            <w:tcW w:w="1484"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bCs/>
              </w:rPr>
              <w:t>189124,8</w:t>
            </w:r>
          </w:p>
        </w:tc>
        <w:tc>
          <w:tcPr>
            <w:tcW w:w="1351"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bCs/>
              </w:rPr>
              <w:t>217226,6</w:t>
            </w:r>
          </w:p>
        </w:tc>
        <w:tc>
          <w:tcPr>
            <w:tcW w:w="1351" w:type="dxa"/>
            <w:shd w:val="clear" w:color="auto" w:fill="FDE9D9" w:themeFill="accent6" w:themeFillTint="33"/>
            <w:vAlign w:val="center"/>
          </w:tcPr>
          <w:p w:rsidR="00691934" w:rsidRPr="00FA259A" w:rsidRDefault="00691934" w:rsidP="00012F90">
            <w:pPr>
              <w:pStyle w:val="Default"/>
              <w:jc w:val="center"/>
              <w:rPr>
                <w:rFonts w:ascii="Arial" w:hAnsi="Arial" w:cs="Arial"/>
                <w:color w:val="auto"/>
              </w:rPr>
            </w:pPr>
            <w:r w:rsidRPr="00FA259A">
              <w:rPr>
                <w:rFonts w:ascii="Arial" w:hAnsi="Arial" w:cs="Arial"/>
                <w:color w:val="auto"/>
              </w:rPr>
              <w:t>176304,18</w:t>
            </w:r>
          </w:p>
        </w:tc>
      </w:tr>
    </w:tbl>
    <w:p w:rsidR="00691934" w:rsidRDefault="00691934" w:rsidP="00691934">
      <w:pPr>
        <w:pStyle w:val="Default"/>
        <w:ind w:firstLine="720"/>
        <w:rPr>
          <w:rFonts w:ascii="Arial" w:hAnsi="Arial" w:cs="Arial"/>
          <w:color w:val="auto"/>
        </w:rPr>
      </w:pPr>
    </w:p>
    <w:p w:rsidR="00691934" w:rsidRDefault="00691934" w:rsidP="00691934">
      <w:pPr>
        <w:pStyle w:val="Default"/>
        <w:ind w:firstLine="720"/>
        <w:rPr>
          <w:rFonts w:ascii="Arial" w:hAnsi="Arial" w:cs="Arial"/>
          <w:color w:val="auto"/>
        </w:rPr>
      </w:pPr>
    </w:p>
    <w:p w:rsidR="00691934" w:rsidRDefault="00691934" w:rsidP="00691934">
      <w:pPr>
        <w:tabs>
          <w:tab w:val="left" w:pos="1875"/>
        </w:tabs>
      </w:pPr>
    </w:p>
    <w:p w:rsidR="00691934" w:rsidRPr="00784C26" w:rsidRDefault="00691934" w:rsidP="00691934">
      <w:pPr>
        <w:tabs>
          <w:tab w:val="left" w:pos="1875"/>
        </w:tabs>
        <w:jc w:val="center"/>
      </w:pPr>
      <w:r>
        <w:rPr>
          <w:noProof/>
          <w:lang w:val="ro-RO" w:eastAsia="ro-RO"/>
        </w:rPr>
        <w:lastRenderedPageBreak/>
        <w:drawing>
          <wp:inline distT="0" distB="0" distL="0" distR="0">
            <wp:extent cx="5486400" cy="3200400"/>
            <wp:effectExtent l="19050" t="0" r="19050" b="0"/>
            <wp:docPr id="5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58"/>
              </a:graphicData>
            </a:graphic>
          </wp:inline>
        </w:drawing>
      </w:r>
    </w:p>
    <w:p w:rsidR="00691934" w:rsidRDefault="00691934" w:rsidP="00691934">
      <w:pPr>
        <w:pStyle w:val="Default"/>
        <w:rPr>
          <w:rFonts w:ascii="Arial" w:hAnsi="Arial" w:cs="Arial"/>
          <w:color w:val="auto"/>
        </w:rPr>
      </w:pPr>
      <w:r>
        <w:rPr>
          <w:rFonts w:ascii="Arial" w:hAnsi="Arial" w:cs="Arial"/>
          <w:b/>
          <w:bCs/>
          <w:color w:val="auto"/>
        </w:rPr>
        <w:t>Tabelul</w:t>
      </w:r>
      <w:r w:rsidRPr="00F13F48">
        <w:rPr>
          <w:rFonts w:ascii="Arial" w:hAnsi="Arial" w:cs="Arial"/>
          <w:b/>
          <w:bCs/>
          <w:color w:val="auto"/>
        </w:rPr>
        <w:t xml:space="preserve"> nr. </w:t>
      </w:r>
      <w:r w:rsidRPr="007C7CFE">
        <w:rPr>
          <w:rFonts w:ascii="Arial" w:hAnsi="Arial" w:cs="Arial"/>
          <w:b/>
          <w:bCs/>
          <w:color w:val="auto"/>
        </w:rPr>
        <w:t>II.1.1.2</w:t>
      </w:r>
      <w:r>
        <w:rPr>
          <w:rFonts w:ascii="Arial" w:hAnsi="Arial" w:cs="Arial"/>
          <w:b/>
          <w:bCs/>
          <w:color w:val="auto"/>
        </w:rPr>
        <w:t>.</w:t>
      </w:r>
      <w:r w:rsidRPr="007C7CFE">
        <w:rPr>
          <w:rFonts w:ascii="Arial" w:hAnsi="Arial" w:cs="Arial"/>
          <w:b/>
          <w:bCs/>
          <w:i/>
          <w:iCs/>
          <w:color w:val="auto"/>
        </w:rPr>
        <w:t xml:space="preserve"> </w:t>
      </w:r>
      <w:r w:rsidRPr="007C7CFE">
        <w:rPr>
          <w:rFonts w:ascii="Arial" w:hAnsi="Arial" w:cs="Arial"/>
          <w:b/>
          <w:bCs/>
          <w:iCs/>
          <w:color w:val="auto"/>
        </w:rPr>
        <w:t xml:space="preserve">– </w:t>
      </w:r>
      <w:r>
        <w:rPr>
          <w:rFonts w:ascii="Arial" w:hAnsi="Arial" w:cs="Arial"/>
          <w:b/>
          <w:bCs/>
          <w:iCs/>
          <w:color w:val="auto"/>
        </w:rPr>
        <w:t>5</w:t>
      </w:r>
      <w:r w:rsidRPr="007C7CFE">
        <w:rPr>
          <w:rFonts w:ascii="Arial" w:hAnsi="Arial" w:cs="Arial"/>
          <w:b/>
          <w:bCs/>
          <w:iCs/>
          <w:color w:val="auto"/>
        </w:rPr>
        <w:t xml:space="preserve"> </w:t>
      </w:r>
      <w:r w:rsidRPr="00F13F48">
        <w:rPr>
          <w:rFonts w:ascii="Arial" w:hAnsi="Arial" w:cs="Arial"/>
          <w:color w:val="auto"/>
        </w:rPr>
        <w:t xml:space="preserve"> - </w:t>
      </w:r>
      <w:r>
        <w:rPr>
          <w:rFonts w:ascii="Arial" w:hAnsi="Arial" w:cs="Arial"/>
          <w:color w:val="auto"/>
        </w:rPr>
        <w:t>V</w:t>
      </w:r>
      <w:r w:rsidRPr="00F13F48">
        <w:rPr>
          <w:rFonts w:ascii="Arial" w:hAnsi="Arial" w:cs="Arial"/>
          <w:color w:val="auto"/>
        </w:rPr>
        <w:t>olumel</w:t>
      </w:r>
      <w:r>
        <w:rPr>
          <w:rFonts w:ascii="Arial" w:hAnsi="Arial" w:cs="Arial"/>
          <w:color w:val="auto"/>
        </w:rPr>
        <w:t>e</w:t>
      </w:r>
      <w:r w:rsidRPr="00F13F48">
        <w:rPr>
          <w:rFonts w:ascii="Arial" w:hAnsi="Arial" w:cs="Arial"/>
          <w:color w:val="auto"/>
        </w:rPr>
        <w:t xml:space="preserve"> de apă prelevate pentru acoperirea cerințelor diferitelor categorii de folosințe</w:t>
      </w:r>
      <w:r>
        <w:rPr>
          <w:rFonts w:ascii="Arial" w:hAnsi="Arial" w:cs="Arial"/>
          <w:color w:val="auto"/>
        </w:rPr>
        <w:t xml:space="preserve"> </w:t>
      </w:r>
      <w:r w:rsidRPr="007514BF">
        <w:rPr>
          <w:rFonts w:ascii="Arial" w:hAnsi="Arial" w:cs="Arial"/>
          <w:color w:val="auto"/>
        </w:rPr>
        <w:t>la nivelul județului Brăila</w:t>
      </w:r>
      <w:r w:rsidRPr="00F13F48">
        <w:rPr>
          <w:rFonts w:ascii="Arial" w:hAnsi="Arial" w:cs="Arial"/>
          <w:color w:val="auto"/>
        </w:rPr>
        <w:t>, în an</w:t>
      </w:r>
      <w:r>
        <w:rPr>
          <w:rFonts w:ascii="Arial" w:hAnsi="Arial" w:cs="Arial"/>
          <w:color w:val="auto"/>
        </w:rPr>
        <w:t xml:space="preserve">ul </w:t>
      </w:r>
      <w:r w:rsidRPr="00F13F48">
        <w:rPr>
          <w:rFonts w:ascii="Arial" w:hAnsi="Arial" w:cs="Arial"/>
          <w:color w:val="auto"/>
        </w:rPr>
        <w:t xml:space="preserve"> 2014 </w:t>
      </w:r>
    </w:p>
    <w:p w:rsidR="00691934" w:rsidRDefault="00691934" w:rsidP="00691934">
      <w:pPr>
        <w:pStyle w:val="Default"/>
        <w:rPr>
          <w:rFonts w:ascii="Arial" w:hAnsi="Arial" w:cs="Arial"/>
          <w:color w:val="auto"/>
        </w:rPr>
      </w:pPr>
    </w:p>
    <w:p w:rsidR="00691934" w:rsidRDefault="00691934" w:rsidP="00691934">
      <w:pPr>
        <w:pStyle w:val="Default"/>
        <w:rPr>
          <w:rFonts w:ascii="Arial" w:hAnsi="Arial" w:cs="Arial"/>
          <w:color w:val="auto"/>
        </w:rPr>
      </w:pPr>
      <w:r w:rsidRPr="00F13F48">
        <w:rPr>
          <w:rFonts w:ascii="Arial" w:hAnsi="Arial" w:cs="Arial"/>
          <w:color w:val="auto"/>
        </w:rPr>
        <w:t xml:space="preserve"> </w:t>
      </w:r>
      <w:r>
        <w:rPr>
          <w:rFonts w:ascii="Arial" w:hAnsi="Arial" w:cs="Arial"/>
          <w:color w:val="auto"/>
        </w:rPr>
        <w:t xml:space="preserve">                                                 </w:t>
      </w:r>
      <w:r w:rsidRPr="00F13F48">
        <w:rPr>
          <w:rFonts w:ascii="Arial" w:hAnsi="Arial" w:cs="Arial"/>
          <w:color w:val="auto"/>
        </w:rPr>
        <w:t>Volum de apă prelevat (mi</w:t>
      </w:r>
      <w:r>
        <w:rPr>
          <w:rFonts w:ascii="Arial" w:hAnsi="Arial" w:cs="Arial"/>
          <w:color w:val="auto"/>
        </w:rPr>
        <w:t>i</w:t>
      </w:r>
      <w:r w:rsidRPr="00F13F48">
        <w:rPr>
          <w:rFonts w:ascii="Arial" w:hAnsi="Arial" w:cs="Arial"/>
          <w:color w:val="auto"/>
        </w:rPr>
        <w:t xml:space="preserve"> m</w:t>
      </w:r>
      <w:r w:rsidRPr="00F13F48">
        <w:rPr>
          <w:rFonts w:ascii="Arial" w:hAnsi="Arial" w:cs="Arial"/>
          <w:color w:val="auto"/>
          <w:vertAlign w:val="superscript"/>
        </w:rPr>
        <w:t>3</w:t>
      </w:r>
      <w:r w:rsidRPr="00F13F48">
        <w:rPr>
          <w:rFonts w:ascii="Arial" w:hAnsi="Arial" w:cs="Arial"/>
          <w:color w:val="auto"/>
        </w:rPr>
        <w:t>)</w:t>
      </w:r>
    </w:p>
    <w:tbl>
      <w:tblPr>
        <w:tblW w:w="0" w:type="auto"/>
        <w:jc w:val="center"/>
        <w:tblInd w:w="143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235"/>
        <w:gridCol w:w="1811"/>
      </w:tblGrid>
      <w:tr w:rsidR="00691934" w:rsidRPr="00F13F48" w:rsidTr="00012F90">
        <w:trPr>
          <w:trHeight w:val="295"/>
          <w:jc w:val="center"/>
        </w:trPr>
        <w:tc>
          <w:tcPr>
            <w:tcW w:w="2235" w:type="dxa"/>
            <w:shd w:val="clear" w:color="auto" w:fill="FBD4B4" w:themeFill="accent6" w:themeFillTint="66"/>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Județul Brăila</w:t>
            </w:r>
          </w:p>
        </w:tc>
        <w:tc>
          <w:tcPr>
            <w:tcW w:w="1811" w:type="dxa"/>
            <w:shd w:val="clear" w:color="auto" w:fill="FBD4B4" w:themeFill="accent6" w:themeFillTint="66"/>
          </w:tcPr>
          <w:p w:rsidR="00691934" w:rsidRPr="007F29C1" w:rsidRDefault="00691934" w:rsidP="00012F90">
            <w:pPr>
              <w:pStyle w:val="Default"/>
              <w:jc w:val="center"/>
              <w:rPr>
                <w:rFonts w:ascii="Arial" w:hAnsi="Arial" w:cs="Arial"/>
                <w:b/>
                <w:color w:val="auto"/>
              </w:rPr>
            </w:pPr>
            <w:r w:rsidRPr="007F29C1">
              <w:rPr>
                <w:rFonts w:ascii="Arial" w:hAnsi="Arial" w:cs="Arial"/>
                <w:b/>
                <w:color w:val="auto"/>
              </w:rPr>
              <w:t>2014(mii mc)</w:t>
            </w:r>
          </w:p>
        </w:tc>
      </w:tr>
      <w:tr w:rsidR="00691934" w:rsidRPr="00F13F48" w:rsidTr="00012F90">
        <w:trPr>
          <w:jc w:val="center"/>
        </w:trPr>
        <w:tc>
          <w:tcPr>
            <w:tcW w:w="2235"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Populație</w:t>
            </w:r>
          </w:p>
        </w:tc>
        <w:tc>
          <w:tcPr>
            <w:tcW w:w="1811"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22162,449</w:t>
            </w:r>
          </w:p>
        </w:tc>
      </w:tr>
      <w:tr w:rsidR="00691934" w:rsidRPr="00F13F48" w:rsidTr="00012F90">
        <w:trPr>
          <w:jc w:val="center"/>
        </w:trPr>
        <w:tc>
          <w:tcPr>
            <w:tcW w:w="2235"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Industrie</w:t>
            </w:r>
          </w:p>
        </w:tc>
        <w:tc>
          <w:tcPr>
            <w:tcW w:w="1811"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562,814</w:t>
            </w:r>
          </w:p>
        </w:tc>
      </w:tr>
      <w:tr w:rsidR="00691934" w:rsidRPr="00F13F48" w:rsidTr="00012F90">
        <w:trPr>
          <w:jc w:val="center"/>
        </w:trPr>
        <w:tc>
          <w:tcPr>
            <w:tcW w:w="2235"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Agricultură</w:t>
            </w:r>
          </w:p>
        </w:tc>
        <w:tc>
          <w:tcPr>
            <w:tcW w:w="1811"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69060,6</w:t>
            </w:r>
          </w:p>
        </w:tc>
      </w:tr>
      <w:tr w:rsidR="00691934" w:rsidRPr="00F13F48" w:rsidTr="00012F90">
        <w:trPr>
          <w:jc w:val="center"/>
        </w:trPr>
        <w:tc>
          <w:tcPr>
            <w:tcW w:w="2235" w:type="dxa"/>
            <w:shd w:val="clear" w:color="auto" w:fill="FDE9D9" w:themeFill="accent6" w:themeFillTint="33"/>
          </w:tcPr>
          <w:p w:rsidR="00691934" w:rsidRPr="00F13F48" w:rsidRDefault="00691934" w:rsidP="00012F90">
            <w:pPr>
              <w:pStyle w:val="Default"/>
              <w:jc w:val="right"/>
              <w:rPr>
                <w:rFonts w:ascii="Arial" w:hAnsi="Arial" w:cs="Arial"/>
                <w:b/>
                <w:bCs/>
                <w:color w:val="auto"/>
              </w:rPr>
            </w:pPr>
            <w:r w:rsidRPr="00F13F48">
              <w:rPr>
                <w:rFonts w:ascii="Arial" w:hAnsi="Arial" w:cs="Arial"/>
                <w:b/>
                <w:bCs/>
                <w:color w:val="auto"/>
              </w:rPr>
              <w:t>Total județ Brăila</w:t>
            </w:r>
          </w:p>
        </w:tc>
        <w:tc>
          <w:tcPr>
            <w:tcW w:w="1811" w:type="dxa"/>
            <w:shd w:val="clear" w:color="auto" w:fill="FDE9D9" w:themeFill="accent6" w:themeFillTint="33"/>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91785,863</w:t>
            </w:r>
          </w:p>
        </w:tc>
      </w:tr>
    </w:tbl>
    <w:p w:rsidR="00691934" w:rsidRDefault="00691934" w:rsidP="00691934">
      <w:pPr>
        <w:pStyle w:val="Default"/>
        <w:ind w:firstLine="720"/>
        <w:rPr>
          <w:rFonts w:ascii="Arial" w:hAnsi="Arial" w:cs="Arial"/>
          <w:color w:val="auto"/>
        </w:rPr>
      </w:pPr>
    </w:p>
    <w:p w:rsidR="00691934" w:rsidRDefault="00691934" w:rsidP="00691934">
      <w:pPr>
        <w:tabs>
          <w:tab w:val="left" w:pos="1740"/>
        </w:tabs>
        <w:jc w:val="center"/>
      </w:pPr>
      <w:r>
        <w:rPr>
          <w:noProof/>
          <w:lang w:val="ro-RO" w:eastAsia="ro-RO"/>
        </w:rPr>
        <w:drawing>
          <wp:inline distT="0" distB="0" distL="0" distR="0">
            <wp:extent cx="4714875" cy="2781300"/>
            <wp:effectExtent l="19050" t="0" r="9525" b="0"/>
            <wp:docPr id="5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59"/>
              </a:graphicData>
            </a:graphic>
          </wp:inline>
        </w:drawing>
      </w:r>
    </w:p>
    <w:p w:rsidR="00691934" w:rsidRDefault="00691934" w:rsidP="00691934">
      <w:pPr>
        <w:pStyle w:val="Default"/>
        <w:jc w:val="center"/>
        <w:rPr>
          <w:rFonts w:ascii="Arial" w:hAnsi="Arial" w:cs="Arial"/>
          <w:b/>
          <w:bCs/>
          <w:color w:val="auto"/>
        </w:rPr>
      </w:pPr>
    </w:p>
    <w:p w:rsidR="00691934" w:rsidRPr="00F13F48" w:rsidRDefault="00691934" w:rsidP="00691934">
      <w:pPr>
        <w:pStyle w:val="Default"/>
        <w:jc w:val="center"/>
        <w:rPr>
          <w:rFonts w:ascii="Arial" w:hAnsi="Arial" w:cs="Arial"/>
          <w:color w:val="auto"/>
        </w:rPr>
      </w:pPr>
      <w:r>
        <w:rPr>
          <w:rFonts w:ascii="Arial" w:hAnsi="Arial" w:cs="Arial"/>
          <w:b/>
          <w:bCs/>
          <w:color w:val="auto"/>
        </w:rPr>
        <w:t>Tabelul</w:t>
      </w:r>
      <w:r w:rsidRPr="00F13F48">
        <w:rPr>
          <w:rFonts w:ascii="Arial" w:hAnsi="Arial" w:cs="Arial"/>
          <w:b/>
          <w:bCs/>
          <w:color w:val="auto"/>
        </w:rPr>
        <w:t xml:space="preserve">. </w:t>
      </w:r>
      <w:r w:rsidRPr="007C7CFE">
        <w:rPr>
          <w:rFonts w:ascii="Arial" w:hAnsi="Arial" w:cs="Arial"/>
          <w:b/>
          <w:bCs/>
          <w:color w:val="auto"/>
        </w:rPr>
        <w:t>II.1.1.2</w:t>
      </w:r>
      <w:r>
        <w:rPr>
          <w:rFonts w:ascii="Arial" w:hAnsi="Arial" w:cs="Arial"/>
          <w:b/>
          <w:bCs/>
          <w:color w:val="auto"/>
        </w:rPr>
        <w:t>.</w:t>
      </w:r>
      <w:r w:rsidRPr="007C7CFE">
        <w:rPr>
          <w:rFonts w:ascii="Arial" w:hAnsi="Arial" w:cs="Arial"/>
          <w:b/>
          <w:bCs/>
          <w:i/>
          <w:iCs/>
          <w:color w:val="auto"/>
        </w:rPr>
        <w:t xml:space="preserve"> </w:t>
      </w:r>
      <w:r w:rsidRPr="007C7CFE">
        <w:rPr>
          <w:rFonts w:ascii="Arial" w:hAnsi="Arial" w:cs="Arial"/>
          <w:b/>
          <w:bCs/>
          <w:iCs/>
          <w:color w:val="auto"/>
        </w:rPr>
        <w:t xml:space="preserve">– </w:t>
      </w:r>
      <w:r>
        <w:rPr>
          <w:rFonts w:ascii="Arial" w:hAnsi="Arial" w:cs="Arial"/>
          <w:b/>
          <w:bCs/>
          <w:iCs/>
          <w:color w:val="auto"/>
        </w:rPr>
        <w:t>6</w:t>
      </w:r>
      <w:r w:rsidRPr="007C7CFE">
        <w:rPr>
          <w:rFonts w:ascii="Arial" w:hAnsi="Arial" w:cs="Arial"/>
          <w:b/>
          <w:bCs/>
          <w:iCs/>
          <w:color w:val="auto"/>
        </w:rPr>
        <w:t xml:space="preserve"> </w:t>
      </w:r>
      <w:r w:rsidRPr="00F13F48">
        <w:rPr>
          <w:rFonts w:ascii="Arial" w:hAnsi="Arial" w:cs="Arial"/>
          <w:color w:val="auto"/>
        </w:rPr>
        <w:t xml:space="preserve"> - Evoluţia volumelor de apă prelevate pentru acoperirea cerințelor diferitelor categorii de folosințe, în perioada anilor 2010 – 2014</w:t>
      </w:r>
    </w:p>
    <w:p w:rsidR="00691934" w:rsidRDefault="00691934" w:rsidP="00691934">
      <w:pPr>
        <w:pStyle w:val="Default"/>
        <w:rPr>
          <w:rFonts w:ascii="Arial" w:hAnsi="Arial" w:cs="Arial"/>
          <w:color w:val="auto"/>
        </w:rPr>
      </w:pPr>
      <w:r>
        <w:rPr>
          <w:rFonts w:ascii="Arial" w:hAnsi="Arial" w:cs="Arial"/>
          <w:color w:val="auto"/>
        </w:rPr>
        <w:t xml:space="preserve">                                                                               </w:t>
      </w:r>
      <w:r w:rsidRPr="00F13F48">
        <w:rPr>
          <w:rFonts w:ascii="Arial" w:hAnsi="Arial" w:cs="Arial"/>
          <w:color w:val="auto"/>
        </w:rPr>
        <w:t xml:space="preserve"> </w:t>
      </w:r>
    </w:p>
    <w:p w:rsidR="00691934" w:rsidRPr="00F13F48" w:rsidRDefault="00691934" w:rsidP="00691934">
      <w:pPr>
        <w:pStyle w:val="Default"/>
        <w:rPr>
          <w:rFonts w:ascii="Arial" w:hAnsi="Arial" w:cs="Arial"/>
          <w:color w:val="auto"/>
        </w:rPr>
      </w:pPr>
      <w:r w:rsidRPr="00F13F48">
        <w:rPr>
          <w:rFonts w:ascii="Arial" w:hAnsi="Arial" w:cs="Arial"/>
          <w:color w:val="auto"/>
        </w:rPr>
        <w:t>Volum de apă prelevat (mi</w:t>
      </w:r>
      <w:r>
        <w:rPr>
          <w:rFonts w:ascii="Arial" w:hAnsi="Arial" w:cs="Arial"/>
          <w:color w:val="auto"/>
        </w:rPr>
        <w:t>i</w:t>
      </w:r>
      <w:r w:rsidRPr="00F13F48">
        <w:rPr>
          <w:rFonts w:ascii="Arial" w:hAnsi="Arial" w:cs="Arial"/>
          <w:color w:val="auto"/>
        </w:rPr>
        <w:t xml:space="preserve"> m</w:t>
      </w:r>
      <w:r w:rsidRPr="00F13F48">
        <w:rPr>
          <w:rFonts w:ascii="Arial" w:hAnsi="Arial" w:cs="Arial"/>
          <w:color w:val="auto"/>
          <w:vertAlign w:val="superscript"/>
        </w:rPr>
        <w:t>3</w:t>
      </w:r>
      <w:r w:rsidRPr="00F13F48">
        <w:rPr>
          <w:rFonts w:ascii="Arial" w:hAnsi="Arial" w:cs="Arial"/>
          <w:color w:val="auto"/>
        </w:rPr>
        <w:t>)</w:t>
      </w:r>
    </w:p>
    <w:tbl>
      <w:tblPr>
        <w:tblW w:w="0" w:type="auto"/>
        <w:jc w:val="center"/>
        <w:tblInd w:w="10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367"/>
        <w:gridCol w:w="1218"/>
        <w:gridCol w:w="1218"/>
        <w:gridCol w:w="1351"/>
        <w:gridCol w:w="1351"/>
        <w:gridCol w:w="1754"/>
      </w:tblGrid>
      <w:tr w:rsidR="00691934" w:rsidRPr="00F13F48" w:rsidTr="00012F90">
        <w:trPr>
          <w:trHeight w:val="287"/>
          <w:jc w:val="center"/>
        </w:trPr>
        <w:tc>
          <w:tcPr>
            <w:tcW w:w="2367"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Județul</w:t>
            </w:r>
            <w:r>
              <w:rPr>
                <w:rFonts w:ascii="Arial" w:hAnsi="Arial" w:cs="Arial"/>
                <w:color w:val="auto"/>
              </w:rPr>
              <w:t xml:space="preserve"> </w:t>
            </w:r>
            <w:r w:rsidRPr="00F13F48">
              <w:rPr>
                <w:rFonts w:ascii="Arial" w:hAnsi="Arial" w:cs="Arial"/>
                <w:color w:val="auto"/>
              </w:rPr>
              <w:t>Brăila</w:t>
            </w:r>
          </w:p>
        </w:tc>
        <w:tc>
          <w:tcPr>
            <w:tcW w:w="1218"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2010</w:t>
            </w:r>
          </w:p>
        </w:tc>
        <w:tc>
          <w:tcPr>
            <w:tcW w:w="1218"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2011</w:t>
            </w:r>
          </w:p>
        </w:tc>
        <w:tc>
          <w:tcPr>
            <w:tcW w:w="135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2012</w:t>
            </w:r>
          </w:p>
        </w:tc>
        <w:tc>
          <w:tcPr>
            <w:tcW w:w="135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2013</w:t>
            </w:r>
          </w:p>
        </w:tc>
        <w:tc>
          <w:tcPr>
            <w:tcW w:w="1754"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2014(mii mc)</w:t>
            </w:r>
          </w:p>
        </w:tc>
      </w:tr>
      <w:tr w:rsidR="00691934" w:rsidRPr="00F13F48" w:rsidTr="00012F90">
        <w:trPr>
          <w:jc w:val="center"/>
        </w:trPr>
        <w:tc>
          <w:tcPr>
            <w:tcW w:w="236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Populație</w:t>
            </w:r>
          </w:p>
        </w:tc>
        <w:tc>
          <w:tcPr>
            <w:tcW w:w="1218"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218"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19808,7</w:t>
            </w:r>
          </w:p>
        </w:tc>
        <w:tc>
          <w:tcPr>
            <w:tcW w:w="1351"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24389,12</w:t>
            </w:r>
          </w:p>
        </w:tc>
        <w:tc>
          <w:tcPr>
            <w:tcW w:w="1351"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23679</w:t>
            </w:r>
          </w:p>
        </w:tc>
        <w:tc>
          <w:tcPr>
            <w:tcW w:w="1754"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22162,449</w:t>
            </w:r>
          </w:p>
        </w:tc>
      </w:tr>
      <w:tr w:rsidR="00691934" w:rsidRPr="00F13F48" w:rsidTr="00012F90">
        <w:trPr>
          <w:jc w:val="center"/>
        </w:trPr>
        <w:tc>
          <w:tcPr>
            <w:tcW w:w="236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lastRenderedPageBreak/>
              <w:t>Industrie</w:t>
            </w:r>
          </w:p>
        </w:tc>
        <w:tc>
          <w:tcPr>
            <w:tcW w:w="1218"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218"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38572,9</w:t>
            </w:r>
          </w:p>
        </w:tc>
        <w:tc>
          <w:tcPr>
            <w:tcW w:w="1351"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6419,412</w:t>
            </w:r>
          </w:p>
        </w:tc>
        <w:tc>
          <w:tcPr>
            <w:tcW w:w="1351"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915,136</w:t>
            </w:r>
          </w:p>
        </w:tc>
        <w:tc>
          <w:tcPr>
            <w:tcW w:w="1754"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562,814</w:t>
            </w:r>
          </w:p>
        </w:tc>
      </w:tr>
      <w:tr w:rsidR="00691934" w:rsidRPr="00F13F48" w:rsidTr="00012F90">
        <w:trPr>
          <w:jc w:val="center"/>
        </w:trPr>
        <w:tc>
          <w:tcPr>
            <w:tcW w:w="236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Agricultură</w:t>
            </w:r>
          </w:p>
        </w:tc>
        <w:tc>
          <w:tcPr>
            <w:tcW w:w="1218"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218"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109962,9</w:t>
            </w:r>
          </w:p>
        </w:tc>
        <w:tc>
          <w:tcPr>
            <w:tcW w:w="1351"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177858,37</w:t>
            </w:r>
          </w:p>
        </w:tc>
        <w:tc>
          <w:tcPr>
            <w:tcW w:w="1351"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147153,8</w:t>
            </w:r>
          </w:p>
        </w:tc>
        <w:tc>
          <w:tcPr>
            <w:tcW w:w="1754"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69060,6</w:t>
            </w:r>
          </w:p>
        </w:tc>
      </w:tr>
      <w:tr w:rsidR="00691934" w:rsidRPr="00F13F48" w:rsidTr="00012F90">
        <w:trPr>
          <w:jc w:val="center"/>
        </w:trPr>
        <w:tc>
          <w:tcPr>
            <w:tcW w:w="2367" w:type="dxa"/>
            <w:shd w:val="clear" w:color="auto" w:fill="FDE9D9" w:themeFill="accent6" w:themeFillTint="33"/>
          </w:tcPr>
          <w:p w:rsidR="00691934" w:rsidRPr="007F29C1" w:rsidRDefault="00691934" w:rsidP="00012F90">
            <w:pPr>
              <w:pStyle w:val="Default"/>
              <w:jc w:val="right"/>
              <w:rPr>
                <w:rFonts w:ascii="Arial" w:hAnsi="Arial" w:cs="Arial"/>
                <w:b/>
                <w:bCs/>
                <w:color w:val="auto"/>
              </w:rPr>
            </w:pPr>
            <w:r w:rsidRPr="007F29C1">
              <w:rPr>
                <w:rFonts w:ascii="Arial" w:hAnsi="Arial" w:cs="Arial"/>
                <w:b/>
                <w:bCs/>
                <w:color w:val="auto"/>
              </w:rPr>
              <w:t>Total județ Brăila</w:t>
            </w:r>
          </w:p>
        </w:tc>
        <w:tc>
          <w:tcPr>
            <w:tcW w:w="1218" w:type="dxa"/>
            <w:shd w:val="clear" w:color="auto" w:fill="FDE9D9" w:themeFill="accent6" w:themeFillTint="33"/>
          </w:tcPr>
          <w:p w:rsidR="00691934" w:rsidRPr="00F13F48" w:rsidRDefault="00691934" w:rsidP="00012F90">
            <w:pPr>
              <w:pStyle w:val="Default"/>
              <w:rPr>
                <w:rFonts w:ascii="Arial" w:hAnsi="Arial" w:cs="Arial"/>
                <w:color w:val="auto"/>
              </w:rPr>
            </w:pPr>
            <w:r w:rsidRPr="00C05E96">
              <w:rPr>
                <w:rFonts w:ascii="Arial" w:hAnsi="Arial" w:cs="Arial"/>
              </w:rPr>
              <w:t>136852,3</w:t>
            </w:r>
          </w:p>
        </w:tc>
        <w:tc>
          <w:tcPr>
            <w:tcW w:w="1218" w:type="dxa"/>
            <w:shd w:val="clear" w:color="auto" w:fill="FDE9D9" w:themeFill="accent6" w:themeFillTint="33"/>
          </w:tcPr>
          <w:p w:rsidR="00691934" w:rsidRPr="00F13F48" w:rsidRDefault="00691934" w:rsidP="00012F90">
            <w:pPr>
              <w:pStyle w:val="Default"/>
              <w:rPr>
                <w:rFonts w:ascii="Arial" w:hAnsi="Arial" w:cs="Arial"/>
                <w:color w:val="auto"/>
              </w:rPr>
            </w:pPr>
            <w:r w:rsidRPr="00C05E96">
              <w:rPr>
                <w:rFonts w:ascii="Arial" w:eastAsia="MS Mincho" w:hAnsi="Arial" w:cs="Arial"/>
                <w:lang w:eastAsia="ja-JP"/>
              </w:rPr>
              <w:t>168344</w:t>
            </w:r>
            <w:r>
              <w:rPr>
                <w:rFonts w:ascii="Arial" w:eastAsia="MS Mincho" w:hAnsi="Arial" w:cs="Arial"/>
                <w:lang w:eastAsia="ja-JP"/>
              </w:rPr>
              <w:t>,5</w:t>
            </w:r>
          </w:p>
        </w:tc>
        <w:tc>
          <w:tcPr>
            <w:tcW w:w="1351" w:type="dxa"/>
            <w:shd w:val="clear" w:color="auto" w:fill="FDE9D9" w:themeFill="accent6" w:themeFillTint="33"/>
          </w:tcPr>
          <w:p w:rsidR="00691934" w:rsidRPr="00F13F48" w:rsidRDefault="00691934" w:rsidP="00012F90">
            <w:pPr>
              <w:pStyle w:val="Default"/>
              <w:rPr>
                <w:rFonts w:ascii="Arial" w:hAnsi="Arial" w:cs="Arial"/>
                <w:color w:val="auto"/>
              </w:rPr>
            </w:pPr>
            <w:r>
              <w:rPr>
                <w:rFonts w:ascii="Arial" w:hAnsi="Arial" w:cs="Arial"/>
                <w:color w:val="auto"/>
              </w:rPr>
              <w:t>208666,87</w:t>
            </w:r>
          </w:p>
        </w:tc>
        <w:tc>
          <w:tcPr>
            <w:tcW w:w="1351" w:type="dxa"/>
            <w:shd w:val="clear" w:color="auto" w:fill="FDE9D9" w:themeFill="accent6" w:themeFillTint="33"/>
          </w:tcPr>
          <w:p w:rsidR="00691934" w:rsidRPr="00F13F48" w:rsidRDefault="00691934" w:rsidP="00012F90">
            <w:pPr>
              <w:pStyle w:val="Default"/>
              <w:rPr>
                <w:rFonts w:ascii="Arial" w:hAnsi="Arial" w:cs="Arial"/>
                <w:color w:val="auto"/>
              </w:rPr>
            </w:pPr>
            <w:r>
              <w:rPr>
                <w:rFonts w:ascii="Arial" w:hAnsi="Arial" w:cs="Arial"/>
                <w:color w:val="auto"/>
              </w:rPr>
              <w:t>171748,42</w:t>
            </w:r>
          </w:p>
        </w:tc>
        <w:tc>
          <w:tcPr>
            <w:tcW w:w="1754" w:type="dxa"/>
            <w:shd w:val="clear" w:color="auto" w:fill="FDE9D9" w:themeFill="accent6" w:themeFillTint="33"/>
          </w:tcPr>
          <w:p w:rsidR="00691934" w:rsidRPr="00D4176B" w:rsidRDefault="00691934" w:rsidP="00012F90">
            <w:pPr>
              <w:pStyle w:val="Default"/>
              <w:rPr>
                <w:rFonts w:ascii="Arial" w:hAnsi="Arial" w:cs="Arial"/>
                <w:bCs/>
                <w:color w:val="auto"/>
              </w:rPr>
            </w:pPr>
            <w:r w:rsidRPr="00D4176B">
              <w:rPr>
                <w:rFonts w:ascii="Arial" w:hAnsi="Arial" w:cs="Arial"/>
                <w:bCs/>
                <w:color w:val="auto"/>
              </w:rPr>
              <w:t>91785,863</w:t>
            </w:r>
          </w:p>
        </w:tc>
      </w:tr>
    </w:tbl>
    <w:p w:rsidR="00691934" w:rsidRPr="00F13F48" w:rsidRDefault="00691934" w:rsidP="00691934">
      <w:pPr>
        <w:rPr>
          <w:rFonts w:ascii="Arial" w:hAnsi="Arial" w:cs="Arial"/>
        </w:rPr>
      </w:pPr>
    </w:p>
    <w:p w:rsidR="00691934" w:rsidRDefault="00691934" w:rsidP="00691934">
      <w:pPr>
        <w:tabs>
          <w:tab w:val="left" w:pos="1740"/>
        </w:tabs>
        <w:jc w:val="center"/>
      </w:pPr>
      <w:r>
        <w:rPr>
          <w:noProof/>
          <w:lang w:val="ro-RO" w:eastAsia="ro-RO"/>
        </w:rPr>
        <w:drawing>
          <wp:inline distT="0" distB="0" distL="0" distR="0">
            <wp:extent cx="5486400" cy="3200400"/>
            <wp:effectExtent l="19050" t="0" r="19050" b="0"/>
            <wp:docPr id="5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0"/>
              </a:graphicData>
            </a:graphic>
          </wp:inline>
        </w:drawing>
      </w:r>
    </w:p>
    <w:p w:rsidR="00691934" w:rsidRPr="00F13F48" w:rsidRDefault="00691934" w:rsidP="00691934">
      <w:pPr>
        <w:pStyle w:val="Default"/>
        <w:rPr>
          <w:rFonts w:ascii="Arial" w:hAnsi="Arial" w:cs="Arial"/>
          <w:b/>
          <w:bCs/>
          <w:i/>
          <w:iCs/>
          <w:color w:val="auto"/>
          <w:u w:val="single"/>
        </w:rPr>
      </w:pPr>
    </w:p>
    <w:p w:rsidR="00691934" w:rsidRPr="00321100" w:rsidRDefault="00691934" w:rsidP="00691934">
      <w:pPr>
        <w:jc w:val="both"/>
        <w:rPr>
          <w:rFonts w:ascii="Arial" w:hAnsi="Arial" w:cs="Arial"/>
          <w:color w:val="FF0000"/>
        </w:rPr>
      </w:pPr>
      <w:r w:rsidRPr="008F2E6A">
        <w:rPr>
          <w:rFonts w:ascii="Arial" w:hAnsi="Arial" w:cs="Arial"/>
        </w:rPr>
        <w:t>Tendinţa generală în utilizarea resurselor de apă dulce se poate caracteriza prin creștere în prima parte a intervalului de referință respectiv anii 2010,</w:t>
      </w:r>
      <w:r>
        <w:rPr>
          <w:rFonts w:ascii="Arial" w:hAnsi="Arial" w:cs="Arial"/>
        </w:rPr>
        <w:t xml:space="preserve"> </w:t>
      </w:r>
      <w:r w:rsidRPr="008F2E6A">
        <w:rPr>
          <w:rFonts w:ascii="Arial" w:hAnsi="Arial" w:cs="Arial"/>
        </w:rPr>
        <w:t>2011,</w:t>
      </w:r>
      <w:r>
        <w:rPr>
          <w:rFonts w:ascii="Arial" w:hAnsi="Arial" w:cs="Arial"/>
        </w:rPr>
        <w:t xml:space="preserve"> </w:t>
      </w:r>
      <w:r w:rsidRPr="008F2E6A">
        <w:rPr>
          <w:rFonts w:ascii="Arial" w:hAnsi="Arial" w:cs="Arial"/>
        </w:rPr>
        <w:t>2012 mai ales prin influența cerinței pentru agricultură, cerința de consum pentru populație fiind aproximativ liniară, iar cerința pentru industrie fiind în descreștere continuă</w:t>
      </w:r>
      <w:r>
        <w:rPr>
          <w:rFonts w:ascii="Arial" w:hAnsi="Arial" w:cs="Arial"/>
        </w:rPr>
        <w:t xml:space="preserve"> pe tot intervalul</w:t>
      </w:r>
      <w:r w:rsidRPr="008F2E6A">
        <w:rPr>
          <w:rFonts w:ascii="Arial" w:hAnsi="Arial" w:cs="Arial"/>
        </w:rPr>
        <w:t>. După anul 2012 tendinţa generală în utilizarea resurselor de apă dulce prezintă un trend de descreștere general pe toate domeniile analizate, mai puțin abruptă la populație</w:t>
      </w:r>
      <w:r>
        <w:rPr>
          <w:rFonts w:ascii="Arial" w:hAnsi="Arial" w:cs="Arial"/>
          <w:color w:val="FF0000"/>
        </w:rPr>
        <w:t>.</w:t>
      </w:r>
    </w:p>
    <w:p w:rsidR="00691934" w:rsidRDefault="00691934" w:rsidP="00691934">
      <w:pPr>
        <w:pStyle w:val="Default"/>
        <w:rPr>
          <w:rFonts w:ascii="Arial" w:hAnsi="Arial" w:cs="Arial"/>
          <w:b/>
          <w:color w:val="auto"/>
        </w:rPr>
      </w:pPr>
      <w:r w:rsidRPr="00013DAE">
        <w:rPr>
          <w:rFonts w:ascii="Arial" w:hAnsi="Arial" w:cs="Arial"/>
          <w:b/>
          <w:color w:val="auto"/>
        </w:rPr>
        <w:tab/>
      </w:r>
    </w:p>
    <w:p w:rsidR="00691934" w:rsidRPr="00013DAE" w:rsidRDefault="00691934" w:rsidP="00691934">
      <w:pPr>
        <w:pStyle w:val="Default"/>
        <w:rPr>
          <w:rFonts w:ascii="Arial" w:hAnsi="Arial" w:cs="Arial"/>
          <w:b/>
          <w:bCs/>
          <w:color w:val="auto"/>
        </w:rPr>
      </w:pPr>
      <w:r w:rsidRPr="00013DAE">
        <w:rPr>
          <w:rFonts w:ascii="Arial" w:hAnsi="Arial" w:cs="Arial"/>
          <w:b/>
          <w:bCs/>
          <w:color w:val="auto"/>
        </w:rPr>
        <w:t xml:space="preserve">II.1.1.3. Evenimente extreme produse de debitele cursurilor de apă </w:t>
      </w:r>
    </w:p>
    <w:p w:rsidR="00691934" w:rsidRPr="00013DAE" w:rsidRDefault="00691934" w:rsidP="00691934">
      <w:pPr>
        <w:pStyle w:val="Default"/>
        <w:tabs>
          <w:tab w:val="left" w:pos="1234"/>
        </w:tabs>
        <w:ind w:firstLine="720"/>
        <w:rPr>
          <w:rFonts w:ascii="Arial" w:hAnsi="Arial" w:cs="Arial"/>
          <w:b/>
          <w:color w:val="auto"/>
        </w:rPr>
      </w:pPr>
    </w:p>
    <w:p w:rsidR="00691934" w:rsidRPr="00161538" w:rsidRDefault="00691934" w:rsidP="00010F6C">
      <w:pPr>
        <w:pStyle w:val="Default"/>
        <w:jc w:val="both"/>
        <w:rPr>
          <w:rFonts w:ascii="Arial" w:hAnsi="Arial" w:cs="Arial"/>
        </w:rPr>
      </w:pPr>
      <w:r w:rsidRPr="00161538">
        <w:rPr>
          <w:rFonts w:ascii="Arial" w:hAnsi="Arial" w:cs="Arial"/>
        </w:rPr>
        <w:t xml:space="preserve">Apele curgătoare de pe teritoriul judeţului Brăila, aparţin urmatoarelor bazine hidrografice: de fluviul Dunărea, râurile Siret, Buzău şi Călmăţui. </w:t>
      </w:r>
    </w:p>
    <w:p w:rsidR="00691934" w:rsidRPr="00161538" w:rsidRDefault="00691934" w:rsidP="00010F6C">
      <w:pPr>
        <w:pStyle w:val="Default"/>
        <w:jc w:val="both"/>
        <w:rPr>
          <w:rFonts w:ascii="Arial" w:hAnsi="Arial" w:cs="Arial"/>
        </w:rPr>
      </w:pPr>
      <w:r w:rsidRPr="00161538">
        <w:rPr>
          <w:rFonts w:ascii="Arial" w:hAnsi="Arial" w:cs="Arial"/>
          <w:b/>
          <w:bCs/>
        </w:rPr>
        <w:t xml:space="preserve">1. Bazinul Hidrografic al fluviului Dunărea </w:t>
      </w:r>
    </w:p>
    <w:p w:rsidR="00691934" w:rsidRPr="00161538" w:rsidRDefault="00691934" w:rsidP="00010F6C">
      <w:pPr>
        <w:pStyle w:val="Default"/>
        <w:jc w:val="both"/>
        <w:rPr>
          <w:rFonts w:ascii="Arial" w:hAnsi="Arial" w:cs="Arial"/>
        </w:rPr>
      </w:pPr>
      <w:r w:rsidRPr="00161538">
        <w:rPr>
          <w:rFonts w:ascii="Arial" w:hAnsi="Arial" w:cs="Arial"/>
          <w:b/>
          <w:bCs/>
        </w:rPr>
        <w:t xml:space="preserve">Dunărea </w:t>
      </w:r>
      <w:r w:rsidRPr="00161538">
        <w:rPr>
          <w:rFonts w:ascii="Arial" w:hAnsi="Arial" w:cs="Arial"/>
        </w:rPr>
        <w:t xml:space="preserve">în cadrul judeţului este reprezentată prin braţele principale – Cremenea si Măcin (Dunărea Veche) – si braţele secundare – Vâlciu, Mănusoaia, Pasca, Calia, Arapu – în arealul Bălţii Brăilei – si prin Dunărea propriu-zisă din dreptul municipiului Brăila si până la confluenţa cu Siretul. </w:t>
      </w:r>
    </w:p>
    <w:p w:rsidR="00691934" w:rsidRPr="00161538" w:rsidRDefault="00691934" w:rsidP="00010F6C">
      <w:pPr>
        <w:pStyle w:val="Default"/>
        <w:jc w:val="both"/>
        <w:rPr>
          <w:rFonts w:ascii="Arial" w:hAnsi="Arial" w:cs="Arial"/>
        </w:rPr>
      </w:pPr>
      <w:r w:rsidRPr="00161538">
        <w:rPr>
          <w:rFonts w:ascii="Arial" w:hAnsi="Arial" w:cs="Arial"/>
        </w:rPr>
        <w:t xml:space="preserve">Dunărea Veche sau braţul Măcin, care formează si limita estică a judeţului, are 96 Km lungime, un coeficient mare de meandrare (1,24) si o lăţime medie de 250 m. Panta mică, ca urmare a gradului mare de meandrare, face ca acest braţ să transporte o cantitate mică de apă (13%) din debitul total de la Hârsova (5949 m3/s). </w:t>
      </w:r>
    </w:p>
    <w:p w:rsidR="00691934" w:rsidRPr="00161538" w:rsidRDefault="00691934" w:rsidP="00010F6C">
      <w:pPr>
        <w:pStyle w:val="Default"/>
        <w:jc w:val="both"/>
        <w:rPr>
          <w:rFonts w:ascii="Arial" w:hAnsi="Arial" w:cs="Arial"/>
        </w:rPr>
      </w:pPr>
      <w:r w:rsidRPr="00161538">
        <w:rPr>
          <w:rFonts w:ascii="Arial" w:hAnsi="Arial" w:cs="Arial"/>
        </w:rPr>
        <w:t xml:space="preserve">Braţul Cremenea, cel mai important, are o lungime mai mică (70 Km), o pantă de scurgere mai mare si o lăţime medie de 500 m. Dacă caracteristica braţului Măcin este gradul de meandrare, cea a braţului Cremenea este gradul de despletire. Din braţul Măcin (numai la 2 Km de la bifurcaţie) se desprinde braţul Vâlciu care se varsă apoi în Cremenea. </w:t>
      </w:r>
    </w:p>
    <w:p w:rsidR="00691934" w:rsidRPr="00161538" w:rsidRDefault="00691934" w:rsidP="00010F6C">
      <w:pPr>
        <w:pStyle w:val="Default"/>
        <w:jc w:val="both"/>
        <w:rPr>
          <w:rFonts w:ascii="Arial" w:hAnsi="Arial" w:cs="Arial"/>
        </w:rPr>
      </w:pPr>
      <w:r w:rsidRPr="00161538">
        <w:rPr>
          <w:rFonts w:ascii="Arial" w:hAnsi="Arial" w:cs="Arial"/>
        </w:rPr>
        <w:t xml:space="preserve">Debitul maxim la asigurarea de 1% a fost estimat pentru Hârsova la 15.080 </w:t>
      </w:r>
    </w:p>
    <w:p w:rsidR="00691934" w:rsidRPr="00161538" w:rsidRDefault="00691934" w:rsidP="00010F6C">
      <w:pPr>
        <w:pStyle w:val="Default"/>
        <w:jc w:val="both"/>
        <w:rPr>
          <w:rFonts w:ascii="Arial" w:hAnsi="Arial" w:cs="Arial"/>
        </w:rPr>
      </w:pPr>
      <w:r w:rsidRPr="00161538">
        <w:rPr>
          <w:rFonts w:ascii="Arial" w:hAnsi="Arial" w:cs="Arial"/>
        </w:rPr>
        <w:t xml:space="preserve">m3/s si pentru Brăila la 14.620 m3/s. </w:t>
      </w:r>
    </w:p>
    <w:p w:rsidR="00691934" w:rsidRPr="00161538" w:rsidRDefault="00691934" w:rsidP="00010F6C">
      <w:pPr>
        <w:pStyle w:val="Default"/>
        <w:jc w:val="both"/>
        <w:rPr>
          <w:rFonts w:ascii="Arial" w:hAnsi="Arial" w:cs="Arial"/>
        </w:rPr>
      </w:pPr>
      <w:r w:rsidRPr="00161538">
        <w:rPr>
          <w:rFonts w:ascii="Arial" w:hAnsi="Arial" w:cs="Arial"/>
        </w:rPr>
        <w:lastRenderedPageBreak/>
        <w:t xml:space="preserve">Debitul minim se înregistrează în două perioade (toamna si iarna), cel de iarnă fiind mai scăzut faţă de cel de toamnă. La asigurarea de 99,9% la staţia hidrometrică Brăila debitul minim a fost apreciat la 1000 m3/s. </w:t>
      </w:r>
    </w:p>
    <w:p w:rsidR="00691934" w:rsidRPr="00161538" w:rsidRDefault="00691934" w:rsidP="00010F6C">
      <w:pPr>
        <w:pStyle w:val="Default"/>
        <w:jc w:val="both"/>
        <w:rPr>
          <w:rFonts w:ascii="Arial" w:hAnsi="Arial" w:cs="Arial"/>
        </w:rPr>
      </w:pPr>
      <w:r w:rsidRPr="00161538">
        <w:rPr>
          <w:rFonts w:ascii="Arial" w:hAnsi="Arial" w:cs="Arial"/>
          <w:b/>
          <w:bCs/>
        </w:rPr>
        <w:t xml:space="preserve">2. Bazinul Hidrografic al râului Siret </w:t>
      </w:r>
    </w:p>
    <w:p w:rsidR="00691934" w:rsidRPr="00161538" w:rsidRDefault="00691934" w:rsidP="00010F6C">
      <w:pPr>
        <w:pStyle w:val="Default"/>
        <w:jc w:val="both"/>
        <w:rPr>
          <w:rFonts w:ascii="Arial" w:hAnsi="Arial" w:cs="Arial"/>
        </w:rPr>
      </w:pPr>
      <w:r w:rsidRPr="00161538">
        <w:rPr>
          <w:rFonts w:ascii="Arial" w:hAnsi="Arial" w:cs="Arial"/>
          <w:b/>
          <w:bCs/>
        </w:rPr>
        <w:t xml:space="preserve">Siretul </w:t>
      </w:r>
      <w:r w:rsidRPr="00161538">
        <w:rPr>
          <w:rFonts w:ascii="Arial" w:hAnsi="Arial" w:cs="Arial"/>
        </w:rPr>
        <w:t xml:space="preserve">formează limita dintre judeţele Brăila si Galaţi, între localitatea Corbu Vechi si confluenţa cu Dunărea pe 47,4 Km lungime. În acest sector, pe partea dreaptă, la Voinesti, Siretul primeste apele Buzăului. </w:t>
      </w:r>
    </w:p>
    <w:p w:rsidR="00691934" w:rsidRPr="00161538" w:rsidRDefault="00691934" w:rsidP="00010F6C">
      <w:pPr>
        <w:pStyle w:val="Default"/>
        <w:jc w:val="both"/>
        <w:rPr>
          <w:rFonts w:ascii="Arial" w:hAnsi="Arial" w:cs="Arial"/>
        </w:rPr>
      </w:pPr>
      <w:r w:rsidRPr="00161538">
        <w:rPr>
          <w:rFonts w:ascii="Arial" w:hAnsi="Arial" w:cs="Arial"/>
        </w:rPr>
        <w:t xml:space="preserve">Faţă de debitul mediu multianual (153 m3/s), analizat la staţia hidrometrică Lungoci, situată în amonte de câţiva kilometri, la vârsarea în Dunăre, debitul maxim este de 4500 m3/s (asigurarea de 1%), iar cel minim de 26 m3/s (asigurarea de 95%). </w:t>
      </w:r>
    </w:p>
    <w:p w:rsidR="00691934" w:rsidRPr="00161538" w:rsidRDefault="00691934" w:rsidP="00010F6C">
      <w:pPr>
        <w:pStyle w:val="Default"/>
        <w:jc w:val="both"/>
        <w:rPr>
          <w:rFonts w:ascii="Arial" w:hAnsi="Arial" w:cs="Arial"/>
        </w:rPr>
      </w:pPr>
      <w:r w:rsidRPr="00161538">
        <w:rPr>
          <w:rFonts w:ascii="Arial" w:hAnsi="Arial" w:cs="Arial"/>
        </w:rPr>
        <w:t xml:space="preserve">Mineralizarea apei redusă (375 mg/l) si tipul hidrochimic (bicarbonat si cloruratcalciu) fac ca apa din Siret să fie folosită în bune condiţii în irigaţii. </w:t>
      </w:r>
    </w:p>
    <w:p w:rsidR="00691934" w:rsidRPr="00161538" w:rsidRDefault="00691934" w:rsidP="00010F6C">
      <w:pPr>
        <w:pStyle w:val="Default"/>
        <w:jc w:val="both"/>
        <w:rPr>
          <w:rFonts w:ascii="Arial" w:hAnsi="Arial" w:cs="Arial"/>
        </w:rPr>
      </w:pPr>
      <w:r w:rsidRPr="00161538">
        <w:rPr>
          <w:rFonts w:ascii="Arial" w:hAnsi="Arial" w:cs="Arial"/>
          <w:b/>
          <w:bCs/>
        </w:rPr>
        <w:t xml:space="preserve">3. Bazinul Hidrografic al râului Buzău </w:t>
      </w:r>
    </w:p>
    <w:p w:rsidR="00691934" w:rsidRPr="00161538" w:rsidRDefault="00691934" w:rsidP="00010F6C">
      <w:pPr>
        <w:pStyle w:val="Default"/>
        <w:jc w:val="both"/>
        <w:rPr>
          <w:rFonts w:ascii="Arial" w:hAnsi="Arial" w:cs="Arial"/>
        </w:rPr>
      </w:pPr>
      <w:r w:rsidRPr="00161538">
        <w:rPr>
          <w:rFonts w:ascii="Arial" w:hAnsi="Arial" w:cs="Arial"/>
          <w:b/>
          <w:bCs/>
        </w:rPr>
        <w:t xml:space="preserve">Buzăul </w:t>
      </w:r>
      <w:r w:rsidRPr="00161538">
        <w:rPr>
          <w:rFonts w:ascii="Arial" w:hAnsi="Arial" w:cs="Arial"/>
        </w:rPr>
        <w:t xml:space="preserve">pe teritoriul judeţului, se desfăsoară pe o lungime de 141 Km, între Făurei si confluenţa cu Siretul la Voinesti. </w:t>
      </w:r>
    </w:p>
    <w:p w:rsidR="00691934" w:rsidRPr="006270F6" w:rsidRDefault="00691934" w:rsidP="00010F6C">
      <w:pPr>
        <w:pStyle w:val="Default"/>
        <w:jc w:val="both"/>
        <w:rPr>
          <w:rFonts w:ascii="Arial" w:hAnsi="Arial" w:cs="Arial"/>
          <w:b/>
          <w:color w:val="FF0000"/>
          <w:highlight w:val="yellow"/>
        </w:rPr>
      </w:pPr>
      <w:r w:rsidRPr="00161538">
        <w:rPr>
          <w:rFonts w:ascii="Arial" w:hAnsi="Arial" w:cs="Arial"/>
        </w:rPr>
        <w:t>Buzăul transportă o cantitate redusă de apă la niveluri medii multianuale, respective 25,4 m la staţia hidrometrică Băinţa, situată la 10 Km amonte de limita judeţului</w:t>
      </w:r>
      <w:r w:rsidRPr="00161538">
        <w:rPr>
          <w:rFonts w:ascii="Arial" w:hAnsi="Arial" w:cs="Arial"/>
          <w:color w:val="auto"/>
        </w:rPr>
        <w:t xml:space="preserve"> </w:t>
      </w:r>
    </w:p>
    <w:p w:rsidR="00691934" w:rsidRPr="00013DAE" w:rsidRDefault="00691934" w:rsidP="00691934">
      <w:pPr>
        <w:pStyle w:val="Default"/>
        <w:tabs>
          <w:tab w:val="left" w:pos="426"/>
        </w:tabs>
        <w:rPr>
          <w:rFonts w:ascii="Arial" w:hAnsi="Arial" w:cs="Arial"/>
          <w:b/>
          <w:color w:val="auto"/>
        </w:rPr>
      </w:pPr>
    </w:p>
    <w:p w:rsidR="00691934" w:rsidRPr="00F13F48" w:rsidRDefault="00691934" w:rsidP="00691934">
      <w:pPr>
        <w:pStyle w:val="Default"/>
        <w:rPr>
          <w:rFonts w:ascii="Arial" w:hAnsi="Arial" w:cs="Arial"/>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II.1.1.4. Schimbări hidromorfologice ale cursurilor de apă </w:t>
      </w:r>
    </w:p>
    <w:p w:rsidR="00691934" w:rsidRPr="00F13F48" w:rsidRDefault="00691934" w:rsidP="00691934">
      <w:pPr>
        <w:pStyle w:val="Default"/>
        <w:rPr>
          <w:rFonts w:ascii="Arial" w:hAnsi="Arial" w:cs="Arial"/>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 Tabelul nr.</w:t>
      </w:r>
      <w:r w:rsidRPr="00026041">
        <w:rPr>
          <w:rFonts w:ascii="Arial" w:hAnsi="Arial" w:cs="Arial"/>
          <w:b/>
          <w:bCs/>
          <w:color w:val="auto"/>
        </w:rPr>
        <w:t xml:space="preserve"> </w:t>
      </w:r>
      <w:r>
        <w:rPr>
          <w:rFonts w:ascii="Arial" w:hAnsi="Arial" w:cs="Arial"/>
          <w:b/>
          <w:bCs/>
          <w:color w:val="auto"/>
        </w:rPr>
        <w:t>II.1.1.4. -1</w:t>
      </w:r>
      <w:r w:rsidRPr="00F13F48">
        <w:rPr>
          <w:rFonts w:ascii="Arial" w:hAnsi="Arial" w:cs="Arial"/>
          <w:color w:val="auto"/>
        </w:rPr>
        <w:t xml:space="preserve"> - Clasificarea corpurilor de apă la nivelul județului Brăila în perioada 2010 - 2014 :</w:t>
      </w:r>
    </w:p>
    <w:p w:rsidR="00691934" w:rsidRPr="00F13F48" w:rsidRDefault="00691934" w:rsidP="00691934">
      <w:pPr>
        <w:pStyle w:val="Default"/>
        <w:rPr>
          <w:rFonts w:ascii="Arial" w:hAnsi="Arial" w:cs="Arial"/>
          <w:color w:val="auto"/>
        </w:rPr>
      </w:pPr>
    </w:p>
    <w:tbl>
      <w:tblPr>
        <w:tblW w:w="0" w:type="auto"/>
        <w:jc w:val="center"/>
        <w:tblInd w:w="-117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872"/>
        <w:gridCol w:w="2736"/>
        <w:gridCol w:w="2268"/>
        <w:gridCol w:w="2464"/>
      </w:tblGrid>
      <w:tr w:rsidR="00691934" w:rsidRPr="00F13F48" w:rsidTr="00012F90">
        <w:trPr>
          <w:trHeight w:val="176"/>
          <w:jc w:val="center"/>
        </w:trPr>
        <w:tc>
          <w:tcPr>
            <w:tcW w:w="872" w:type="dxa"/>
            <w:vMerge w:val="restart"/>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b/>
                <w:bCs/>
                <w:color w:val="auto"/>
              </w:rPr>
              <w:t>Anul</w:t>
            </w:r>
          </w:p>
        </w:tc>
        <w:tc>
          <w:tcPr>
            <w:tcW w:w="7468" w:type="dxa"/>
            <w:gridSpan w:val="3"/>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Categorii de corpuri de apă – județul BRĂILA</w:t>
            </w:r>
          </w:p>
        </w:tc>
      </w:tr>
      <w:tr w:rsidR="00691934" w:rsidRPr="00F13F48" w:rsidTr="00012F90">
        <w:trPr>
          <w:trHeight w:val="389"/>
          <w:jc w:val="center"/>
        </w:trPr>
        <w:tc>
          <w:tcPr>
            <w:tcW w:w="872" w:type="dxa"/>
            <w:vMerge/>
            <w:shd w:val="clear" w:color="auto" w:fill="FBD4B4" w:themeFill="accent6" w:themeFillTint="66"/>
          </w:tcPr>
          <w:p w:rsidR="00691934" w:rsidRPr="00F13F48" w:rsidRDefault="00691934" w:rsidP="00012F90">
            <w:pPr>
              <w:pStyle w:val="Default"/>
              <w:rPr>
                <w:rFonts w:ascii="Arial" w:hAnsi="Arial" w:cs="Arial"/>
                <w:color w:val="auto"/>
              </w:rPr>
            </w:pPr>
          </w:p>
        </w:tc>
        <w:tc>
          <w:tcPr>
            <w:tcW w:w="2736" w:type="dxa"/>
            <w:shd w:val="clear" w:color="auto" w:fill="FBD4B4" w:themeFill="accent6" w:themeFillTint="66"/>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Corpuri naturale/</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cvasinaturale</w:t>
            </w:r>
          </w:p>
        </w:tc>
        <w:tc>
          <w:tcPr>
            <w:tcW w:w="2268"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Corpuri artificiale</w:t>
            </w:r>
          </w:p>
        </w:tc>
        <w:tc>
          <w:tcPr>
            <w:tcW w:w="2464"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Corpuri puternic modificate</w:t>
            </w:r>
          </w:p>
        </w:tc>
      </w:tr>
      <w:tr w:rsidR="00691934" w:rsidRPr="00F13F48" w:rsidTr="00012F90">
        <w:trPr>
          <w:trHeight w:val="248"/>
          <w:jc w:val="center"/>
        </w:trPr>
        <w:tc>
          <w:tcPr>
            <w:tcW w:w="87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2010</w:t>
            </w:r>
          </w:p>
        </w:tc>
        <w:tc>
          <w:tcPr>
            <w:tcW w:w="273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268"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c>
          <w:tcPr>
            <w:tcW w:w="2464"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r w:rsidR="00691934" w:rsidRPr="00F13F48" w:rsidTr="00012F90">
        <w:trPr>
          <w:trHeight w:val="245"/>
          <w:jc w:val="center"/>
        </w:trPr>
        <w:tc>
          <w:tcPr>
            <w:tcW w:w="87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2011</w:t>
            </w:r>
          </w:p>
        </w:tc>
        <w:tc>
          <w:tcPr>
            <w:tcW w:w="273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268"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c>
          <w:tcPr>
            <w:tcW w:w="2464"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r w:rsidR="00691934" w:rsidRPr="00F13F48" w:rsidTr="00012F90">
        <w:trPr>
          <w:trHeight w:val="248"/>
          <w:jc w:val="center"/>
        </w:trPr>
        <w:tc>
          <w:tcPr>
            <w:tcW w:w="87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2012</w:t>
            </w:r>
          </w:p>
        </w:tc>
        <w:tc>
          <w:tcPr>
            <w:tcW w:w="273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268"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c>
          <w:tcPr>
            <w:tcW w:w="2464"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r w:rsidR="00691934" w:rsidRPr="00F13F48" w:rsidTr="00012F90">
        <w:trPr>
          <w:trHeight w:val="257"/>
          <w:jc w:val="center"/>
        </w:trPr>
        <w:tc>
          <w:tcPr>
            <w:tcW w:w="87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2013</w:t>
            </w:r>
          </w:p>
        </w:tc>
        <w:tc>
          <w:tcPr>
            <w:tcW w:w="273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268"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c>
          <w:tcPr>
            <w:tcW w:w="2464"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r w:rsidR="00691934" w:rsidRPr="00F13F48" w:rsidTr="00012F90">
        <w:trPr>
          <w:trHeight w:val="257"/>
          <w:jc w:val="center"/>
        </w:trPr>
        <w:tc>
          <w:tcPr>
            <w:tcW w:w="87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2014</w:t>
            </w:r>
          </w:p>
        </w:tc>
        <w:tc>
          <w:tcPr>
            <w:tcW w:w="273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268"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c>
          <w:tcPr>
            <w:tcW w:w="2464"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bl>
    <w:p w:rsidR="00691934" w:rsidRPr="00F13F48" w:rsidRDefault="00691934" w:rsidP="00691934">
      <w:pPr>
        <w:pStyle w:val="Default"/>
        <w:tabs>
          <w:tab w:val="left" w:pos="1403"/>
        </w:tabs>
        <w:rPr>
          <w:rFonts w:ascii="Arial" w:hAnsi="Arial" w:cs="Arial"/>
          <w:color w:val="auto"/>
        </w:rPr>
      </w:pPr>
    </w:p>
    <w:p w:rsidR="00691934" w:rsidRDefault="00691934" w:rsidP="00691934">
      <w:pPr>
        <w:pStyle w:val="Default"/>
        <w:rPr>
          <w:rFonts w:ascii="Arial" w:hAnsi="Arial" w:cs="Arial"/>
          <w:b/>
          <w:bCs/>
          <w:color w:val="auto"/>
        </w:rPr>
      </w:pPr>
      <w:r>
        <w:rPr>
          <w:rFonts w:ascii="Arial" w:hAnsi="Arial" w:cs="Arial"/>
          <w:color w:val="auto"/>
        </w:rPr>
        <w:t>Nu au existat</w:t>
      </w:r>
      <w:r w:rsidRPr="00F13F48">
        <w:rPr>
          <w:rFonts w:ascii="Arial" w:hAnsi="Arial" w:cs="Arial"/>
          <w:color w:val="auto"/>
        </w:rPr>
        <w:t xml:space="preserve"> </w:t>
      </w:r>
      <w:r>
        <w:rPr>
          <w:rFonts w:ascii="Arial" w:hAnsi="Arial" w:cs="Arial"/>
          <w:color w:val="auto"/>
        </w:rPr>
        <w:t>p</w:t>
      </w:r>
      <w:r w:rsidRPr="00F13F48">
        <w:rPr>
          <w:rFonts w:ascii="Arial" w:hAnsi="Arial" w:cs="Arial"/>
          <w:color w:val="auto"/>
        </w:rPr>
        <w:t>resiuni</w:t>
      </w:r>
      <w:r>
        <w:rPr>
          <w:rFonts w:ascii="Arial" w:hAnsi="Arial" w:cs="Arial"/>
          <w:color w:val="auto"/>
        </w:rPr>
        <w:t xml:space="preserve"> </w:t>
      </w:r>
      <w:r w:rsidRPr="00F13F48">
        <w:rPr>
          <w:rFonts w:ascii="Arial" w:hAnsi="Arial" w:cs="Arial"/>
          <w:color w:val="auto"/>
        </w:rPr>
        <w:t xml:space="preserve"> care  </w:t>
      </w:r>
      <w:r>
        <w:rPr>
          <w:rFonts w:ascii="Arial" w:hAnsi="Arial" w:cs="Arial"/>
          <w:color w:val="auto"/>
        </w:rPr>
        <w:t xml:space="preserve">să </w:t>
      </w:r>
      <w:r w:rsidRPr="00F13F48">
        <w:rPr>
          <w:rFonts w:ascii="Arial" w:hAnsi="Arial" w:cs="Arial"/>
          <w:color w:val="auto"/>
        </w:rPr>
        <w:t>afect</w:t>
      </w:r>
      <w:r>
        <w:rPr>
          <w:rFonts w:ascii="Arial" w:hAnsi="Arial" w:cs="Arial"/>
          <w:color w:val="auto"/>
        </w:rPr>
        <w:t>eze</w:t>
      </w:r>
      <w:r w:rsidRPr="00F13F48">
        <w:rPr>
          <w:rFonts w:ascii="Arial" w:hAnsi="Arial" w:cs="Arial"/>
          <w:color w:val="auto"/>
        </w:rPr>
        <w:t xml:space="preserve"> în mod semnificativ caracteristicile hidromorfologice ale cursurilor de apă la nivelul județului Brăila, în anul 2014 </w:t>
      </w:r>
      <w:r>
        <w:rPr>
          <w:rFonts w:ascii="Arial" w:hAnsi="Arial" w:cs="Arial"/>
          <w:color w:val="auto"/>
        </w:rPr>
        <w:t>și în intervalul analizat.</w:t>
      </w:r>
    </w:p>
    <w:p w:rsidR="00691934"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Tabelul nr.</w:t>
      </w:r>
      <w:r w:rsidRPr="00026041">
        <w:rPr>
          <w:rFonts w:ascii="Arial" w:hAnsi="Arial" w:cs="Arial"/>
          <w:b/>
          <w:bCs/>
          <w:color w:val="auto"/>
        </w:rPr>
        <w:t xml:space="preserve"> </w:t>
      </w:r>
      <w:r w:rsidRPr="00F13F48">
        <w:rPr>
          <w:rFonts w:ascii="Arial" w:hAnsi="Arial" w:cs="Arial"/>
          <w:b/>
          <w:bCs/>
          <w:color w:val="auto"/>
        </w:rPr>
        <w:t>II.1.1.4.</w:t>
      </w:r>
      <w:r>
        <w:rPr>
          <w:rFonts w:ascii="Arial" w:hAnsi="Arial" w:cs="Arial"/>
          <w:b/>
          <w:bCs/>
          <w:color w:val="auto"/>
        </w:rPr>
        <w:t xml:space="preserve"> - 2</w:t>
      </w:r>
      <w:r w:rsidRPr="00F13F48">
        <w:rPr>
          <w:rFonts w:ascii="Arial" w:hAnsi="Arial" w:cs="Arial"/>
          <w:b/>
          <w:bCs/>
          <w:color w:val="auto"/>
        </w:rPr>
        <w:t xml:space="preserve"> </w:t>
      </w:r>
      <w:r w:rsidRPr="00F13F48">
        <w:rPr>
          <w:rFonts w:ascii="Arial" w:hAnsi="Arial" w:cs="Arial"/>
          <w:color w:val="auto"/>
        </w:rPr>
        <w:t xml:space="preserve"> – Starea ecologică a corpurilor de apă puternic modificate la nivelul județului Brăila stabilită pe baza parametrilor hidromorfologici, în anul 2014 </w:t>
      </w:r>
    </w:p>
    <w:p w:rsidR="00691934" w:rsidRPr="00F13F48" w:rsidRDefault="00691934" w:rsidP="00691934">
      <w:pPr>
        <w:pStyle w:val="Default"/>
        <w:rPr>
          <w:rFonts w:ascii="Arial" w:hAnsi="Arial" w:cs="Arial"/>
          <w:color w:val="auto"/>
        </w:rPr>
      </w:pPr>
    </w:p>
    <w:tbl>
      <w:tblPr>
        <w:tblW w:w="0" w:type="auto"/>
        <w:jc w:val="center"/>
        <w:tblInd w:w="-31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tblPr>
      <w:tblGrid>
        <w:gridCol w:w="1542"/>
        <w:gridCol w:w="2816"/>
        <w:gridCol w:w="2854"/>
        <w:gridCol w:w="2249"/>
      </w:tblGrid>
      <w:tr w:rsidR="00691934" w:rsidRPr="00F13F48" w:rsidTr="00012F90">
        <w:trPr>
          <w:trHeight w:val="1166"/>
          <w:jc w:val="center"/>
        </w:trPr>
        <w:tc>
          <w:tcPr>
            <w:tcW w:w="1542"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Bazin hidrografic</w:t>
            </w:r>
          </w:p>
        </w:tc>
        <w:tc>
          <w:tcPr>
            <w:tcW w:w="2816"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Număr corpuri de apă</w:t>
            </w:r>
          </w:p>
        </w:tc>
        <w:tc>
          <w:tcPr>
            <w:tcW w:w="2854"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Stare ecologică*</w:t>
            </w:r>
          </w:p>
        </w:tc>
        <w:tc>
          <w:tcPr>
            <w:tcW w:w="2249"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Parametri hidromorfologici responsabili</w:t>
            </w:r>
          </w:p>
        </w:tc>
      </w:tr>
      <w:tr w:rsidR="00691934" w:rsidRPr="00F13F48" w:rsidTr="00012F90">
        <w:trPr>
          <w:trHeight w:val="575"/>
          <w:jc w:val="center"/>
        </w:trPr>
        <w:tc>
          <w:tcPr>
            <w:tcW w:w="154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Buzău </w:t>
            </w:r>
          </w:p>
        </w:tc>
        <w:tc>
          <w:tcPr>
            <w:tcW w:w="281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w:t>
            </w:r>
          </w:p>
        </w:tc>
        <w:tc>
          <w:tcPr>
            <w:tcW w:w="2854"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Nu se face evaluare pe baza parametrilor hidromorfologici</w:t>
            </w:r>
          </w:p>
        </w:tc>
        <w:tc>
          <w:tcPr>
            <w:tcW w:w="2249"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r w:rsidR="00691934" w:rsidRPr="00F13F48" w:rsidTr="00012F90">
        <w:trPr>
          <w:trHeight w:val="202"/>
          <w:jc w:val="center"/>
        </w:trPr>
        <w:tc>
          <w:tcPr>
            <w:tcW w:w="1542"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 Dunăre</w:t>
            </w:r>
          </w:p>
        </w:tc>
        <w:tc>
          <w:tcPr>
            <w:tcW w:w="281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w:t>
            </w:r>
          </w:p>
        </w:tc>
        <w:tc>
          <w:tcPr>
            <w:tcW w:w="2854" w:type="dxa"/>
            <w:shd w:val="clear" w:color="auto" w:fill="FDE9D9" w:themeFill="accent6" w:themeFillTint="33"/>
          </w:tcPr>
          <w:p w:rsidR="00691934" w:rsidRPr="00F13F48" w:rsidRDefault="00691934" w:rsidP="00012F90">
            <w:pPr>
              <w:pStyle w:val="Default"/>
              <w:rPr>
                <w:rFonts w:ascii="Arial" w:hAnsi="Arial" w:cs="Arial"/>
                <w:color w:val="auto"/>
              </w:rPr>
            </w:pPr>
            <w:r>
              <w:rPr>
                <w:rFonts w:ascii="Arial" w:hAnsi="Arial" w:cs="Arial"/>
                <w:color w:val="auto"/>
              </w:rPr>
              <w:t xml:space="preserve"> </w:t>
            </w:r>
            <w:r w:rsidRPr="00F13F48">
              <w:rPr>
                <w:rFonts w:ascii="Arial" w:hAnsi="Arial" w:cs="Arial"/>
                <w:color w:val="auto"/>
              </w:rPr>
              <w:t>Nu se face evaluare pe baza parametrilor hidromorfologici</w:t>
            </w:r>
          </w:p>
        </w:tc>
        <w:tc>
          <w:tcPr>
            <w:tcW w:w="2249" w:type="dxa"/>
            <w:shd w:val="clear" w:color="auto" w:fill="FDE9D9" w:themeFill="accent6" w:themeFillTint="33"/>
          </w:tcPr>
          <w:p w:rsidR="00691934" w:rsidRPr="00026041" w:rsidRDefault="00691934" w:rsidP="00012F90">
            <w:pPr>
              <w:pStyle w:val="Default"/>
              <w:jc w:val="center"/>
              <w:rPr>
                <w:rFonts w:ascii="Arial" w:hAnsi="Arial" w:cs="Arial"/>
                <w:b/>
                <w:color w:val="auto"/>
              </w:rPr>
            </w:pPr>
            <w:r w:rsidRPr="00026041">
              <w:rPr>
                <w:rFonts w:ascii="Arial" w:hAnsi="Arial" w:cs="Arial"/>
                <w:b/>
                <w:color w:val="auto"/>
              </w:rPr>
              <w:t>-</w:t>
            </w:r>
          </w:p>
        </w:tc>
      </w:tr>
    </w:tbl>
    <w:p w:rsidR="00691934" w:rsidRPr="00F13F48" w:rsidRDefault="00691934" w:rsidP="00691934">
      <w:pPr>
        <w:pStyle w:val="Default"/>
        <w:rPr>
          <w:rFonts w:ascii="Arial" w:hAnsi="Arial" w:cs="Arial"/>
          <w:color w:val="auto"/>
        </w:rPr>
      </w:pPr>
      <w:r w:rsidRPr="00F13F48">
        <w:rPr>
          <w:rFonts w:ascii="Arial" w:hAnsi="Arial" w:cs="Arial"/>
          <w:color w:val="auto"/>
        </w:rPr>
        <w:t xml:space="preserve">                                                  </w:t>
      </w:r>
    </w:p>
    <w:p w:rsidR="00352BD2" w:rsidRDefault="00352BD2" w:rsidP="00691934">
      <w:pPr>
        <w:rPr>
          <w:rFonts w:ascii="Arial" w:hAnsi="Arial" w:cs="Arial"/>
          <w:b/>
          <w:bCs/>
          <w:i/>
          <w:iCs/>
          <w:u w:val="single"/>
        </w:rPr>
      </w:pPr>
    </w:p>
    <w:p w:rsidR="00691934" w:rsidRPr="00F13F48" w:rsidRDefault="00691934" w:rsidP="00691934">
      <w:pPr>
        <w:rPr>
          <w:rFonts w:ascii="Arial" w:hAnsi="Arial" w:cs="Arial"/>
          <w:b/>
          <w:bCs/>
          <w:i/>
          <w:iCs/>
          <w:u w:val="single"/>
        </w:rPr>
      </w:pPr>
      <w:r w:rsidRPr="00F13F48">
        <w:rPr>
          <w:rFonts w:ascii="Arial" w:hAnsi="Arial" w:cs="Arial"/>
          <w:b/>
          <w:bCs/>
          <w:i/>
          <w:iCs/>
          <w:u w:val="single"/>
        </w:rPr>
        <w:lastRenderedPageBreak/>
        <w:t>II.1.2. Prognoze</w:t>
      </w:r>
    </w:p>
    <w:p w:rsidR="00691934" w:rsidRPr="00F13F48" w:rsidRDefault="00691934" w:rsidP="00691934">
      <w:pPr>
        <w:pStyle w:val="Default"/>
        <w:rPr>
          <w:rFonts w:ascii="Arial" w:hAnsi="Arial" w:cs="Arial"/>
          <w:b/>
          <w:bCs/>
          <w:color w:val="auto"/>
        </w:rPr>
      </w:pPr>
      <w:r w:rsidRPr="00F13F48">
        <w:rPr>
          <w:rFonts w:ascii="Arial" w:hAnsi="Arial" w:cs="Arial"/>
          <w:b/>
          <w:bCs/>
          <w:color w:val="auto"/>
        </w:rPr>
        <w:t xml:space="preserve">II.1.2.1. Disponibilitatea, cererea şi deficitul de apă </w:t>
      </w:r>
    </w:p>
    <w:p w:rsidR="00691934" w:rsidRPr="00F13F48" w:rsidRDefault="00691934" w:rsidP="00691934">
      <w:pPr>
        <w:pStyle w:val="Default"/>
        <w:tabs>
          <w:tab w:val="left" w:pos="426"/>
        </w:tabs>
        <w:rPr>
          <w:rFonts w:ascii="Arial" w:hAnsi="Arial" w:cs="Arial"/>
          <w:color w:val="auto"/>
        </w:rPr>
      </w:pPr>
      <w:r w:rsidRPr="00F13F48">
        <w:rPr>
          <w:rFonts w:ascii="Arial" w:hAnsi="Arial" w:cs="Arial"/>
          <w:color w:val="auto"/>
        </w:rPr>
        <w:t xml:space="preserve"> </w:t>
      </w:r>
    </w:p>
    <w:p w:rsidR="00691934" w:rsidRPr="00720598" w:rsidRDefault="00691934" w:rsidP="00691934">
      <w:pPr>
        <w:pStyle w:val="ListParagraph"/>
        <w:ind w:left="0"/>
        <w:jc w:val="both"/>
        <w:rPr>
          <w:rFonts w:ascii="Arial" w:hAnsi="Arial" w:cs="Arial"/>
          <w:color w:val="FF0000"/>
        </w:rPr>
      </w:pPr>
      <w:r w:rsidRPr="00720598">
        <w:rPr>
          <w:rFonts w:ascii="Arial" w:hAnsi="Arial" w:cs="Arial"/>
        </w:rPr>
        <w:t xml:space="preserve">Analizând tendinţa generală în utilizarea </w:t>
      </w:r>
      <w:r>
        <w:rPr>
          <w:rFonts w:ascii="Arial" w:hAnsi="Arial" w:cs="Arial"/>
        </w:rPr>
        <w:t xml:space="preserve">a </w:t>
      </w:r>
      <w:r w:rsidRPr="00720598">
        <w:rPr>
          <w:rFonts w:ascii="Arial" w:hAnsi="Arial" w:cs="Arial"/>
        </w:rPr>
        <w:t xml:space="preserve">resurselor de apă dulce din perioada 2010- 2014 se poate concluziona că după creșterea din prima parte a intervalului de referință respectiv anii 2010 </w:t>
      </w:r>
      <w:r>
        <w:rPr>
          <w:rFonts w:ascii="Arial" w:hAnsi="Arial" w:cs="Arial"/>
        </w:rPr>
        <w:t>–</w:t>
      </w:r>
      <w:r w:rsidRPr="00720598">
        <w:rPr>
          <w:rFonts w:ascii="Arial" w:hAnsi="Arial" w:cs="Arial"/>
        </w:rPr>
        <w:t xml:space="preserve"> 2012</w:t>
      </w:r>
      <w:r>
        <w:rPr>
          <w:rFonts w:ascii="Arial" w:hAnsi="Arial" w:cs="Arial"/>
        </w:rPr>
        <w:t xml:space="preserve"> (</w:t>
      </w:r>
      <w:r w:rsidRPr="00720598">
        <w:rPr>
          <w:rFonts w:ascii="Arial" w:hAnsi="Arial" w:cs="Arial"/>
        </w:rPr>
        <w:t xml:space="preserve">mai ales prin influența cerinței pentru agricultură), după anul 2012 tendinţa generală în utilizarea </w:t>
      </w:r>
      <w:r>
        <w:rPr>
          <w:rFonts w:ascii="Arial" w:hAnsi="Arial" w:cs="Arial"/>
        </w:rPr>
        <w:t xml:space="preserve">a </w:t>
      </w:r>
      <w:r w:rsidRPr="00720598">
        <w:rPr>
          <w:rFonts w:ascii="Arial" w:hAnsi="Arial" w:cs="Arial"/>
        </w:rPr>
        <w:t>resurselor de apă dulce prezintă un trend de descreștere general pe toate domeniile analizate, mai puțin la populație</w:t>
      </w:r>
      <w:r>
        <w:rPr>
          <w:rFonts w:ascii="Arial" w:hAnsi="Arial" w:cs="Arial"/>
        </w:rPr>
        <w:t xml:space="preserve"> </w:t>
      </w:r>
      <w:r w:rsidRPr="00720598">
        <w:rPr>
          <w:rFonts w:ascii="Arial" w:hAnsi="Arial" w:cs="Arial"/>
        </w:rPr>
        <w:t xml:space="preserve">(cerința de consum pentru populație fiind aproximativ liniară), iar cerința pentru industrie fiind în descreștere continuă pe tot intervalul. Prin extrapolare se poate afirma că nu vor interveni schimbări semnificative în ceea ce privește utilizarea resurselor de apă dulce în perioada </w:t>
      </w:r>
      <w:r>
        <w:rPr>
          <w:rFonts w:ascii="Arial" w:hAnsi="Arial" w:cs="Arial"/>
        </w:rPr>
        <w:t>următoare</w:t>
      </w:r>
      <w:r w:rsidRPr="00720598">
        <w:rPr>
          <w:rFonts w:ascii="Arial" w:hAnsi="Arial" w:cs="Arial"/>
        </w:rPr>
        <w:t>, neexistând presiuni majore pe nicio categorie de folosință. Cerința a fost mult sub resursa tehnic disponibilă</w:t>
      </w:r>
      <w:r>
        <w:rPr>
          <w:rFonts w:ascii="Arial" w:hAnsi="Arial" w:cs="Arial"/>
        </w:rPr>
        <w:t>,</w:t>
      </w:r>
      <w:r w:rsidRPr="00720598">
        <w:rPr>
          <w:rFonts w:ascii="Arial" w:hAnsi="Arial" w:cs="Arial"/>
        </w:rPr>
        <w:t xml:space="preserve"> existând un excedent considerabil.</w:t>
      </w:r>
    </w:p>
    <w:p w:rsidR="00691934" w:rsidRPr="00720598" w:rsidRDefault="00691934" w:rsidP="00691934">
      <w:pPr>
        <w:pStyle w:val="ListParagraph"/>
        <w:ind w:left="0"/>
        <w:jc w:val="both"/>
        <w:rPr>
          <w:rFonts w:ascii="Arial" w:hAnsi="Arial" w:cs="Arial"/>
          <w:color w:val="FF0000"/>
        </w:rPr>
      </w:pPr>
      <w:r w:rsidRPr="00720598">
        <w:rPr>
          <w:rFonts w:ascii="Arial" w:hAnsi="Arial" w:cs="Arial"/>
        </w:rPr>
        <w:t>-  Evoluţia viitoare a indicelui de exploatare a apei Wei se va menține în valoare procentuală subunitară și în descreștere,</w:t>
      </w:r>
      <w:r>
        <w:rPr>
          <w:rFonts w:ascii="Arial" w:hAnsi="Arial" w:cs="Arial"/>
        </w:rPr>
        <w:t xml:space="preserve"> </w:t>
      </w:r>
      <w:r w:rsidRPr="00720598">
        <w:rPr>
          <w:rFonts w:ascii="Arial" w:hAnsi="Arial" w:cs="Arial"/>
        </w:rPr>
        <w:t>confirmând o presiune redusă asupra resursei regenerabile.</w:t>
      </w:r>
    </w:p>
    <w:p w:rsidR="00691934" w:rsidRPr="00F13F48" w:rsidRDefault="00691934" w:rsidP="00691934">
      <w:pPr>
        <w:pStyle w:val="Default"/>
        <w:rPr>
          <w:rFonts w:ascii="Arial" w:hAnsi="Arial" w:cs="Arial"/>
          <w:color w:val="auto"/>
        </w:rPr>
      </w:pPr>
    </w:p>
    <w:p w:rsidR="00691934" w:rsidRPr="00F13F48" w:rsidRDefault="00691934" w:rsidP="00691934">
      <w:pPr>
        <w:pStyle w:val="Default"/>
        <w:rPr>
          <w:rFonts w:ascii="Arial" w:hAnsi="Arial" w:cs="Arial"/>
          <w:b/>
          <w:bCs/>
          <w:color w:val="auto"/>
        </w:rPr>
      </w:pPr>
      <w:r w:rsidRPr="00F13F48">
        <w:rPr>
          <w:rFonts w:ascii="Arial" w:hAnsi="Arial" w:cs="Arial"/>
          <w:b/>
          <w:bCs/>
          <w:color w:val="auto"/>
        </w:rPr>
        <w:t xml:space="preserve">II.1.2.2 Riscurile şi presiunile inundaţiilor </w:t>
      </w:r>
    </w:p>
    <w:p w:rsidR="00691934" w:rsidRPr="00FB611D" w:rsidRDefault="00691934" w:rsidP="00691934">
      <w:pPr>
        <w:pStyle w:val="Default"/>
        <w:tabs>
          <w:tab w:val="left" w:pos="284"/>
        </w:tabs>
        <w:ind w:left="720"/>
        <w:rPr>
          <w:rFonts w:ascii="Arial" w:hAnsi="Arial" w:cs="Arial"/>
        </w:rPr>
      </w:pPr>
    </w:p>
    <w:p w:rsidR="00691934" w:rsidRPr="00B91656" w:rsidRDefault="00691934" w:rsidP="00691934">
      <w:pPr>
        <w:pStyle w:val="BodyTextIndent"/>
        <w:ind w:left="0"/>
        <w:rPr>
          <w:rFonts w:ascii="Arial" w:hAnsi="Arial" w:cs="Arial"/>
          <w:sz w:val="24"/>
        </w:rPr>
      </w:pPr>
      <w:r>
        <w:rPr>
          <w:rFonts w:ascii="Arial" w:hAnsi="Arial" w:cs="Arial"/>
          <w:b/>
          <w:bCs/>
        </w:rPr>
        <w:t xml:space="preserve">    </w:t>
      </w:r>
      <w:r w:rsidRPr="00720598">
        <w:rPr>
          <w:rFonts w:ascii="Arial" w:hAnsi="Arial" w:cs="Arial"/>
          <w:b/>
          <w:bCs/>
          <w:sz w:val="24"/>
          <w:szCs w:val="24"/>
        </w:rPr>
        <w:t>Tabelul nr. II.1.2.2.</w:t>
      </w:r>
      <w:r>
        <w:rPr>
          <w:rFonts w:ascii="Arial" w:hAnsi="Arial" w:cs="Arial"/>
          <w:b/>
          <w:bCs/>
        </w:rPr>
        <w:t xml:space="preserve"> – 1 </w:t>
      </w:r>
      <w:r w:rsidRPr="00B91656">
        <w:rPr>
          <w:rFonts w:ascii="Arial" w:hAnsi="Arial" w:cs="Arial"/>
          <w:sz w:val="24"/>
        </w:rPr>
        <w:t>Expunerea populaţiei la riscul de inundaţii</w:t>
      </w:r>
      <w:r>
        <w:rPr>
          <w:rFonts w:ascii="Arial" w:hAnsi="Arial" w:cs="Arial"/>
          <w:sz w:val="24"/>
        </w:rPr>
        <w:t xml:space="preserve"> </w:t>
      </w:r>
      <w:r w:rsidRPr="00B91656">
        <w:rPr>
          <w:rFonts w:ascii="Arial" w:hAnsi="Arial" w:cs="Arial"/>
          <w:sz w:val="24"/>
        </w:rPr>
        <w:t>la nivel</w:t>
      </w:r>
      <w:r>
        <w:rPr>
          <w:rFonts w:ascii="Arial" w:hAnsi="Arial" w:cs="Arial"/>
          <w:sz w:val="24"/>
        </w:rPr>
        <w:t xml:space="preserve">ul </w:t>
      </w:r>
      <w:r w:rsidRPr="00B91656">
        <w:rPr>
          <w:rFonts w:ascii="Arial" w:hAnsi="Arial" w:cs="Arial"/>
          <w:sz w:val="24"/>
        </w:rPr>
        <w:t>judeţ</w:t>
      </w:r>
      <w:r>
        <w:rPr>
          <w:rFonts w:ascii="Arial" w:hAnsi="Arial" w:cs="Arial"/>
          <w:sz w:val="24"/>
        </w:rPr>
        <w:t>ului Brăila</w:t>
      </w:r>
    </w:p>
    <w:tbl>
      <w:tblPr>
        <w:tblW w:w="0" w:type="auto"/>
        <w:jc w:val="center"/>
        <w:tblInd w:w="-204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tblPr>
      <w:tblGrid>
        <w:gridCol w:w="6103"/>
        <w:gridCol w:w="750"/>
        <w:gridCol w:w="750"/>
        <w:gridCol w:w="750"/>
        <w:gridCol w:w="750"/>
        <w:gridCol w:w="750"/>
      </w:tblGrid>
      <w:tr w:rsidR="00691934" w:rsidRPr="00FB611D" w:rsidTr="00012F90">
        <w:trPr>
          <w:jc w:val="center"/>
        </w:trPr>
        <w:tc>
          <w:tcPr>
            <w:tcW w:w="6103" w:type="dxa"/>
            <w:shd w:val="clear" w:color="auto" w:fill="8DB3E2" w:themeFill="text2" w:themeFillTint="66"/>
          </w:tcPr>
          <w:p w:rsidR="00691934" w:rsidRPr="00FB611D" w:rsidRDefault="00691934" w:rsidP="00012F90">
            <w:pPr>
              <w:pStyle w:val="BodyTextIndent"/>
              <w:spacing w:after="0" w:line="240" w:lineRule="auto"/>
              <w:ind w:left="0"/>
              <w:rPr>
                <w:rFonts w:ascii="Arial" w:hAnsi="Arial" w:cs="Arial"/>
                <w:sz w:val="24"/>
                <w:szCs w:val="24"/>
              </w:rPr>
            </w:pPr>
          </w:p>
        </w:tc>
        <w:tc>
          <w:tcPr>
            <w:tcW w:w="750" w:type="dxa"/>
            <w:shd w:val="clear" w:color="auto" w:fill="8DB3E2" w:themeFill="text2" w:themeFillTint="66"/>
            <w:vAlign w:val="center"/>
          </w:tcPr>
          <w:p w:rsidR="00691934" w:rsidRPr="00FB611D" w:rsidRDefault="00691934" w:rsidP="00012F90">
            <w:pPr>
              <w:pStyle w:val="BodyTextIndent"/>
              <w:spacing w:after="0" w:line="240" w:lineRule="auto"/>
              <w:ind w:left="0"/>
              <w:jc w:val="center"/>
              <w:rPr>
                <w:rFonts w:ascii="Arial" w:hAnsi="Arial" w:cs="Arial"/>
                <w:b/>
                <w:sz w:val="24"/>
                <w:szCs w:val="24"/>
              </w:rPr>
            </w:pPr>
            <w:r w:rsidRPr="00FB611D">
              <w:rPr>
                <w:rFonts w:ascii="Arial" w:hAnsi="Arial" w:cs="Arial"/>
                <w:b/>
                <w:sz w:val="24"/>
                <w:szCs w:val="24"/>
              </w:rPr>
              <w:t>2010</w:t>
            </w:r>
          </w:p>
        </w:tc>
        <w:tc>
          <w:tcPr>
            <w:tcW w:w="750" w:type="dxa"/>
            <w:shd w:val="clear" w:color="auto" w:fill="8DB3E2" w:themeFill="text2" w:themeFillTint="66"/>
            <w:vAlign w:val="center"/>
          </w:tcPr>
          <w:p w:rsidR="00691934" w:rsidRPr="00FB611D" w:rsidRDefault="00691934" w:rsidP="00012F90">
            <w:pPr>
              <w:pStyle w:val="BodyTextIndent"/>
              <w:spacing w:after="0" w:line="240" w:lineRule="auto"/>
              <w:ind w:left="0"/>
              <w:jc w:val="center"/>
              <w:rPr>
                <w:rFonts w:ascii="Arial" w:hAnsi="Arial" w:cs="Arial"/>
                <w:b/>
                <w:sz w:val="24"/>
                <w:szCs w:val="24"/>
              </w:rPr>
            </w:pPr>
            <w:r w:rsidRPr="00FB611D">
              <w:rPr>
                <w:rFonts w:ascii="Arial" w:hAnsi="Arial" w:cs="Arial"/>
                <w:b/>
                <w:sz w:val="24"/>
                <w:szCs w:val="24"/>
              </w:rPr>
              <w:t>2011</w:t>
            </w:r>
          </w:p>
        </w:tc>
        <w:tc>
          <w:tcPr>
            <w:tcW w:w="750" w:type="dxa"/>
            <w:shd w:val="clear" w:color="auto" w:fill="8DB3E2" w:themeFill="text2" w:themeFillTint="66"/>
            <w:vAlign w:val="center"/>
          </w:tcPr>
          <w:p w:rsidR="00691934" w:rsidRPr="00FB611D" w:rsidRDefault="00691934" w:rsidP="00012F90">
            <w:pPr>
              <w:pStyle w:val="BodyTextIndent"/>
              <w:spacing w:after="0" w:line="240" w:lineRule="auto"/>
              <w:ind w:left="0"/>
              <w:jc w:val="center"/>
              <w:rPr>
                <w:rFonts w:ascii="Arial" w:hAnsi="Arial" w:cs="Arial"/>
                <w:b/>
                <w:sz w:val="24"/>
                <w:szCs w:val="24"/>
              </w:rPr>
            </w:pPr>
            <w:r w:rsidRPr="00FB611D">
              <w:rPr>
                <w:rFonts w:ascii="Arial" w:hAnsi="Arial" w:cs="Arial"/>
                <w:b/>
                <w:sz w:val="24"/>
                <w:szCs w:val="24"/>
              </w:rPr>
              <w:t>2012</w:t>
            </w:r>
          </w:p>
        </w:tc>
        <w:tc>
          <w:tcPr>
            <w:tcW w:w="750" w:type="dxa"/>
            <w:shd w:val="clear" w:color="auto" w:fill="8DB3E2" w:themeFill="text2" w:themeFillTint="66"/>
            <w:vAlign w:val="center"/>
          </w:tcPr>
          <w:p w:rsidR="00691934" w:rsidRPr="00FB611D" w:rsidRDefault="00691934" w:rsidP="00012F90">
            <w:pPr>
              <w:pStyle w:val="BodyTextIndent"/>
              <w:spacing w:after="0" w:line="240" w:lineRule="auto"/>
              <w:ind w:left="0"/>
              <w:jc w:val="center"/>
              <w:rPr>
                <w:rFonts w:ascii="Arial" w:hAnsi="Arial" w:cs="Arial"/>
                <w:b/>
                <w:sz w:val="24"/>
                <w:szCs w:val="24"/>
              </w:rPr>
            </w:pPr>
            <w:r w:rsidRPr="00FB611D">
              <w:rPr>
                <w:rFonts w:ascii="Arial" w:hAnsi="Arial" w:cs="Arial"/>
                <w:b/>
                <w:sz w:val="24"/>
                <w:szCs w:val="24"/>
              </w:rPr>
              <w:t>2013</w:t>
            </w:r>
          </w:p>
        </w:tc>
        <w:tc>
          <w:tcPr>
            <w:tcW w:w="750" w:type="dxa"/>
            <w:shd w:val="clear" w:color="auto" w:fill="8DB3E2" w:themeFill="text2" w:themeFillTint="66"/>
            <w:vAlign w:val="center"/>
          </w:tcPr>
          <w:p w:rsidR="00691934" w:rsidRPr="00FB611D" w:rsidRDefault="00691934" w:rsidP="00012F90">
            <w:pPr>
              <w:pStyle w:val="BodyTextIndent"/>
              <w:spacing w:after="0" w:line="240" w:lineRule="auto"/>
              <w:ind w:left="0"/>
              <w:jc w:val="center"/>
              <w:rPr>
                <w:rFonts w:ascii="Arial" w:hAnsi="Arial" w:cs="Arial"/>
                <w:b/>
                <w:sz w:val="24"/>
                <w:szCs w:val="24"/>
              </w:rPr>
            </w:pPr>
            <w:r w:rsidRPr="00FB611D">
              <w:rPr>
                <w:rFonts w:ascii="Arial" w:hAnsi="Arial" w:cs="Arial"/>
                <w:b/>
                <w:sz w:val="24"/>
                <w:szCs w:val="24"/>
              </w:rPr>
              <w:t>2014</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de evenimente identificate la nivelul judeţului Brăila</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12</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31</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18</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21</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de victime</w:t>
            </w:r>
          </w:p>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Total din care:</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100</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persoane decedate</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persoane rănite</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persoane evacuate</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100</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persoane cu locuinţe distruse</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r>
      <w:tr w:rsidR="00691934" w:rsidRPr="00FB611D" w:rsidTr="00012F90">
        <w:trPr>
          <w:jc w:val="center"/>
        </w:trPr>
        <w:tc>
          <w:tcPr>
            <w:tcW w:w="6103" w:type="dxa"/>
            <w:shd w:val="clear" w:color="auto" w:fill="DAEEF3" w:themeFill="accent5" w:themeFillTint="33"/>
          </w:tcPr>
          <w:p w:rsidR="00691934" w:rsidRPr="00FB611D" w:rsidRDefault="00691934" w:rsidP="00012F90">
            <w:pPr>
              <w:pStyle w:val="BodyTextIndent"/>
              <w:spacing w:after="0" w:line="240" w:lineRule="auto"/>
              <w:ind w:left="0"/>
              <w:rPr>
                <w:rFonts w:ascii="Arial" w:hAnsi="Arial" w:cs="Arial"/>
                <w:sz w:val="24"/>
                <w:szCs w:val="24"/>
              </w:rPr>
            </w:pPr>
            <w:r w:rsidRPr="00FB611D">
              <w:rPr>
                <w:rFonts w:ascii="Arial" w:hAnsi="Arial" w:cs="Arial"/>
                <w:sz w:val="24"/>
                <w:szCs w:val="24"/>
              </w:rPr>
              <w:t>Număr cazuri îmbolnăviri datorită consumului de apă contaminată</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c>
          <w:tcPr>
            <w:tcW w:w="750" w:type="dxa"/>
            <w:shd w:val="clear" w:color="auto" w:fill="DAEEF3" w:themeFill="accent5" w:themeFillTint="33"/>
            <w:vAlign w:val="center"/>
          </w:tcPr>
          <w:p w:rsidR="00691934" w:rsidRPr="00FB611D" w:rsidRDefault="00691934" w:rsidP="00012F90">
            <w:pPr>
              <w:pStyle w:val="BodyTextIndent"/>
              <w:spacing w:after="0" w:line="240" w:lineRule="auto"/>
              <w:ind w:left="0"/>
              <w:jc w:val="center"/>
              <w:rPr>
                <w:rFonts w:ascii="Arial" w:hAnsi="Arial" w:cs="Arial"/>
                <w:sz w:val="24"/>
                <w:szCs w:val="24"/>
              </w:rPr>
            </w:pPr>
            <w:r w:rsidRPr="00FB611D">
              <w:rPr>
                <w:rFonts w:ascii="Arial" w:hAnsi="Arial" w:cs="Arial"/>
                <w:sz w:val="24"/>
                <w:szCs w:val="24"/>
              </w:rPr>
              <w:t>-</w:t>
            </w:r>
          </w:p>
        </w:tc>
      </w:tr>
    </w:tbl>
    <w:p w:rsidR="00691934" w:rsidRPr="00B91656" w:rsidRDefault="00691934" w:rsidP="00691934">
      <w:pPr>
        <w:pStyle w:val="BodyTextIndent"/>
        <w:ind w:left="720"/>
        <w:rPr>
          <w:rFonts w:ascii="Arial" w:hAnsi="Arial" w:cs="Arial"/>
          <w:sz w:val="24"/>
        </w:rPr>
      </w:pPr>
    </w:p>
    <w:p w:rsidR="00691934" w:rsidRDefault="00691934" w:rsidP="00691934">
      <w:pPr>
        <w:pStyle w:val="Style8"/>
        <w:widowControl/>
        <w:spacing w:line="240" w:lineRule="auto"/>
        <w:ind w:left="720" w:firstLine="0"/>
        <w:rPr>
          <w:rStyle w:val="FontStyle22"/>
          <w:rFonts w:ascii="Arial" w:hAnsi="Arial" w:cs="Arial"/>
          <w:spacing w:val="-4"/>
          <w:lang w:val="ro-RO" w:eastAsia="ro-RO"/>
        </w:rPr>
      </w:pPr>
      <w:r w:rsidRPr="00F13F48">
        <w:rPr>
          <w:rFonts w:ascii="Arial" w:hAnsi="Arial" w:cs="Arial"/>
          <w:b/>
          <w:bCs/>
        </w:rPr>
        <w:t>Tabelul nr.</w:t>
      </w:r>
      <w:r w:rsidRPr="00026041">
        <w:rPr>
          <w:rFonts w:ascii="Arial" w:hAnsi="Arial" w:cs="Arial"/>
          <w:b/>
          <w:bCs/>
        </w:rPr>
        <w:t xml:space="preserve"> </w:t>
      </w:r>
      <w:r w:rsidRPr="00F13F48">
        <w:rPr>
          <w:rFonts w:ascii="Arial" w:hAnsi="Arial" w:cs="Arial"/>
          <w:b/>
          <w:bCs/>
        </w:rPr>
        <w:t>II.1.</w:t>
      </w:r>
      <w:r>
        <w:rPr>
          <w:rFonts w:ascii="Arial" w:hAnsi="Arial" w:cs="Arial"/>
          <w:b/>
          <w:bCs/>
        </w:rPr>
        <w:t>2</w:t>
      </w:r>
      <w:r w:rsidRPr="00F13F48">
        <w:rPr>
          <w:rFonts w:ascii="Arial" w:hAnsi="Arial" w:cs="Arial"/>
          <w:b/>
          <w:bCs/>
        </w:rPr>
        <w:t>.</w:t>
      </w:r>
      <w:r>
        <w:rPr>
          <w:rFonts w:ascii="Arial" w:hAnsi="Arial" w:cs="Arial"/>
          <w:b/>
          <w:bCs/>
        </w:rPr>
        <w:t>2</w:t>
      </w:r>
      <w:r w:rsidRPr="00F13F48">
        <w:rPr>
          <w:rFonts w:ascii="Arial" w:hAnsi="Arial" w:cs="Arial"/>
          <w:b/>
          <w:bCs/>
        </w:rPr>
        <w:t>.</w:t>
      </w:r>
      <w:r>
        <w:rPr>
          <w:rFonts w:ascii="Arial" w:hAnsi="Arial" w:cs="Arial"/>
          <w:b/>
          <w:bCs/>
        </w:rPr>
        <w:t xml:space="preserve"> – 1</w:t>
      </w:r>
      <w:r w:rsidRPr="00720598">
        <w:rPr>
          <w:rStyle w:val="FontStyle22"/>
          <w:rFonts w:ascii="Arial" w:hAnsi="Arial" w:cs="Arial"/>
          <w:spacing w:val="-4"/>
          <w:lang w:val="ro-RO" w:eastAsia="ro-RO"/>
        </w:rPr>
        <w:t xml:space="preserve"> </w:t>
      </w:r>
      <w:r>
        <w:rPr>
          <w:rStyle w:val="FontStyle22"/>
          <w:rFonts w:ascii="Arial" w:hAnsi="Arial" w:cs="Arial"/>
          <w:spacing w:val="-4"/>
          <w:lang w:val="ro-RO" w:eastAsia="ro-RO"/>
        </w:rPr>
        <w:t xml:space="preserve">Nr. </w:t>
      </w:r>
      <w:r w:rsidRPr="00B91656">
        <w:rPr>
          <w:rStyle w:val="FontStyle22"/>
          <w:rFonts w:ascii="Arial" w:hAnsi="Arial" w:cs="Arial"/>
          <w:spacing w:val="-4"/>
          <w:lang w:val="ro-RO" w:eastAsia="ro-RO"/>
        </w:rPr>
        <w:t>Localităţi afectate de inundaţii</w:t>
      </w:r>
      <w:r>
        <w:rPr>
          <w:rStyle w:val="FontStyle22"/>
          <w:rFonts w:ascii="Arial" w:hAnsi="Arial" w:cs="Arial"/>
          <w:spacing w:val="-4"/>
          <w:lang w:val="ro-RO" w:eastAsia="ro-RO"/>
        </w:rPr>
        <w:t xml:space="preserve"> </w:t>
      </w:r>
    </w:p>
    <w:p w:rsidR="00691934" w:rsidRPr="00B91656" w:rsidRDefault="00691934" w:rsidP="00691934">
      <w:pPr>
        <w:pStyle w:val="Style8"/>
        <w:widowControl/>
        <w:spacing w:line="240" w:lineRule="auto"/>
        <w:ind w:left="720" w:firstLine="0"/>
        <w:rPr>
          <w:rStyle w:val="FontStyle22"/>
          <w:rFonts w:ascii="Arial" w:hAnsi="Arial" w:cs="Arial"/>
          <w:spacing w:val="-4"/>
          <w:lang w:val="ro-RO" w:eastAsia="ro-RO"/>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tblPr>
      <w:tblGrid>
        <w:gridCol w:w="1101"/>
        <w:gridCol w:w="1134"/>
        <w:gridCol w:w="992"/>
        <w:gridCol w:w="992"/>
        <w:gridCol w:w="992"/>
        <w:gridCol w:w="1134"/>
      </w:tblGrid>
      <w:tr w:rsidR="00691934" w:rsidRPr="00B91656" w:rsidTr="00012F90">
        <w:trPr>
          <w:jc w:val="center"/>
        </w:trPr>
        <w:tc>
          <w:tcPr>
            <w:tcW w:w="1101" w:type="dxa"/>
            <w:shd w:val="clear" w:color="auto" w:fill="DAEEF3" w:themeFill="accent5" w:themeFillTint="33"/>
          </w:tcPr>
          <w:p w:rsidR="00691934" w:rsidRPr="00B91656" w:rsidRDefault="00691934" w:rsidP="00012F90">
            <w:pPr>
              <w:pStyle w:val="BodyTextIndent"/>
              <w:spacing w:after="0"/>
              <w:ind w:left="0"/>
              <w:rPr>
                <w:rFonts w:ascii="Arial" w:hAnsi="Arial" w:cs="Arial"/>
                <w:sz w:val="24"/>
              </w:rPr>
            </w:pPr>
          </w:p>
        </w:tc>
        <w:tc>
          <w:tcPr>
            <w:tcW w:w="1134" w:type="dxa"/>
            <w:shd w:val="clear" w:color="auto" w:fill="DAEEF3" w:themeFill="accent5" w:themeFillTint="33"/>
            <w:vAlign w:val="center"/>
          </w:tcPr>
          <w:p w:rsidR="00691934" w:rsidRPr="00B91656" w:rsidRDefault="00691934" w:rsidP="00012F90">
            <w:pPr>
              <w:pStyle w:val="BodyTextIndent"/>
              <w:spacing w:after="0"/>
              <w:ind w:left="0"/>
              <w:jc w:val="center"/>
              <w:rPr>
                <w:rFonts w:ascii="Arial" w:hAnsi="Arial" w:cs="Arial"/>
                <w:b/>
                <w:sz w:val="24"/>
              </w:rPr>
            </w:pPr>
            <w:r w:rsidRPr="00B91656">
              <w:rPr>
                <w:rFonts w:ascii="Arial" w:hAnsi="Arial" w:cs="Arial"/>
                <w:b/>
                <w:sz w:val="24"/>
              </w:rPr>
              <w:t>2010</w:t>
            </w:r>
          </w:p>
        </w:tc>
        <w:tc>
          <w:tcPr>
            <w:tcW w:w="992" w:type="dxa"/>
            <w:shd w:val="clear" w:color="auto" w:fill="DAEEF3" w:themeFill="accent5" w:themeFillTint="33"/>
            <w:vAlign w:val="center"/>
          </w:tcPr>
          <w:p w:rsidR="00691934" w:rsidRPr="00B91656" w:rsidRDefault="00691934" w:rsidP="00012F90">
            <w:pPr>
              <w:pStyle w:val="BodyTextIndent"/>
              <w:spacing w:after="0"/>
              <w:ind w:left="0"/>
              <w:jc w:val="center"/>
              <w:rPr>
                <w:rFonts w:ascii="Arial" w:hAnsi="Arial" w:cs="Arial"/>
                <w:b/>
                <w:sz w:val="24"/>
              </w:rPr>
            </w:pPr>
            <w:r w:rsidRPr="00B91656">
              <w:rPr>
                <w:rFonts w:ascii="Arial" w:hAnsi="Arial" w:cs="Arial"/>
                <w:b/>
                <w:sz w:val="24"/>
              </w:rPr>
              <w:t>2011</w:t>
            </w:r>
          </w:p>
        </w:tc>
        <w:tc>
          <w:tcPr>
            <w:tcW w:w="992" w:type="dxa"/>
            <w:shd w:val="clear" w:color="auto" w:fill="DAEEF3" w:themeFill="accent5" w:themeFillTint="33"/>
            <w:vAlign w:val="center"/>
          </w:tcPr>
          <w:p w:rsidR="00691934" w:rsidRPr="00B91656" w:rsidRDefault="00691934" w:rsidP="00012F90">
            <w:pPr>
              <w:pStyle w:val="BodyTextIndent"/>
              <w:spacing w:after="0"/>
              <w:ind w:left="0"/>
              <w:jc w:val="center"/>
              <w:rPr>
                <w:rFonts w:ascii="Arial" w:hAnsi="Arial" w:cs="Arial"/>
                <w:b/>
                <w:sz w:val="24"/>
              </w:rPr>
            </w:pPr>
            <w:r w:rsidRPr="00B91656">
              <w:rPr>
                <w:rFonts w:ascii="Arial" w:hAnsi="Arial" w:cs="Arial"/>
                <w:b/>
                <w:sz w:val="24"/>
              </w:rPr>
              <w:t>2012</w:t>
            </w:r>
          </w:p>
        </w:tc>
        <w:tc>
          <w:tcPr>
            <w:tcW w:w="992" w:type="dxa"/>
            <w:shd w:val="clear" w:color="auto" w:fill="DAEEF3" w:themeFill="accent5" w:themeFillTint="33"/>
            <w:vAlign w:val="center"/>
          </w:tcPr>
          <w:p w:rsidR="00691934" w:rsidRPr="00B91656" w:rsidRDefault="00691934" w:rsidP="00012F90">
            <w:pPr>
              <w:pStyle w:val="BodyTextIndent"/>
              <w:spacing w:after="0"/>
              <w:ind w:left="0"/>
              <w:jc w:val="center"/>
              <w:rPr>
                <w:rFonts w:ascii="Arial" w:hAnsi="Arial" w:cs="Arial"/>
                <w:b/>
                <w:sz w:val="24"/>
              </w:rPr>
            </w:pPr>
            <w:r w:rsidRPr="00B91656">
              <w:rPr>
                <w:rFonts w:ascii="Arial" w:hAnsi="Arial" w:cs="Arial"/>
                <w:b/>
                <w:sz w:val="24"/>
              </w:rPr>
              <w:t>2013</w:t>
            </w:r>
          </w:p>
        </w:tc>
        <w:tc>
          <w:tcPr>
            <w:tcW w:w="1134" w:type="dxa"/>
            <w:shd w:val="clear" w:color="auto" w:fill="DAEEF3" w:themeFill="accent5" w:themeFillTint="33"/>
            <w:vAlign w:val="center"/>
          </w:tcPr>
          <w:p w:rsidR="00691934" w:rsidRPr="00B91656" w:rsidRDefault="00691934" w:rsidP="00012F90">
            <w:pPr>
              <w:pStyle w:val="BodyTextIndent"/>
              <w:spacing w:after="0"/>
              <w:ind w:left="0"/>
              <w:jc w:val="center"/>
              <w:rPr>
                <w:rFonts w:ascii="Arial" w:hAnsi="Arial" w:cs="Arial"/>
                <w:b/>
                <w:sz w:val="24"/>
              </w:rPr>
            </w:pPr>
            <w:r w:rsidRPr="00B91656">
              <w:rPr>
                <w:rFonts w:ascii="Arial" w:hAnsi="Arial" w:cs="Arial"/>
                <w:b/>
                <w:sz w:val="24"/>
              </w:rPr>
              <w:t>2014</w:t>
            </w:r>
          </w:p>
        </w:tc>
      </w:tr>
      <w:tr w:rsidR="00691934" w:rsidRPr="00B91656" w:rsidTr="00012F90">
        <w:trPr>
          <w:jc w:val="center"/>
        </w:trPr>
        <w:tc>
          <w:tcPr>
            <w:tcW w:w="1101" w:type="dxa"/>
            <w:shd w:val="clear" w:color="auto" w:fill="DAEEF3" w:themeFill="accent5" w:themeFillTint="33"/>
          </w:tcPr>
          <w:p w:rsidR="00691934" w:rsidRPr="00B91656" w:rsidRDefault="00691934" w:rsidP="00012F90">
            <w:pPr>
              <w:pStyle w:val="Style8"/>
              <w:widowControl/>
              <w:spacing w:line="240" w:lineRule="auto"/>
              <w:ind w:firstLine="0"/>
              <w:rPr>
                <w:rStyle w:val="FontStyle22"/>
                <w:rFonts w:ascii="Arial" w:hAnsi="Arial" w:cs="Arial"/>
                <w:spacing w:val="-4"/>
                <w:lang w:val="ro-RO" w:eastAsia="ro-RO"/>
              </w:rPr>
            </w:pPr>
            <w:r w:rsidRPr="00B91656">
              <w:rPr>
                <w:rStyle w:val="FontStyle22"/>
                <w:rFonts w:ascii="Arial" w:hAnsi="Arial" w:cs="Arial"/>
                <w:spacing w:val="-4"/>
                <w:lang w:val="ro-RO" w:eastAsia="ro-RO"/>
              </w:rPr>
              <w:t>Număr</w:t>
            </w:r>
          </w:p>
        </w:tc>
        <w:tc>
          <w:tcPr>
            <w:tcW w:w="1134" w:type="dxa"/>
            <w:shd w:val="clear" w:color="auto" w:fill="DAEEF3" w:themeFill="accent5" w:themeFillTint="33"/>
          </w:tcPr>
          <w:p w:rsidR="00691934" w:rsidRPr="00B91656" w:rsidRDefault="00691934" w:rsidP="00012F90">
            <w:pPr>
              <w:pStyle w:val="Style8"/>
              <w:widowControl/>
              <w:spacing w:line="240" w:lineRule="auto"/>
              <w:ind w:firstLine="0"/>
              <w:jc w:val="center"/>
              <w:rPr>
                <w:rStyle w:val="FontStyle22"/>
                <w:rFonts w:ascii="Arial" w:hAnsi="Arial" w:cs="Arial"/>
                <w:spacing w:val="-4"/>
                <w:lang w:val="ro-RO" w:eastAsia="ro-RO"/>
              </w:rPr>
            </w:pPr>
            <w:r w:rsidRPr="00B91656">
              <w:rPr>
                <w:rStyle w:val="FontStyle22"/>
                <w:rFonts w:ascii="Arial" w:hAnsi="Arial" w:cs="Arial"/>
                <w:spacing w:val="-4"/>
                <w:lang w:val="ro-RO" w:eastAsia="ro-RO"/>
              </w:rPr>
              <w:t>3</w:t>
            </w:r>
          </w:p>
        </w:tc>
        <w:tc>
          <w:tcPr>
            <w:tcW w:w="992" w:type="dxa"/>
            <w:shd w:val="clear" w:color="auto" w:fill="DAEEF3" w:themeFill="accent5" w:themeFillTint="33"/>
          </w:tcPr>
          <w:p w:rsidR="00691934" w:rsidRPr="00B91656" w:rsidRDefault="00691934" w:rsidP="00012F90">
            <w:pPr>
              <w:pStyle w:val="Style8"/>
              <w:widowControl/>
              <w:spacing w:line="240" w:lineRule="auto"/>
              <w:ind w:firstLine="0"/>
              <w:jc w:val="center"/>
              <w:rPr>
                <w:rStyle w:val="FontStyle22"/>
                <w:rFonts w:ascii="Arial" w:hAnsi="Arial" w:cs="Arial"/>
                <w:spacing w:val="-4"/>
                <w:lang w:val="ro-RO" w:eastAsia="ro-RO"/>
              </w:rPr>
            </w:pPr>
            <w:r w:rsidRPr="00B91656">
              <w:rPr>
                <w:rStyle w:val="FontStyle22"/>
                <w:rFonts w:ascii="Arial" w:hAnsi="Arial" w:cs="Arial"/>
                <w:spacing w:val="-4"/>
                <w:lang w:val="ro-RO" w:eastAsia="ro-RO"/>
              </w:rPr>
              <w:t>-</w:t>
            </w:r>
          </w:p>
        </w:tc>
        <w:tc>
          <w:tcPr>
            <w:tcW w:w="992" w:type="dxa"/>
            <w:shd w:val="clear" w:color="auto" w:fill="DAEEF3" w:themeFill="accent5" w:themeFillTint="33"/>
          </w:tcPr>
          <w:p w:rsidR="00691934" w:rsidRPr="00B91656" w:rsidRDefault="00691934" w:rsidP="00012F90">
            <w:pPr>
              <w:pStyle w:val="Style8"/>
              <w:widowControl/>
              <w:spacing w:line="240" w:lineRule="auto"/>
              <w:ind w:firstLine="0"/>
              <w:jc w:val="center"/>
              <w:rPr>
                <w:rStyle w:val="FontStyle22"/>
                <w:rFonts w:ascii="Arial" w:hAnsi="Arial" w:cs="Arial"/>
                <w:spacing w:val="-4"/>
                <w:lang w:val="ro-RO" w:eastAsia="ro-RO"/>
              </w:rPr>
            </w:pPr>
            <w:r w:rsidRPr="00B91656">
              <w:rPr>
                <w:rStyle w:val="FontStyle22"/>
                <w:rFonts w:ascii="Arial" w:hAnsi="Arial" w:cs="Arial"/>
                <w:spacing w:val="-4"/>
                <w:lang w:val="ro-RO" w:eastAsia="ro-RO"/>
              </w:rPr>
              <w:t>6</w:t>
            </w:r>
          </w:p>
        </w:tc>
        <w:tc>
          <w:tcPr>
            <w:tcW w:w="992" w:type="dxa"/>
            <w:shd w:val="clear" w:color="auto" w:fill="DAEEF3" w:themeFill="accent5" w:themeFillTint="33"/>
          </w:tcPr>
          <w:p w:rsidR="00691934" w:rsidRPr="00B91656" w:rsidRDefault="00691934" w:rsidP="00012F90">
            <w:pPr>
              <w:pStyle w:val="Style8"/>
              <w:widowControl/>
              <w:spacing w:line="240" w:lineRule="auto"/>
              <w:ind w:firstLine="0"/>
              <w:jc w:val="center"/>
              <w:rPr>
                <w:rStyle w:val="FontStyle22"/>
                <w:rFonts w:ascii="Arial" w:hAnsi="Arial" w:cs="Arial"/>
                <w:spacing w:val="-4"/>
                <w:lang w:val="ro-RO" w:eastAsia="ro-RO"/>
              </w:rPr>
            </w:pPr>
            <w:r w:rsidRPr="00B91656">
              <w:rPr>
                <w:rStyle w:val="FontStyle22"/>
                <w:rFonts w:ascii="Arial" w:hAnsi="Arial" w:cs="Arial"/>
                <w:spacing w:val="-4"/>
                <w:lang w:val="ro-RO" w:eastAsia="ro-RO"/>
              </w:rPr>
              <w:t>14</w:t>
            </w:r>
          </w:p>
        </w:tc>
        <w:tc>
          <w:tcPr>
            <w:tcW w:w="1134" w:type="dxa"/>
            <w:shd w:val="clear" w:color="auto" w:fill="DAEEF3" w:themeFill="accent5" w:themeFillTint="33"/>
          </w:tcPr>
          <w:p w:rsidR="00691934" w:rsidRPr="00B91656" w:rsidRDefault="00691934" w:rsidP="00012F90">
            <w:pPr>
              <w:pStyle w:val="Style8"/>
              <w:widowControl/>
              <w:spacing w:line="240" w:lineRule="auto"/>
              <w:ind w:firstLine="0"/>
              <w:jc w:val="center"/>
              <w:rPr>
                <w:rStyle w:val="FontStyle22"/>
                <w:rFonts w:ascii="Arial" w:hAnsi="Arial" w:cs="Arial"/>
                <w:spacing w:val="-4"/>
                <w:lang w:val="ro-RO" w:eastAsia="ro-RO"/>
              </w:rPr>
            </w:pPr>
            <w:r w:rsidRPr="00B91656">
              <w:rPr>
                <w:rStyle w:val="FontStyle22"/>
                <w:rFonts w:ascii="Arial" w:hAnsi="Arial" w:cs="Arial"/>
                <w:spacing w:val="-4"/>
                <w:lang w:val="ro-RO" w:eastAsia="ro-RO"/>
              </w:rPr>
              <w:t>10</w:t>
            </w:r>
          </w:p>
        </w:tc>
      </w:tr>
    </w:tbl>
    <w:p w:rsidR="00691934" w:rsidRPr="00F13F48" w:rsidRDefault="00691934" w:rsidP="00691934">
      <w:pPr>
        <w:pStyle w:val="Default"/>
        <w:rPr>
          <w:rFonts w:ascii="Arial" w:hAnsi="Arial" w:cs="Arial"/>
          <w:color w:val="auto"/>
        </w:rPr>
      </w:pPr>
    </w:p>
    <w:p w:rsidR="00691934" w:rsidRPr="00F13F48" w:rsidRDefault="00691934" w:rsidP="00691934">
      <w:pPr>
        <w:pStyle w:val="Default"/>
        <w:jc w:val="both"/>
        <w:rPr>
          <w:rFonts w:ascii="Arial" w:hAnsi="Arial" w:cs="Arial"/>
          <w:b/>
          <w:bCs/>
          <w:i/>
          <w:iCs/>
          <w:color w:val="auto"/>
        </w:rPr>
      </w:pPr>
      <w:r w:rsidRPr="00F13F48">
        <w:rPr>
          <w:rFonts w:ascii="Arial" w:hAnsi="Arial" w:cs="Arial"/>
          <w:b/>
          <w:bCs/>
          <w:i/>
          <w:iCs/>
          <w:color w:val="auto"/>
        </w:rPr>
        <w:t xml:space="preserve">II.1.3. Utilizarea şi gestionarea eficientă a resurselor de apă </w:t>
      </w:r>
    </w:p>
    <w:p w:rsidR="00691934" w:rsidRDefault="00691934" w:rsidP="00691934">
      <w:pPr>
        <w:pStyle w:val="NormalWeb"/>
        <w:spacing w:before="0" w:beforeAutospacing="0"/>
        <w:rPr>
          <w:rFonts w:ascii="Arial" w:hAnsi="Arial" w:cs="Arial"/>
        </w:rPr>
      </w:pPr>
      <w:r w:rsidRPr="00974F8A">
        <w:rPr>
          <w:rFonts w:ascii="Arial" w:hAnsi="Arial" w:cs="Arial"/>
        </w:rPr>
        <w:t> </w:t>
      </w:r>
    </w:p>
    <w:p w:rsidR="00691934" w:rsidRPr="00E63F17" w:rsidRDefault="00691934" w:rsidP="00691934">
      <w:pPr>
        <w:pStyle w:val="NormalWeb"/>
        <w:spacing w:before="0" w:beforeAutospacing="0"/>
        <w:rPr>
          <w:rFonts w:ascii="Arial" w:hAnsi="Arial" w:cs="Arial"/>
          <w:b/>
        </w:rPr>
      </w:pPr>
      <w:r w:rsidRPr="00E63F17">
        <w:rPr>
          <w:rFonts w:ascii="Arial" w:hAnsi="Arial" w:cs="Arial"/>
          <w:bCs/>
          <w:iCs/>
        </w:rPr>
        <w:t xml:space="preserve"> În vederea utilizării şi gestionării eficiente și durabile a resurselor de apă în județul Brăila se află în implementare </w:t>
      </w:r>
      <w:r w:rsidRPr="00E63F17">
        <w:rPr>
          <w:rFonts w:ascii="Arial" w:hAnsi="Arial" w:cs="Arial"/>
        </w:rPr>
        <w:t xml:space="preserve">Proiectul: </w:t>
      </w:r>
      <w:r w:rsidRPr="00E63F17">
        <w:rPr>
          <w:rFonts w:ascii="Arial" w:hAnsi="Arial" w:cs="Arial"/>
          <w:b/>
        </w:rPr>
        <w:t>"Reabilitarea și modernizarea sistemelor de apă și ap</w:t>
      </w:r>
      <w:r>
        <w:rPr>
          <w:rFonts w:ascii="Arial" w:hAnsi="Arial" w:cs="Arial"/>
          <w:b/>
        </w:rPr>
        <w:t>ă</w:t>
      </w:r>
      <w:r w:rsidRPr="00E63F17">
        <w:rPr>
          <w:rFonts w:ascii="Arial" w:hAnsi="Arial" w:cs="Arial"/>
          <w:b/>
        </w:rPr>
        <w:t xml:space="preserve"> uzată în judetul Braila"</w:t>
      </w:r>
      <w:r>
        <w:rPr>
          <w:rFonts w:ascii="Arial" w:hAnsi="Arial" w:cs="Arial"/>
          <w:b/>
        </w:rPr>
        <w:t>.</w:t>
      </w:r>
    </w:p>
    <w:p w:rsidR="00691934" w:rsidRPr="00E63F17" w:rsidRDefault="00691934" w:rsidP="00691934">
      <w:pPr>
        <w:pStyle w:val="NormalWeb"/>
        <w:spacing w:before="0" w:beforeAutospacing="0"/>
        <w:rPr>
          <w:rFonts w:ascii="Arial" w:hAnsi="Arial" w:cs="Arial"/>
        </w:rPr>
      </w:pPr>
      <w:r w:rsidRPr="00E63F17">
        <w:rPr>
          <w:rFonts w:ascii="Arial" w:hAnsi="Arial" w:cs="Arial"/>
        </w:rPr>
        <w:t>       Beneficiarul Proiectului: S.C.Compania de Utilitați Publice Dunarea Brăila S.A.</w:t>
      </w:r>
    </w:p>
    <w:p w:rsidR="00691934" w:rsidRPr="00E63F17" w:rsidRDefault="00691934" w:rsidP="00691934">
      <w:pPr>
        <w:pStyle w:val="NormalWeb"/>
        <w:spacing w:before="0" w:beforeAutospacing="0"/>
        <w:rPr>
          <w:rFonts w:ascii="Arial" w:hAnsi="Arial" w:cs="Arial"/>
        </w:rPr>
      </w:pPr>
      <w:r w:rsidRPr="00E63F17">
        <w:rPr>
          <w:rFonts w:ascii="Arial" w:hAnsi="Arial" w:cs="Arial"/>
        </w:rPr>
        <w:t>       Durata Proiectului: 2011 - 2014              </w:t>
      </w:r>
    </w:p>
    <w:p w:rsidR="00691934" w:rsidRPr="00E63F17" w:rsidRDefault="00691934" w:rsidP="00691934">
      <w:pPr>
        <w:pStyle w:val="NormalWeb"/>
        <w:spacing w:before="0" w:beforeAutospacing="0"/>
        <w:rPr>
          <w:rFonts w:ascii="Arial" w:hAnsi="Arial" w:cs="Arial"/>
        </w:rPr>
      </w:pPr>
      <w:r w:rsidRPr="00E63F17">
        <w:rPr>
          <w:rFonts w:ascii="Arial" w:hAnsi="Arial" w:cs="Arial"/>
        </w:rPr>
        <w:t>       Valoarea totală a Proiectului (fără TVA): 408.828.226 lei</w:t>
      </w:r>
    </w:p>
    <w:p w:rsidR="00691934" w:rsidRPr="00E63F17" w:rsidRDefault="00691934" w:rsidP="00691934">
      <w:pPr>
        <w:pStyle w:val="NormalWeb"/>
        <w:spacing w:before="0" w:beforeAutospacing="0"/>
        <w:rPr>
          <w:rFonts w:ascii="Arial" w:hAnsi="Arial" w:cs="Arial"/>
        </w:rPr>
      </w:pPr>
      <w:r w:rsidRPr="00E63F17">
        <w:rPr>
          <w:rFonts w:ascii="Arial" w:hAnsi="Arial" w:cs="Arial"/>
        </w:rPr>
        <w:t>       Aria deservită de Proiect: Județul Braila</w:t>
      </w:r>
    </w:p>
    <w:p w:rsidR="00691934" w:rsidRPr="00E63F17" w:rsidRDefault="00691934" w:rsidP="00691934">
      <w:pPr>
        <w:pStyle w:val="NormalWeb"/>
        <w:spacing w:before="0" w:beforeAutospacing="0"/>
        <w:rPr>
          <w:rFonts w:ascii="Arial" w:hAnsi="Arial" w:cs="Arial"/>
        </w:rPr>
      </w:pPr>
    </w:p>
    <w:p w:rsidR="00691934" w:rsidRPr="00E63F17" w:rsidRDefault="00691934" w:rsidP="00691934">
      <w:pPr>
        <w:pStyle w:val="NormalWeb"/>
        <w:spacing w:before="0" w:beforeAutospacing="0"/>
        <w:rPr>
          <w:rFonts w:ascii="Arial" w:hAnsi="Arial" w:cs="Arial"/>
        </w:rPr>
      </w:pPr>
      <w:r w:rsidRPr="00E63F17">
        <w:rPr>
          <w:rFonts w:ascii="Arial" w:hAnsi="Arial" w:cs="Arial"/>
          <w:b/>
        </w:rPr>
        <w:t>Obiectivul general al Proiectului</w:t>
      </w:r>
      <w:r w:rsidRPr="00E63F17">
        <w:rPr>
          <w:rFonts w:ascii="Arial" w:hAnsi="Arial" w:cs="Arial"/>
        </w:rPr>
        <w:t xml:space="preserve"> este acela de a contribui la îndeplinirea obiectivelor Axei Prioritare nr.1 din POS Mediu (2007-2013), prin derularea unor investiții specifice domeniului apei potabile și apei uzate în județul Brăila, în vederea îndeplinirii obligațiilor de conformitate din POS Mediu, Tratatul de Aderare și mai ales din Directiva  Europeană 98/83/CE referitoare </w:t>
      </w:r>
      <w:r w:rsidRPr="00E63F17">
        <w:rPr>
          <w:rFonts w:ascii="Arial" w:hAnsi="Arial" w:cs="Arial"/>
        </w:rPr>
        <w:lastRenderedPageBreak/>
        <w:t>la calitatea apei potabile, transpusă în legislatia nationala prin Legea 311/2004 și Directiva 91/271/CE transpusă în legislația națională prin Hotărârea 352/2005, referitoare la tratarea apei uzate urbane.</w:t>
      </w:r>
    </w:p>
    <w:p w:rsidR="00691934" w:rsidRPr="00E63F17" w:rsidRDefault="00691934" w:rsidP="00691934">
      <w:pPr>
        <w:pStyle w:val="NormalWeb"/>
        <w:spacing w:before="0" w:beforeAutospacing="0"/>
        <w:rPr>
          <w:rFonts w:ascii="Arial" w:hAnsi="Arial" w:cs="Arial"/>
        </w:rPr>
      </w:pPr>
      <w:r w:rsidRPr="00E63F17">
        <w:rPr>
          <w:rStyle w:val="Strong"/>
          <w:rFonts w:ascii="Arial" w:hAnsi="Arial" w:cs="Arial"/>
        </w:rPr>
        <w:t>Obiectivele specifice ale acestui Proiect</w:t>
      </w:r>
      <w:r w:rsidRPr="00E63F17">
        <w:rPr>
          <w:rFonts w:ascii="Arial" w:hAnsi="Arial" w:cs="Arial"/>
        </w:rPr>
        <w:t xml:space="preserve"> sunt:</w:t>
      </w:r>
    </w:p>
    <w:p w:rsidR="00691934" w:rsidRPr="00E63F17" w:rsidRDefault="00691934" w:rsidP="005E6B2E">
      <w:pPr>
        <w:pStyle w:val="NormalWeb"/>
        <w:numPr>
          <w:ilvl w:val="0"/>
          <w:numId w:val="24"/>
        </w:numPr>
        <w:spacing w:before="0" w:beforeAutospacing="0"/>
        <w:rPr>
          <w:rFonts w:ascii="Arial" w:hAnsi="Arial" w:cs="Arial"/>
        </w:rPr>
      </w:pPr>
      <w:r w:rsidRPr="00E63F17">
        <w:rPr>
          <w:rFonts w:ascii="Arial" w:hAnsi="Arial" w:cs="Arial"/>
        </w:rPr>
        <w:t>Asigurarea serviciilor de alimentare cu ap</w:t>
      </w:r>
      <w:r>
        <w:rPr>
          <w:rFonts w:ascii="Arial" w:hAnsi="Arial" w:cs="Arial"/>
        </w:rPr>
        <w:t>ă</w:t>
      </w:r>
      <w:r w:rsidRPr="00E63F17">
        <w:rPr>
          <w:rFonts w:ascii="Arial" w:hAnsi="Arial" w:cs="Arial"/>
        </w:rPr>
        <w:t xml:space="preserve"> si canalizare adecvate, la tarife accesibile pentru populatie</w:t>
      </w:r>
    </w:p>
    <w:p w:rsidR="00691934" w:rsidRPr="00E63F17" w:rsidRDefault="00691934" w:rsidP="005E6B2E">
      <w:pPr>
        <w:pStyle w:val="NormalWeb"/>
        <w:numPr>
          <w:ilvl w:val="0"/>
          <w:numId w:val="24"/>
        </w:numPr>
        <w:spacing w:before="0" w:beforeAutospacing="0"/>
        <w:rPr>
          <w:rFonts w:ascii="Arial" w:hAnsi="Arial" w:cs="Arial"/>
        </w:rPr>
      </w:pPr>
      <w:r w:rsidRPr="00E63F17">
        <w:rPr>
          <w:rFonts w:ascii="Arial" w:hAnsi="Arial" w:cs="Arial"/>
        </w:rPr>
        <w:t>Asigurarea calității apei potabile în toate aglomerările urbane</w:t>
      </w:r>
    </w:p>
    <w:p w:rsidR="00691934" w:rsidRPr="00E63F17" w:rsidRDefault="00691934" w:rsidP="005E6B2E">
      <w:pPr>
        <w:pStyle w:val="NormalWeb"/>
        <w:numPr>
          <w:ilvl w:val="0"/>
          <w:numId w:val="24"/>
        </w:numPr>
        <w:spacing w:before="0" w:beforeAutospacing="0"/>
        <w:rPr>
          <w:rFonts w:ascii="Arial" w:hAnsi="Arial" w:cs="Arial"/>
        </w:rPr>
      </w:pPr>
      <w:r w:rsidRPr="00E63F17">
        <w:rPr>
          <w:rFonts w:ascii="Arial" w:hAnsi="Arial" w:cs="Arial"/>
        </w:rPr>
        <w:t>Îmbunătățirea calității apei râurilor în care sunt deversate apele uzate provenite din aglomerările umane</w:t>
      </w:r>
    </w:p>
    <w:p w:rsidR="00691934" w:rsidRPr="00E63F17" w:rsidRDefault="00691934" w:rsidP="005E6B2E">
      <w:pPr>
        <w:pStyle w:val="NormalWeb"/>
        <w:numPr>
          <w:ilvl w:val="0"/>
          <w:numId w:val="24"/>
        </w:numPr>
        <w:spacing w:before="0" w:beforeAutospacing="0"/>
        <w:rPr>
          <w:rFonts w:ascii="Arial" w:hAnsi="Arial" w:cs="Arial"/>
        </w:rPr>
      </w:pPr>
      <w:r w:rsidRPr="00E63F17">
        <w:rPr>
          <w:rFonts w:ascii="Arial" w:hAnsi="Arial" w:cs="Arial"/>
        </w:rPr>
        <w:t>Îmbunătățirea gestionării n</w:t>
      </w:r>
      <w:r>
        <w:rPr>
          <w:rFonts w:ascii="Arial" w:hAnsi="Arial" w:cs="Arial"/>
        </w:rPr>
        <w:t>ă</w:t>
      </w:r>
      <w:r w:rsidRPr="00E63F17">
        <w:rPr>
          <w:rFonts w:ascii="Arial" w:hAnsi="Arial" w:cs="Arial"/>
        </w:rPr>
        <w:t>molului provenit din stațiile de epurare a apelor uzate</w:t>
      </w:r>
    </w:p>
    <w:p w:rsidR="00691934" w:rsidRPr="00E63F17" w:rsidRDefault="00691934" w:rsidP="005E6B2E">
      <w:pPr>
        <w:pStyle w:val="NormalWeb"/>
        <w:numPr>
          <w:ilvl w:val="0"/>
          <w:numId w:val="24"/>
        </w:numPr>
        <w:spacing w:before="0" w:beforeAutospacing="0"/>
        <w:rPr>
          <w:rFonts w:ascii="Arial" w:hAnsi="Arial" w:cs="Arial"/>
        </w:rPr>
      </w:pPr>
      <w:r w:rsidRPr="00E63F17">
        <w:rPr>
          <w:rFonts w:ascii="Arial" w:hAnsi="Arial" w:cs="Arial"/>
        </w:rPr>
        <w:t>Crearea unor structuri eficiente de management al serviciilor de apă</w:t>
      </w:r>
      <w:r>
        <w:rPr>
          <w:rFonts w:ascii="Arial" w:hAnsi="Arial" w:cs="Arial"/>
        </w:rPr>
        <w:t xml:space="preserve"> </w:t>
      </w:r>
      <w:r w:rsidRPr="00E63F17">
        <w:rPr>
          <w:rFonts w:ascii="Arial" w:hAnsi="Arial" w:cs="Arial"/>
        </w:rPr>
        <w:t>- apă uzată.</w:t>
      </w:r>
    </w:p>
    <w:p w:rsidR="00691934" w:rsidRPr="00E63F17" w:rsidRDefault="00691934" w:rsidP="00691934">
      <w:pPr>
        <w:pStyle w:val="NormalWeb"/>
        <w:spacing w:before="0" w:beforeAutospacing="0"/>
        <w:rPr>
          <w:rFonts w:ascii="Arial" w:hAnsi="Arial" w:cs="Arial"/>
        </w:rPr>
      </w:pPr>
      <w:r w:rsidRPr="00E63F17">
        <w:rPr>
          <w:rFonts w:ascii="Arial" w:hAnsi="Arial" w:cs="Arial"/>
          <w:b/>
        </w:rPr>
        <w:t>Proiectul constă în</w:t>
      </w:r>
      <w:r w:rsidRPr="00E63F17">
        <w:rPr>
          <w:rFonts w:ascii="Arial" w:hAnsi="Arial" w:cs="Arial"/>
        </w:rPr>
        <w:t xml:space="preserve"> măsuri de extindere și reabilitare a </w:t>
      </w:r>
      <w:r w:rsidRPr="00994067">
        <w:rPr>
          <w:rFonts w:ascii="Arial" w:hAnsi="Arial" w:cs="Arial"/>
        </w:rPr>
        <w:t>surselor</w:t>
      </w:r>
      <w:r w:rsidRPr="00E63F17">
        <w:rPr>
          <w:rFonts w:ascii="Arial" w:hAnsi="Arial" w:cs="Arial"/>
        </w:rPr>
        <w:t xml:space="preserve"> de apă, a conductelor de transport și stațiilor de tratare a apei, extinderea și reabilitarea rezervoarelor de apă,</w:t>
      </w:r>
      <w:r>
        <w:rPr>
          <w:rFonts w:ascii="Arial" w:hAnsi="Arial" w:cs="Arial"/>
        </w:rPr>
        <w:t xml:space="preserve"> </w:t>
      </w:r>
      <w:r w:rsidRPr="00E63F17">
        <w:rPr>
          <w:rFonts w:ascii="Arial" w:hAnsi="Arial" w:cs="Arial"/>
        </w:rPr>
        <w:t>a stațiilor de pompare,</w:t>
      </w:r>
      <w:r w:rsidRPr="00994067">
        <w:rPr>
          <w:rFonts w:ascii="Arial" w:hAnsi="Arial" w:cs="Arial"/>
        </w:rPr>
        <w:t xml:space="preserve"> retelelor</w:t>
      </w:r>
      <w:r w:rsidRPr="00E63F17">
        <w:rPr>
          <w:rFonts w:ascii="Arial" w:hAnsi="Arial" w:cs="Arial"/>
        </w:rPr>
        <w:t xml:space="preserve"> de distribuție și contoare de apă, precum și extinderea și reabilitarea sistemelor de colectare a apei uzate și reabilitarea a doua stații de epurare pentru 22.500 </w:t>
      </w:r>
      <w:r>
        <w:rPr>
          <w:rFonts w:ascii="Arial" w:hAnsi="Arial" w:cs="Arial"/>
        </w:rPr>
        <w:t>ș</w:t>
      </w:r>
      <w:r w:rsidRPr="00E63F17">
        <w:rPr>
          <w:rFonts w:ascii="Arial" w:hAnsi="Arial" w:cs="Arial"/>
        </w:rPr>
        <w:t>i respectiv 20.000 locuitori populație echivalentă.</w:t>
      </w:r>
    </w:p>
    <w:p w:rsidR="00691934" w:rsidRPr="00E63F17" w:rsidRDefault="00691934" w:rsidP="00691934">
      <w:pPr>
        <w:pStyle w:val="NormalWeb"/>
        <w:spacing w:before="0" w:beforeAutospacing="0"/>
        <w:rPr>
          <w:rFonts w:ascii="Arial" w:hAnsi="Arial" w:cs="Arial"/>
        </w:rPr>
      </w:pPr>
      <w:r w:rsidRPr="00E63F17">
        <w:rPr>
          <w:rFonts w:ascii="Arial" w:hAnsi="Arial" w:cs="Arial"/>
        </w:rPr>
        <w:t>Prin Proiect 17.138 locuitori din judetul Brăila vor fi conectatați suplimentar la rețeaua de apă potabilă in cele 5 sisteme zonale de apă, astfel 99% din populația din aria Proiectului având acces la surse de apă în condiții de siguranță.</w:t>
      </w:r>
    </w:p>
    <w:p w:rsidR="00691934" w:rsidRPr="00E63F17" w:rsidRDefault="00691934" w:rsidP="00691934">
      <w:pPr>
        <w:pStyle w:val="NormalWeb"/>
        <w:spacing w:before="0" w:beforeAutospacing="0"/>
        <w:rPr>
          <w:rFonts w:ascii="Arial" w:hAnsi="Arial" w:cs="Arial"/>
        </w:rPr>
      </w:pPr>
      <w:r w:rsidRPr="00E63F17">
        <w:rPr>
          <w:rFonts w:ascii="Arial" w:hAnsi="Arial" w:cs="Arial"/>
        </w:rPr>
        <w:t>Rata de conectare la sistemul de canalizare va atinge o medie de 99%, un num</w:t>
      </w:r>
      <w:r>
        <w:rPr>
          <w:rFonts w:ascii="Arial" w:hAnsi="Arial" w:cs="Arial"/>
        </w:rPr>
        <w:t>ă</w:t>
      </w:r>
      <w:r w:rsidRPr="00E63F17">
        <w:rPr>
          <w:rFonts w:ascii="Arial" w:hAnsi="Arial" w:cs="Arial"/>
        </w:rPr>
        <w:t>r de 55.651 locuitori conectându-se suplimentar la sistemul de ap</w:t>
      </w:r>
      <w:r>
        <w:rPr>
          <w:rFonts w:ascii="Arial" w:hAnsi="Arial" w:cs="Arial"/>
        </w:rPr>
        <w:t>ă</w:t>
      </w:r>
      <w:r w:rsidRPr="00E63F17">
        <w:rPr>
          <w:rFonts w:ascii="Arial" w:hAnsi="Arial" w:cs="Arial"/>
        </w:rPr>
        <w:t xml:space="preserve"> uzată, </w:t>
      </w:r>
      <w:r>
        <w:rPr>
          <w:rFonts w:ascii="Arial" w:hAnsi="Arial" w:cs="Arial"/>
        </w:rPr>
        <w:t>î</w:t>
      </w:r>
      <w:r w:rsidRPr="00E63F17">
        <w:rPr>
          <w:rFonts w:ascii="Arial" w:hAnsi="Arial" w:cs="Arial"/>
        </w:rPr>
        <w:t>n cele 6 aglomer</w:t>
      </w:r>
      <w:r>
        <w:rPr>
          <w:rFonts w:ascii="Arial" w:hAnsi="Arial" w:cs="Arial"/>
        </w:rPr>
        <w:t>ă</w:t>
      </w:r>
      <w:r w:rsidRPr="00E63F17">
        <w:rPr>
          <w:rFonts w:ascii="Arial" w:hAnsi="Arial" w:cs="Arial"/>
        </w:rPr>
        <w:t>ri.</w:t>
      </w:r>
    </w:p>
    <w:p w:rsidR="00691934" w:rsidRPr="00E63F17" w:rsidRDefault="00691934" w:rsidP="00691934">
      <w:pPr>
        <w:jc w:val="both"/>
        <w:rPr>
          <w:rFonts w:ascii="Arial" w:hAnsi="Arial" w:cs="Arial"/>
          <w:b/>
          <w:bCs/>
          <w:u w:val="single"/>
        </w:rPr>
      </w:pPr>
    </w:p>
    <w:p w:rsidR="00691934" w:rsidRPr="00F13F48" w:rsidRDefault="00691934" w:rsidP="00691934">
      <w:pPr>
        <w:jc w:val="both"/>
        <w:rPr>
          <w:rFonts w:ascii="Arial" w:hAnsi="Arial" w:cs="Arial"/>
          <w:b/>
          <w:bCs/>
          <w:u w:val="single"/>
        </w:rPr>
      </w:pPr>
      <w:r w:rsidRPr="00F13F48">
        <w:rPr>
          <w:rFonts w:ascii="Arial" w:hAnsi="Arial" w:cs="Arial"/>
          <w:b/>
          <w:bCs/>
          <w:u w:val="single"/>
        </w:rPr>
        <w:t>II.2. Calitatea apei</w:t>
      </w:r>
    </w:p>
    <w:p w:rsidR="00691934" w:rsidRPr="00F13F48" w:rsidRDefault="00691934" w:rsidP="00691934">
      <w:pPr>
        <w:pStyle w:val="Default"/>
        <w:jc w:val="both"/>
        <w:rPr>
          <w:rFonts w:ascii="Arial" w:hAnsi="Arial" w:cs="Arial"/>
          <w:color w:val="auto"/>
          <w:u w:val="single"/>
        </w:rPr>
      </w:pPr>
      <w:r w:rsidRPr="00F13F48">
        <w:rPr>
          <w:rFonts w:ascii="Arial" w:hAnsi="Arial" w:cs="Arial"/>
          <w:b/>
          <w:bCs/>
          <w:color w:val="auto"/>
          <w:u w:val="single"/>
        </w:rPr>
        <w:t xml:space="preserve">II.2.1. </w:t>
      </w:r>
      <w:r w:rsidRPr="00F13F48">
        <w:rPr>
          <w:rFonts w:ascii="Arial" w:hAnsi="Arial" w:cs="Arial"/>
          <w:b/>
          <w:bCs/>
          <w:i/>
          <w:iCs/>
          <w:color w:val="auto"/>
          <w:u w:val="single"/>
        </w:rPr>
        <w:t xml:space="preserve">Calitatea apei: stare şi consecinţe </w:t>
      </w:r>
    </w:p>
    <w:p w:rsidR="00691934" w:rsidRPr="00E63F17" w:rsidRDefault="00691934" w:rsidP="00691934">
      <w:pPr>
        <w:pStyle w:val="Default"/>
        <w:jc w:val="both"/>
        <w:rPr>
          <w:rFonts w:ascii="Arial" w:hAnsi="Arial" w:cs="Arial"/>
          <w:color w:val="auto"/>
        </w:rPr>
      </w:pPr>
      <w:r w:rsidRPr="00E63F17">
        <w:rPr>
          <w:rFonts w:ascii="Arial" w:hAnsi="Arial" w:cs="Arial"/>
          <w:color w:val="auto"/>
        </w:rPr>
        <w:t xml:space="preserve">Stabilirea stării ecologice a corpurilor de apă (apă de suprafaţă, apă subterană şi apă de îmbăiere) se realizează pe baza următorilor </w:t>
      </w:r>
      <w:r w:rsidRPr="00E63F17">
        <w:rPr>
          <w:rFonts w:ascii="Arial" w:hAnsi="Arial" w:cs="Arial"/>
          <w:i/>
          <w:iCs/>
          <w:color w:val="auto"/>
        </w:rPr>
        <w:t xml:space="preserve">indicatori specifici </w:t>
      </w:r>
      <w:r w:rsidRPr="00E63F17">
        <w:rPr>
          <w:rFonts w:ascii="Arial" w:hAnsi="Arial" w:cs="Arial"/>
          <w:color w:val="auto"/>
        </w:rPr>
        <w:t xml:space="preserve">ai Agenţiei Europene de Mediu: </w:t>
      </w:r>
    </w:p>
    <w:p w:rsidR="00691934" w:rsidRPr="00E63F17" w:rsidRDefault="00691934" w:rsidP="00691934">
      <w:pPr>
        <w:pStyle w:val="Default"/>
        <w:ind w:firstLine="720"/>
        <w:rPr>
          <w:rFonts w:ascii="Arial" w:hAnsi="Arial" w:cs="Arial"/>
          <w:color w:val="auto"/>
        </w:rPr>
      </w:pPr>
    </w:p>
    <w:tbl>
      <w:tblPr>
        <w:tblW w:w="0" w:type="auto"/>
        <w:jc w:val="center"/>
        <w:tblInd w:w="-140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141"/>
        <w:gridCol w:w="4678"/>
        <w:gridCol w:w="1510"/>
        <w:gridCol w:w="1444"/>
      </w:tblGrid>
      <w:tr w:rsidR="00691934" w:rsidRPr="00E63F17" w:rsidTr="00012F90">
        <w:trPr>
          <w:trHeight w:val="361"/>
          <w:jc w:val="center"/>
        </w:trPr>
        <w:tc>
          <w:tcPr>
            <w:tcW w:w="1141" w:type="dxa"/>
            <w:shd w:val="clear" w:color="auto" w:fill="FBD4B4" w:themeFill="accent6" w:themeFillTint="66"/>
          </w:tcPr>
          <w:p w:rsidR="00691934" w:rsidRPr="00E63F17" w:rsidRDefault="00691934" w:rsidP="00012F90">
            <w:pPr>
              <w:pStyle w:val="Default"/>
              <w:rPr>
                <w:rFonts w:ascii="Arial" w:hAnsi="Arial" w:cs="Arial"/>
                <w:color w:val="auto"/>
              </w:rPr>
            </w:pPr>
            <w:r w:rsidRPr="00E63F17">
              <w:rPr>
                <w:rFonts w:ascii="Arial" w:hAnsi="Arial" w:cs="Arial"/>
                <w:b/>
                <w:bCs/>
                <w:i/>
                <w:iCs/>
                <w:color w:val="auto"/>
              </w:rPr>
              <w:t xml:space="preserve">Cod </w:t>
            </w:r>
          </w:p>
        </w:tc>
        <w:tc>
          <w:tcPr>
            <w:tcW w:w="4678" w:type="dxa"/>
            <w:shd w:val="clear" w:color="auto" w:fill="FBD4B4" w:themeFill="accent6" w:themeFillTint="66"/>
          </w:tcPr>
          <w:p w:rsidR="00691934" w:rsidRPr="00E63F17" w:rsidRDefault="00691934" w:rsidP="00012F90">
            <w:pPr>
              <w:pStyle w:val="Default"/>
              <w:rPr>
                <w:rFonts w:ascii="Arial" w:hAnsi="Arial" w:cs="Arial"/>
                <w:color w:val="auto"/>
              </w:rPr>
            </w:pPr>
            <w:r w:rsidRPr="00E63F17">
              <w:rPr>
                <w:rFonts w:ascii="Arial" w:hAnsi="Arial" w:cs="Arial"/>
                <w:b/>
                <w:bCs/>
                <w:i/>
                <w:iCs/>
                <w:color w:val="auto"/>
              </w:rPr>
              <w:t xml:space="preserve">Denumire </w:t>
            </w:r>
          </w:p>
        </w:tc>
        <w:tc>
          <w:tcPr>
            <w:tcW w:w="1397" w:type="dxa"/>
            <w:shd w:val="clear" w:color="auto" w:fill="FBD4B4" w:themeFill="accent6" w:themeFillTint="66"/>
          </w:tcPr>
          <w:p w:rsidR="00691934" w:rsidRPr="00E63F17" w:rsidRDefault="00691934" w:rsidP="00012F90">
            <w:pPr>
              <w:pStyle w:val="Default"/>
              <w:rPr>
                <w:rFonts w:ascii="Arial" w:hAnsi="Arial" w:cs="Arial"/>
                <w:color w:val="auto"/>
              </w:rPr>
            </w:pPr>
            <w:r w:rsidRPr="00E63F17">
              <w:rPr>
                <w:rFonts w:ascii="Arial" w:hAnsi="Arial" w:cs="Arial"/>
                <w:b/>
                <w:bCs/>
                <w:color w:val="auto"/>
              </w:rPr>
              <w:t xml:space="preserve">Tip </w:t>
            </w:r>
          </w:p>
        </w:tc>
        <w:tc>
          <w:tcPr>
            <w:tcW w:w="1444" w:type="dxa"/>
            <w:shd w:val="clear" w:color="auto" w:fill="FBD4B4" w:themeFill="accent6" w:themeFillTint="66"/>
          </w:tcPr>
          <w:p w:rsidR="00691934" w:rsidRPr="00E63F17" w:rsidRDefault="00691934" w:rsidP="00012F90">
            <w:pPr>
              <w:pStyle w:val="Default"/>
              <w:rPr>
                <w:rFonts w:ascii="Arial" w:hAnsi="Arial" w:cs="Arial"/>
                <w:color w:val="auto"/>
              </w:rPr>
            </w:pPr>
            <w:r w:rsidRPr="00E63F17">
              <w:rPr>
                <w:rFonts w:ascii="Arial" w:hAnsi="Arial" w:cs="Arial"/>
                <w:b/>
                <w:bCs/>
                <w:color w:val="auto"/>
              </w:rPr>
              <w:t xml:space="preserve">Categorie </w:t>
            </w:r>
          </w:p>
        </w:tc>
      </w:tr>
      <w:tr w:rsidR="00691934" w:rsidRPr="00E63F17" w:rsidTr="00012F90">
        <w:trPr>
          <w:trHeight w:val="361"/>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WEC 04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Scheme de clasificare a cursurilor de apă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descriptiv </w:t>
            </w:r>
          </w:p>
        </w:tc>
        <w:tc>
          <w:tcPr>
            <w:tcW w:w="1444"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impact </w:t>
            </w:r>
          </w:p>
        </w:tc>
      </w:tr>
      <w:tr w:rsidR="00691934" w:rsidRPr="00E63F17" w:rsidTr="00012F90">
        <w:trPr>
          <w:trHeight w:val="478"/>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p>
          <w:p w:rsidR="00691934" w:rsidRPr="00E63F17" w:rsidRDefault="00691934" w:rsidP="00012F90">
            <w:pPr>
              <w:pStyle w:val="Default"/>
              <w:rPr>
                <w:rFonts w:ascii="Arial" w:hAnsi="Arial" w:cs="Arial"/>
                <w:color w:val="auto"/>
              </w:rPr>
            </w:pPr>
            <w:r w:rsidRPr="00E63F17">
              <w:rPr>
                <w:rFonts w:ascii="Arial" w:hAnsi="Arial" w:cs="Arial"/>
                <w:color w:val="auto"/>
              </w:rPr>
              <w:t xml:space="preserve">CSI 19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Substanţele consumatoare de oxigen din cursurile de apă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descriptiv </w:t>
            </w:r>
          </w:p>
        </w:tc>
        <w:tc>
          <w:tcPr>
            <w:tcW w:w="1444"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stare </w:t>
            </w:r>
          </w:p>
        </w:tc>
      </w:tr>
      <w:tr w:rsidR="00691934" w:rsidRPr="00E63F17" w:rsidTr="00012F90">
        <w:trPr>
          <w:trHeight w:val="361"/>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CSI 20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Nutrienţii din apa dulce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descriptiv </w:t>
            </w:r>
          </w:p>
        </w:tc>
        <w:tc>
          <w:tcPr>
            <w:tcW w:w="1444"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stare </w:t>
            </w:r>
          </w:p>
        </w:tc>
      </w:tr>
      <w:tr w:rsidR="00691934" w:rsidRPr="00E63F17" w:rsidTr="00012F90">
        <w:trPr>
          <w:trHeight w:val="361"/>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WHS 02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Substanţele periculoase din cursurile de apă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descriptiv </w:t>
            </w:r>
          </w:p>
        </w:tc>
        <w:tc>
          <w:tcPr>
            <w:tcW w:w="1444"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stare </w:t>
            </w:r>
          </w:p>
        </w:tc>
      </w:tr>
      <w:tr w:rsidR="00691934" w:rsidRPr="00E63F17" w:rsidTr="00012F90">
        <w:trPr>
          <w:trHeight w:val="361"/>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WHS 03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Substanţele periculoase din lacuri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descriptiv </w:t>
            </w:r>
          </w:p>
        </w:tc>
        <w:tc>
          <w:tcPr>
            <w:tcW w:w="1444"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stare </w:t>
            </w:r>
          </w:p>
        </w:tc>
      </w:tr>
      <w:tr w:rsidR="00691934" w:rsidRPr="00E63F17" w:rsidTr="00012F90">
        <w:trPr>
          <w:trHeight w:val="361"/>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WHS 01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Pesticidele din apele subterane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descriptiv </w:t>
            </w:r>
          </w:p>
        </w:tc>
        <w:tc>
          <w:tcPr>
            <w:tcW w:w="1444"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stare </w:t>
            </w:r>
          </w:p>
        </w:tc>
      </w:tr>
      <w:tr w:rsidR="00691934" w:rsidRPr="00F13F48" w:rsidTr="00012F90">
        <w:trPr>
          <w:trHeight w:val="370"/>
          <w:jc w:val="center"/>
        </w:trPr>
        <w:tc>
          <w:tcPr>
            <w:tcW w:w="1141"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CSI 22 </w:t>
            </w:r>
          </w:p>
        </w:tc>
        <w:tc>
          <w:tcPr>
            <w:tcW w:w="4678"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Calitatea apelor de îmbăiere </w:t>
            </w:r>
          </w:p>
        </w:tc>
        <w:tc>
          <w:tcPr>
            <w:tcW w:w="1397" w:type="dxa"/>
            <w:shd w:val="clear" w:color="auto" w:fill="FDE9D9" w:themeFill="accent6" w:themeFillTint="33"/>
          </w:tcPr>
          <w:p w:rsidR="00691934" w:rsidRPr="00E63F17" w:rsidRDefault="00691934" w:rsidP="00012F90">
            <w:pPr>
              <w:pStyle w:val="Default"/>
              <w:rPr>
                <w:rFonts w:ascii="Arial" w:hAnsi="Arial" w:cs="Arial"/>
                <w:color w:val="auto"/>
              </w:rPr>
            </w:pPr>
            <w:r w:rsidRPr="00E63F17">
              <w:rPr>
                <w:rFonts w:ascii="Arial" w:hAnsi="Arial" w:cs="Arial"/>
                <w:color w:val="auto"/>
              </w:rPr>
              <w:t xml:space="preserve">Indicator de performanţă </w:t>
            </w:r>
          </w:p>
        </w:tc>
        <w:tc>
          <w:tcPr>
            <w:tcW w:w="1444" w:type="dxa"/>
            <w:shd w:val="clear" w:color="auto" w:fill="FDE9D9" w:themeFill="accent6" w:themeFillTint="33"/>
          </w:tcPr>
          <w:p w:rsidR="00691934" w:rsidRPr="00F13F48" w:rsidRDefault="00691934" w:rsidP="00012F90">
            <w:pPr>
              <w:pStyle w:val="Default"/>
              <w:rPr>
                <w:rFonts w:ascii="Arial" w:hAnsi="Arial" w:cs="Arial"/>
                <w:color w:val="auto"/>
              </w:rPr>
            </w:pPr>
            <w:r w:rsidRPr="00E63F17">
              <w:rPr>
                <w:rFonts w:ascii="Arial" w:hAnsi="Arial" w:cs="Arial"/>
                <w:color w:val="auto"/>
              </w:rPr>
              <w:t>Indicator de stare</w:t>
            </w:r>
            <w:r w:rsidRPr="00F13F48">
              <w:rPr>
                <w:rFonts w:ascii="Arial" w:hAnsi="Arial" w:cs="Arial"/>
                <w:color w:val="auto"/>
              </w:rPr>
              <w:t xml:space="preserve"> </w:t>
            </w:r>
          </w:p>
        </w:tc>
      </w:tr>
    </w:tbl>
    <w:p w:rsidR="00691934" w:rsidRPr="00F13F48" w:rsidRDefault="00691934" w:rsidP="00691934">
      <w:pPr>
        <w:autoSpaceDE w:val="0"/>
        <w:autoSpaceDN w:val="0"/>
        <w:adjustRightInd w:val="0"/>
        <w:ind w:firstLine="720"/>
        <w:jc w:val="both"/>
        <w:rPr>
          <w:rFonts w:ascii="Arial" w:hAnsi="Arial" w:cs="Arial"/>
          <w:b/>
          <w:bCs/>
        </w:rPr>
      </w:pPr>
    </w:p>
    <w:p w:rsidR="00691934" w:rsidRDefault="00691934" w:rsidP="00691934">
      <w:pPr>
        <w:pStyle w:val="Default"/>
        <w:rPr>
          <w:rFonts w:ascii="Arial" w:hAnsi="Arial" w:cs="Arial"/>
          <w:b/>
          <w:bCs/>
          <w:color w:val="auto"/>
        </w:rPr>
      </w:pPr>
    </w:p>
    <w:p w:rsidR="00691934"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II.2.1.1. Calitatea apei cursurilor de apă </w:t>
      </w:r>
    </w:p>
    <w:p w:rsidR="00691934" w:rsidRPr="00F13F48" w:rsidRDefault="00691934" w:rsidP="00691934">
      <w:pPr>
        <w:pStyle w:val="Default"/>
        <w:jc w:val="both"/>
        <w:rPr>
          <w:rFonts w:ascii="Arial" w:hAnsi="Arial" w:cs="Arial"/>
          <w:color w:val="auto"/>
        </w:rPr>
      </w:pPr>
      <w:r w:rsidRPr="00F13F48">
        <w:rPr>
          <w:rFonts w:ascii="Arial" w:hAnsi="Arial" w:cs="Arial"/>
          <w:color w:val="auto"/>
        </w:rPr>
        <w:t xml:space="preserve">În România, schema de clasificare a cursurilor de apă este de tip combinat şi se bazează pe elementele de calitate biologică, chimică şi fizico-chimică stipulate de O.M. nr. 161/2006 pentru aprobarea Normativului privind clasificarea calităţii apelor de suprafaţă în vederea stabilirii stării ecologice a corpurilor de apă. </w:t>
      </w:r>
    </w:p>
    <w:p w:rsidR="00691934" w:rsidRPr="00F13F48" w:rsidRDefault="00691934" w:rsidP="00691934">
      <w:pPr>
        <w:tabs>
          <w:tab w:val="left" w:pos="1178"/>
        </w:tabs>
        <w:autoSpaceDE w:val="0"/>
        <w:autoSpaceDN w:val="0"/>
        <w:adjustRightInd w:val="0"/>
        <w:ind w:firstLine="720"/>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099"/>
        <w:gridCol w:w="1871"/>
        <w:gridCol w:w="1631"/>
      </w:tblGrid>
      <w:tr w:rsidR="00691934" w:rsidRPr="00F13F48" w:rsidTr="00012F90">
        <w:trPr>
          <w:trHeight w:val="382"/>
          <w:jc w:val="center"/>
        </w:trPr>
        <w:tc>
          <w:tcPr>
            <w:tcW w:w="2099"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Clasa de calitate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Stare ecologică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Cod de culori </w:t>
            </w:r>
          </w:p>
        </w:tc>
      </w:tr>
      <w:tr w:rsidR="00691934" w:rsidRPr="00F13F48" w:rsidTr="00012F90">
        <w:trPr>
          <w:trHeight w:val="254"/>
          <w:jc w:val="center"/>
        </w:trPr>
        <w:tc>
          <w:tcPr>
            <w:tcW w:w="209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I</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Foarte bună </w:t>
            </w:r>
          </w:p>
        </w:tc>
        <w:tc>
          <w:tcPr>
            <w:tcW w:w="0" w:type="auto"/>
            <w:shd w:val="clear" w:color="auto" w:fill="0070C0"/>
          </w:tcPr>
          <w:p w:rsidR="00691934" w:rsidRPr="00F13F48" w:rsidRDefault="00691934" w:rsidP="00012F90">
            <w:pPr>
              <w:pStyle w:val="Default"/>
              <w:rPr>
                <w:rFonts w:ascii="Arial" w:hAnsi="Arial" w:cs="Arial"/>
                <w:color w:val="auto"/>
              </w:rPr>
            </w:pPr>
          </w:p>
        </w:tc>
      </w:tr>
      <w:tr w:rsidR="00691934" w:rsidRPr="00F13F48" w:rsidTr="00012F90">
        <w:trPr>
          <w:trHeight w:val="304"/>
          <w:jc w:val="center"/>
        </w:trPr>
        <w:tc>
          <w:tcPr>
            <w:tcW w:w="209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II</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Bună </w:t>
            </w:r>
          </w:p>
        </w:tc>
        <w:tc>
          <w:tcPr>
            <w:tcW w:w="0" w:type="auto"/>
            <w:shd w:val="clear" w:color="auto" w:fill="00B050"/>
          </w:tcPr>
          <w:p w:rsidR="00691934" w:rsidRPr="00F13F48" w:rsidRDefault="00691934" w:rsidP="00012F90">
            <w:pPr>
              <w:pStyle w:val="Default"/>
              <w:rPr>
                <w:rFonts w:ascii="Arial" w:hAnsi="Arial" w:cs="Arial"/>
                <w:color w:val="auto"/>
              </w:rPr>
            </w:pPr>
          </w:p>
        </w:tc>
      </w:tr>
      <w:tr w:rsidR="00691934" w:rsidRPr="00F13F48" w:rsidTr="00012F90">
        <w:trPr>
          <w:trHeight w:val="305"/>
          <w:jc w:val="center"/>
        </w:trPr>
        <w:tc>
          <w:tcPr>
            <w:tcW w:w="209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III</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Moderată </w:t>
            </w:r>
          </w:p>
        </w:tc>
        <w:tc>
          <w:tcPr>
            <w:tcW w:w="0" w:type="auto"/>
            <w:shd w:val="clear" w:color="auto" w:fill="FFFF00"/>
          </w:tcPr>
          <w:p w:rsidR="00691934" w:rsidRPr="00F13F48" w:rsidRDefault="00691934" w:rsidP="00012F90">
            <w:pPr>
              <w:pStyle w:val="Default"/>
              <w:rPr>
                <w:rFonts w:ascii="Arial" w:hAnsi="Arial" w:cs="Arial"/>
                <w:color w:val="auto"/>
              </w:rPr>
            </w:pPr>
          </w:p>
        </w:tc>
      </w:tr>
      <w:tr w:rsidR="00691934" w:rsidRPr="00F13F48" w:rsidTr="00012F90">
        <w:trPr>
          <w:trHeight w:val="303"/>
          <w:jc w:val="center"/>
        </w:trPr>
        <w:tc>
          <w:tcPr>
            <w:tcW w:w="209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IV</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Slabă </w:t>
            </w:r>
          </w:p>
        </w:tc>
        <w:tc>
          <w:tcPr>
            <w:tcW w:w="0" w:type="auto"/>
            <w:shd w:val="clear" w:color="auto" w:fill="FFC000"/>
          </w:tcPr>
          <w:p w:rsidR="00691934" w:rsidRPr="00F13F48" w:rsidRDefault="00691934" w:rsidP="00012F90">
            <w:pPr>
              <w:pStyle w:val="Default"/>
              <w:rPr>
                <w:rFonts w:ascii="Arial" w:hAnsi="Arial" w:cs="Arial"/>
                <w:color w:val="auto"/>
              </w:rPr>
            </w:pPr>
          </w:p>
        </w:tc>
      </w:tr>
      <w:tr w:rsidR="00691934" w:rsidRPr="00F13F48" w:rsidTr="00012F90">
        <w:trPr>
          <w:trHeight w:val="315"/>
          <w:jc w:val="center"/>
        </w:trPr>
        <w:tc>
          <w:tcPr>
            <w:tcW w:w="209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V</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Proastă </w:t>
            </w:r>
          </w:p>
        </w:tc>
        <w:tc>
          <w:tcPr>
            <w:tcW w:w="0" w:type="auto"/>
            <w:shd w:val="clear" w:color="auto" w:fill="FF0000"/>
          </w:tcPr>
          <w:p w:rsidR="00691934" w:rsidRPr="00F13F48" w:rsidRDefault="00691934" w:rsidP="00012F90">
            <w:pPr>
              <w:pStyle w:val="Default"/>
              <w:rPr>
                <w:rFonts w:ascii="Arial" w:hAnsi="Arial" w:cs="Arial"/>
                <w:color w:val="auto"/>
              </w:rPr>
            </w:pPr>
          </w:p>
        </w:tc>
      </w:tr>
    </w:tbl>
    <w:p w:rsidR="00691934"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Tabel nr. II.2.1.1</w:t>
      </w:r>
      <w:r>
        <w:rPr>
          <w:rFonts w:ascii="Arial" w:hAnsi="Arial" w:cs="Arial"/>
          <w:b/>
          <w:bCs/>
          <w:color w:val="auto"/>
        </w:rPr>
        <w:t xml:space="preserve"> - 1</w:t>
      </w:r>
      <w:r w:rsidRPr="00F13F48">
        <w:rPr>
          <w:rFonts w:ascii="Arial" w:hAnsi="Arial" w:cs="Arial"/>
          <w:color w:val="auto"/>
        </w:rPr>
        <w:t xml:space="preserve"> Ponderea cursurilor de apă monitorizate şi a celor cu stare ecologică inferioară stării bune</w:t>
      </w:r>
      <w:r w:rsidRPr="00F13F48">
        <w:rPr>
          <w:rFonts w:ascii="Arial" w:hAnsi="Arial" w:cs="Arial"/>
          <w:i/>
          <w:iCs/>
          <w:color w:val="auto"/>
        </w:rPr>
        <w:t xml:space="preserve"> </w:t>
      </w:r>
      <w:r w:rsidRPr="00F13F48">
        <w:rPr>
          <w:rFonts w:ascii="Arial" w:hAnsi="Arial" w:cs="Arial"/>
          <w:color w:val="auto"/>
        </w:rPr>
        <w:t>la nivelul județului Brăila în anul 2014</w:t>
      </w:r>
    </w:p>
    <w:p w:rsidR="00691934" w:rsidRPr="00F13F48" w:rsidRDefault="00691934" w:rsidP="00691934">
      <w:pPr>
        <w:autoSpaceDE w:val="0"/>
        <w:autoSpaceDN w:val="0"/>
        <w:adjustRightInd w:val="0"/>
        <w:ind w:firstLine="720"/>
        <w:jc w:val="both"/>
        <w:rPr>
          <w:rFonts w:ascii="Arial" w:hAnsi="Arial" w:cs="Arial"/>
          <w:b/>
          <w:bCs/>
        </w:rPr>
      </w:pPr>
    </w:p>
    <w:tbl>
      <w:tblPr>
        <w:tblW w:w="0" w:type="auto"/>
        <w:jc w:val="center"/>
        <w:tblInd w:w="-1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126"/>
        <w:gridCol w:w="888"/>
        <w:gridCol w:w="1216"/>
        <w:gridCol w:w="1177"/>
        <w:gridCol w:w="1216"/>
        <w:gridCol w:w="1643"/>
        <w:gridCol w:w="1276"/>
      </w:tblGrid>
      <w:tr w:rsidR="00691934" w:rsidRPr="006F32BD" w:rsidTr="00012F90">
        <w:trPr>
          <w:trHeight w:val="252"/>
          <w:jc w:val="center"/>
        </w:trPr>
        <w:tc>
          <w:tcPr>
            <w:tcW w:w="2126" w:type="dxa"/>
            <w:vMerge w:val="restart"/>
            <w:shd w:val="clear" w:color="auto" w:fill="FBD4B4" w:themeFill="accent6" w:themeFillTint="66"/>
            <w:vAlign w:val="center"/>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Categorie curs de apă</w:t>
            </w:r>
          </w:p>
        </w:tc>
        <w:tc>
          <w:tcPr>
            <w:tcW w:w="888" w:type="dxa"/>
            <w:vMerge w:val="restart"/>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Reţea totală (km)</w:t>
            </w:r>
          </w:p>
        </w:tc>
        <w:tc>
          <w:tcPr>
            <w:tcW w:w="2106" w:type="dxa"/>
            <w:gridSpan w:val="2"/>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Rețea monitorizată</w:t>
            </w:r>
          </w:p>
        </w:tc>
        <w:tc>
          <w:tcPr>
            <w:tcW w:w="3335" w:type="dxa"/>
            <w:gridSpan w:val="3"/>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SE* inferioară stării bune</w:t>
            </w:r>
          </w:p>
        </w:tc>
      </w:tr>
      <w:tr w:rsidR="00691934" w:rsidRPr="006F32BD" w:rsidTr="00012F90">
        <w:trPr>
          <w:trHeight w:val="766"/>
          <w:jc w:val="center"/>
        </w:trPr>
        <w:tc>
          <w:tcPr>
            <w:tcW w:w="2126" w:type="dxa"/>
            <w:vMerge/>
            <w:shd w:val="clear" w:color="auto" w:fill="FBD4B4" w:themeFill="accent6" w:themeFillTint="66"/>
          </w:tcPr>
          <w:p w:rsidR="00691934" w:rsidRPr="006F32BD" w:rsidRDefault="00691934" w:rsidP="00012F90">
            <w:pPr>
              <w:pStyle w:val="Default"/>
              <w:jc w:val="center"/>
              <w:rPr>
                <w:rFonts w:ascii="Arial" w:hAnsi="Arial" w:cs="Arial"/>
                <w:color w:val="auto"/>
              </w:rPr>
            </w:pPr>
          </w:p>
        </w:tc>
        <w:tc>
          <w:tcPr>
            <w:tcW w:w="888" w:type="dxa"/>
            <w:vMerge/>
            <w:shd w:val="clear" w:color="auto" w:fill="FBD4B4" w:themeFill="accent6" w:themeFillTint="66"/>
          </w:tcPr>
          <w:p w:rsidR="00691934" w:rsidRPr="006F32BD" w:rsidRDefault="00691934" w:rsidP="00012F90">
            <w:pPr>
              <w:pStyle w:val="Default"/>
              <w:jc w:val="center"/>
              <w:rPr>
                <w:rFonts w:ascii="Arial" w:hAnsi="Arial" w:cs="Arial"/>
                <w:color w:val="auto"/>
              </w:rPr>
            </w:pPr>
          </w:p>
        </w:tc>
        <w:tc>
          <w:tcPr>
            <w:tcW w:w="1166" w:type="dxa"/>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Lungime (km)</w:t>
            </w:r>
          </w:p>
        </w:tc>
        <w:tc>
          <w:tcPr>
            <w:tcW w:w="940" w:type="dxa"/>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Pondere din reţea totală (%)</w:t>
            </w:r>
          </w:p>
        </w:tc>
        <w:tc>
          <w:tcPr>
            <w:tcW w:w="883" w:type="dxa"/>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Lungime (km)</w:t>
            </w:r>
          </w:p>
        </w:tc>
        <w:tc>
          <w:tcPr>
            <w:tcW w:w="1176" w:type="dxa"/>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Pondere din reţea monitorizată (%)</w:t>
            </w:r>
          </w:p>
        </w:tc>
        <w:tc>
          <w:tcPr>
            <w:tcW w:w="1276" w:type="dxa"/>
            <w:shd w:val="clear" w:color="auto" w:fill="FBD4B4" w:themeFill="accent6" w:themeFillTint="66"/>
          </w:tcPr>
          <w:p w:rsidR="00691934" w:rsidRPr="006F32BD" w:rsidRDefault="00691934" w:rsidP="00012F90">
            <w:pPr>
              <w:pStyle w:val="Default"/>
              <w:jc w:val="center"/>
              <w:rPr>
                <w:rFonts w:ascii="Arial" w:hAnsi="Arial" w:cs="Arial"/>
                <w:color w:val="auto"/>
              </w:rPr>
            </w:pPr>
            <w:r w:rsidRPr="006F32BD">
              <w:rPr>
                <w:rFonts w:ascii="Arial" w:hAnsi="Arial" w:cs="Arial"/>
                <w:b/>
                <w:bCs/>
                <w:color w:val="auto"/>
              </w:rPr>
              <w:t>Pondere din reţea totală (%)</w:t>
            </w:r>
          </w:p>
        </w:tc>
      </w:tr>
      <w:tr w:rsidR="00691934" w:rsidRPr="006F32BD" w:rsidTr="00012F90">
        <w:trPr>
          <w:trHeight w:val="303"/>
          <w:jc w:val="center"/>
        </w:trPr>
        <w:tc>
          <w:tcPr>
            <w:tcW w:w="2126"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 xml:space="preserve">Fluviul Dunărea </w:t>
            </w:r>
          </w:p>
        </w:tc>
        <w:tc>
          <w:tcPr>
            <w:tcW w:w="888"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275.5</w:t>
            </w:r>
          </w:p>
        </w:tc>
        <w:tc>
          <w:tcPr>
            <w:tcW w:w="116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60</w:t>
            </w:r>
          </w:p>
        </w:tc>
        <w:tc>
          <w:tcPr>
            <w:tcW w:w="940"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21,7 %</w:t>
            </w:r>
          </w:p>
        </w:tc>
        <w:tc>
          <w:tcPr>
            <w:tcW w:w="883"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60</w:t>
            </w:r>
          </w:p>
        </w:tc>
        <w:tc>
          <w:tcPr>
            <w:tcW w:w="11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100 %</w:t>
            </w:r>
          </w:p>
        </w:tc>
        <w:tc>
          <w:tcPr>
            <w:tcW w:w="12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21.7 %</w:t>
            </w:r>
          </w:p>
        </w:tc>
      </w:tr>
      <w:tr w:rsidR="00691934" w:rsidRPr="006F32BD" w:rsidTr="00012F90">
        <w:trPr>
          <w:trHeight w:val="277"/>
          <w:jc w:val="center"/>
        </w:trPr>
        <w:tc>
          <w:tcPr>
            <w:tcW w:w="2126"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 xml:space="preserve">Râuri naturale </w:t>
            </w:r>
          </w:p>
        </w:tc>
        <w:tc>
          <w:tcPr>
            <w:tcW w:w="888"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270</w:t>
            </w:r>
          </w:p>
        </w:tc>
        <w:tc>
          <w:tcPr>
            <w:tcW w:w="116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211</w:t>
            </w:r>
          </w:p>
        </w:tc>
        <w:tc>
          <w:tcPr>
            <w:tcW w:w="940"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78,1 %</w:t>
            </w:r>
          </w:p>
        </w:tc>
        <w:tc>
          <w:tcPr>
            <w:tcW w:w="883"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83</w:t>
            </w:r>
          </w:p>
        </w:tc>
        <w:tc>
          <w:tcPr>
            <w:tcW w:w="11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39.3 %</w:t>
            </w:r>
          </w:p>
        </w:tc>
        <w:tc>
          <w:tcPr>
            <w:tcW w:w="12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30.7 %</w:t>
            </w:r>
          </w:p>
        </w:tc>
      </w:tr>
      <w:tr w:rsidR="00691934" w:rsidRPr="006F32BD" w:rsidTr="00012F90">
        <w:trPr>
          <w:trHeight w:val="418"/>
          <w:jc w:val="center"/>
        </w:trPr>
        <w:tc>
          <w:tcPr>
            <w:tcW w:w="2126"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 xml:space="preserve">Râuri puternic modificate </w:t>
            </w:r>
          </w:p>
        </w:tc>
        <w:tc>
          <w:tcPr>
            <w:tcW w:w="888"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w:t>
            </w:r>
          </w:p>
        </w:tc>
        <w:tc>
          <w:tcPr>
            <w:tcW w:w="116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940"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883"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11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12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r>
      <w:tr w:rsidR="00691934" w:rsidRPr="006F32BD" w:rsidTr="00012F90">
        <w:trPr>
          <w:trHeight w:val="303"/>
          <w:jc w:val="center"/>
        </w:trPr>
        <w:tc>
          <w:tcPr>
            <w:tcW w:w="2126"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 xml:space="preserve">Râuri artificiale </w:t>
            </w:r>
          </w:p>
        </w:tc>
        <w:tc>
          <w:tcPr>
            <w:tcW w:w="888"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w:t>
            </w:r>
          </w:p>
        </w:tc>
        <w:tc>
          <w:tcPr>
            <w:tcW w:w="116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940"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883"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11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c>
          <w:tcPr>
            <w:tcW w:w="12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w:t>
            </w:r>
          </w:p>
        </w:tc>
      </w:tr>
      <w:tr w:rsidR="00691934" w:rsidRPr="006F32BD" w:rsidTr="00012F90">
        <w:trPr>
          <w:trHeight w:val="315"/>
          <w:jc w:val="center"/>
        </w:trPr>
        <w:tc>
          <w:tcPr>
            <w:tcW w:w="2126" w:type="dxa"/>
            <w:shd w:val="clear" w:color="auto" w:fill="FDE9D9" w:themeFill="accent6" w:themeFillTint="33"/>
          </w:tcPr>
          <w:p w:rsidR="00691934" w:rsidRPr="006F32BD" w:rsidRDefault="00691934" w:rsidP="00012F90">
            <w:pPr>
              <w:pStyle w:val="Default"/>
              <w:jc w:val="right"/>
              <w:rPr>
                <w:rFonts w:ascii="Arial" w:hAnsi="Arial" w:cs="Arial"/>
                <w:color w:val="auto"/>
              </w:rPr>
            </w:pPr>
            <w:r w:rsidRPr="006F32BD">
              <w:rPr>
                <w:rFonts w:ascii="Arial" w:hAnsi="Arial" w:cs="Arial"/>
                <w:b/>
                <w:bCs/>
                <w:color w:val="auto"/>
              </w:rPr>
              <w:t>Total județ BR</w:t>
            </w:r>
          </w:p>
        </w:tc>
        <w:tc>
          <w:tcPr>
            <w:tcW w:w="888" w:type="dxa"/>
            <w:shd w:val="clear" w:color="auto" w:fill="FDE9D9" w:themeFill="accent6" w:themeFillTint="33"/>
          </w:tcPr>
          <w:p w:rsidR="00691934" w:rsidRPr="006F32BD" w:rsidRDefault="00691934" w:rsidP="00012F90">
            <w:pPr>
              <w:pStyle w:val="Default"/>
              <w:rPr>
                <w:rFonts w:ascii="Arial" w:hAnsi="Arial" w:cs="Arial"/>
                <w:color w:val="auto"/>
              </w:rPr>
            </w:pPr>
            <w:r w:rsidRPr="006F32BD">
              <w:rPr>
                <w:rFonts w:ascii="Arial" w:hAnsi="Arial" w:cs="Arial"/>
                <w:color w:val="auto"/>
              </w:rPr>
              <w:t>545.5</w:t>
            </w:r>
          </w:p>
        </w:tc>
        <w:tc>
          <w:tcPr>
            <w:tcW w:w="116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271</w:t>
            </w:r>
          </w:p>
        </w:tc>
        <w:tc>
          <w:tcPr>
            <w:tcW w:w="940"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49,6%</w:t>
            </w:r>
          </w:p>
        </w:tc>
        <w:tc>
          <w:tcPr>
            <w:tcW w:w="883"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143</w:t>
            </w:r>
          </w:p>
        </w:tc>
        <w:tc>
          <w:tcPr>
            <w:tcW w:w="11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52,76%</w:t>
            </w:r>
          </w:p>
        </w:tc>
        <w:tc>
          <w:tcPr>
            <w:tcW w:w="1276" w:type="dxa"/>
            <w:shd w:val="clear" w:color="auto" w:fill="FDE9D9" w:themeFill="accent6" w:themeFillTint="33"/>
          </w:tcPr>
          <w:p w:rsidR="00691934" w:rsidRPr="006F32BD" w:rsidRDefault="00691934" w:rsidP="00012F90">
            <w:pPr>
              <w:pStyle w:val="Default"/>
              <w:jc w:val="center"/>
              <w:rPr>
                <w:rFonts w:ascii="Arial" w:hAnsi="Arial" w:cs="Arial"/>
                <w:color w:val="auto"/>
              </w:rPr>
            </w:pPr>
            <w:r w:rsidRPr="006F32BD">
              <w:rPr>
                <w:rFonts w:ascii="Arial" w:hAnsi="Arial" w:cs="Arial"/>
                <w:color w:val="auto"/>
              </w:rPr>
              <w:t>26,2%</w:t>
            </w:r>
          </w:p>
        </w:tc>
      </w:tr>
    </w:tbl>
    <w:p w:rsidR="00691934" w:rsidRPr="00F13F48" w:rsidRDefault="00691934" w:rsidP="00691934">
      <w:pPr>
        <w:pStyle w:val="Default"/>
        <w:rPr>
          <w:rFonts w:ascii="Arial" w:hAnsi="Arial" w:cs="Arial"/>
          <w:color w:val="auto"/>
        </w:rPr>
      </w:pPr>
      <w:r w:rsidRPr="00F13F48">
        <w:rPr>
          <w:rFonts w:ascii="Arial" w:hAnsi="Arial" w:cs="Arial"/>
          <w:b/>
          <w:bCs/>
          <w:color w:val="auto"/>
        </w:rPr>
        <w:tab/>
      </w:r>
      <w:r w:rsidRPr="00F13F48">
        <w:rPr>
          <w:rFonts w:ascii="Arial" w:hAnsi="Arial" w:cs="Arial"/>
          <w:color w:val="auto"/>
        </w:rPr>
        <w:t xml:space="preserve">SE* - stare ecologică /potenţial ecologic </w:t>
      </w:r>
    </w:p>
    <w:p w:rsidR="00691934" w:rsidRPr="00F13F48" w:rsidRDefault="00691934" w:rsidP="00691934">
      <w:pPr>
        <w:tabs>
          <w:tab w:val="left" w:pos="1702"/>
        </w:tabs>
        <w:autoSpaceDE w:val="0"/>
        <w:autoSpaceDN w:val="0"/>
        <w:adjustRightInd w:val="0"/>
        <w:ind w:firstLine="720"/>
        <w:jc w:val="both"/>
        <w:rPr>
          <w:rFonts w:ascii="Arial" w:hAnsi="Arial" w:cs="Arial"/>
          <w:b/>
          <w:bCs/>
        </w:rPr>
      </w:pPr>
    </w:p>
    <w:p w:rsidR="00691934"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color w:val="auto"/>
        </w:rPr>
      </w:pPr>
      <w:r w:rsidRPr="00465077">
        <w:rPr>
          <w:rFonts w:ascii="Arial" w:hAnsi="Arial" w:cs="Arial"/>
          <w:b/>
          <w:bCs/>
          <w:color w:val="auto"/>
        </w:rPr>
        <w:t>Tabel nr. II</w:t>
      </w:r>
      <w:r w:rsidRPr="00F13F48">
        <w:rPr>
          <w:rFonts w:ascii="Arial" w:hAnsi="Arial" w:cs="Arial"/>
          <w:b/>
          <w:bCs/>
          <w:color w:val="auto"/>
        </w:rPr>
        <w:t>.2.1.1</w:t>
      </w:r>
      <w:r>
        <w:rPr>
          <w:rFonts w:ascii="Arial" w:hAnsi="Arial" w:cs="Arial"/>
          <w:b/>
          <w:bCs/>
          <w:color w:val="auto"/>
        </w:rPr>
        <w:t>- 2</w:t>
      </w:r>
      <w:r w:rsidRPr="00F13F48">
        <w:rPr>
          <w:rFonts w:ascii="Arial" w:hAnsi="Arial" w:cs="Arial"/>
          <w:color w:val="auto"/>
        </w:rPr>
        <w:t xml:space="preserve"> Dimensiunea râurilor la nivelul județului Brăila incluse în programul de monitorizare, în anul 2014</w:t>
      </w:r>
      <w:r>
        <w:rPr>
          <w:rFonts w:ascii="Arial" w:hAnsi="Arial" w:cs="Arial"/>
          <w:color w:val="auto"/>
        </w:rPr>
        <w:t>( Km)</w:t>
      </w:r>
    </w:p>
    <w:p w:rsidR="00691934" w:rsidRPr="00F13F48" w:rsidRDefault="00691934" w:rsidP="00691934">
      <w:pPr>
        <w:autoSpaceDE w:val="0"/>
        <w:autoSpaceDN w:val="0"/>
        <w:adjustRightInd w:val="0"/>
        <w:ind w:firstLine="720"/>
        <w:jc w:val="both"/>
        <w:rPr>
          <w:rFonts w:ascii="Arial" w:hAnsi="Arial" w:cs="Arial"/>
          <w:b/>
          <w:bCs/>
        </w:rPr>
      </w:pPr>
    </w:p>
    <w:tbl>
      <w:tblPr>
        <w:tblW w:w="9622" w:type="dxa"/>
        <w:jc w:val="center"/>
        <w:tblInd w:w="-15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3686"/>
        <w:gridCol w:w="1275"/>
        <w:gridCol w:w="1148"/>
        <w:gridCol w:w="1310"/>
        <w:gridCol w:w="1163"/>
        <w:gridCol w:w="1040"/>
      </w:tblGrid>
      <w:tr w:rsidR="00691934" w:rsidRPr="00F13F48" w:rsidTr="00012F90">
        <w:trPr>
          <w:trHeight w:val="919"/>
          <w:jc w:val="center"/>
        </w:trPr>
        <w:tc>
          <w:tcPr>
            <w:tcW w:w="3686" w:type="dxa"/>
            <w:shd w:val="clear" w:color="auto" w:fill="FBD4B4" w:themeFill="accent6" w:themeFillTint="66"/>
          </w:tcPr>
          <w:p w:rsidR="00691934" w:rsidRPr="00F13F48" w:rsidRDefault="00691934" w:rsidP="00012F90">
            <w:pPr>
              <w:pStyle w:val="Default"/>
              <w:jc w:val="center"/>
              <w:rPr>
                <w:rFonts w:ascii="Arial" w:hAnsi="Arial" w:cs="Arial"/>
                <w:color w:val="auto"/>
              </w:rPr>
            </w:pPr>
          </w:p>
        </w:tc>
        <w:tc>
          <w:tcPr>
            <w:tcW w:w="1275"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Fluviu</w:t>
            </w:r>
            <w:r>
              <w:rPr>
                <w:rFonts w:ascii="Arial" w:hAnsi="Arial" w:cs="Arial"/>
                <w:color w:val="auto"/>
              </w:rPr>
              <w:t>l</w:t>
            </w:r>
            <w:r w:rsidRPr="00F13F48">
              <w:rPr>
                <w:rFonts w:ascii="Arial" w:hAnsi="Arial" w:cs="Arial"/>
                <w:color w:val="auto"/>
              </w:rPr>
              <w:t xml:space="preserve"> Dunărea</w:t>
            </w:r>
          </w:p>
        </w:tc>
        <w:tc>
          <w:tcPr>
            <w:tcW w:w="1148"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Râuri naturale - total</w:t>
            </w:r>
          </w:p>
        </w:tc>
        <w:tc>
          <w:tcPr>
            <w:tcW w:w="1310"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Râuri puternic modificate</w:t>
            </w:r>
          </w:p>
        </w:tc>
        <w:tc>
          <w:tcPr>
            <w:tcW w:w="1163"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Râuri artificiale</w:t>
            </w:r>
          </w:p>
        </w:tc>
        <w:tc>
          <w:tcPr>
            <w:tcW w:w="1040" w:type="dxa"/>
            <w:shd w:val="clear" w:color="auto" w:fill="FBD4B4" w:themeFill="accent6" w:themeFillTint="66"/>
          </w:tcPr>
          <w:p w:rsidR="00691934" w:rsidRPr="00465077" w:rsidRDefault="00691934" w:rsidP="00012F90">
            <w:pPr>
              <w:pStyle w:val="Default"/>
              <w:jc w:val="center"/>
              <w:rPr>
                <w:rFonts w:ascii="Arial" w:hAnsi="Arial" w:cs="Arial"/>
                <w:color w:val="auto"/>
              </w:rPr>
            </w:pPr>
            <w:r w:rsidRPr="00465077">
              <w:rPr>
                <w:rFonts w:ascii="Arial" w:hAnsi="Arial" w:cs="Arial"/>
                <w:bCs/>
                <w:color w:val="auto"/>
              </w:rPr>
              <w:t>Total județ Brăila</w:t>
            </w:r>
          </w:p>
        </w:tc>
      </w:tr>
      <w:tr w:rsidR="00691934" w:rsidRPr="00F13F48" w:rsidTr="00012F90">
        <w:trPr>
          <w:trHeight w:val="578"/>
          <w:jc w:val="center"/>
        </w:trPr>
        <w:tc>
          <w:tcPr>
            <w:tcW w:w="3686" w:type="dxa"/>
            <w:shd w:val="clear" w:color="auto" w:fill="FDE9D9" w:themeFill="accent6" w:themeFillTint="33"/>
          </w:tcPr>
          <w:p w:rsidR="00691934" w:rsidRPr="00F13F48" w:rsidRDefault="00691934" w:rsidP="00012F90">
            <w:pPr>
              <w:pStyle w:val="Default"/>
              <w:rPr>
                <w:rFonts w:ascii="Arial" w:hAnsi="Arial" w:cs="Arial"/>
                <w:color w:val="auto"/>
                <w:lang w:val="it-IT"/>
              </w:rPr>
            </w:pPr>
            <w:r w:rsidRPr="00F13F48">
              <w:rPr>
                <w:rFonts w:ascii="Arial" w:hAnsi="Arial" w:cs="Arial"/>
                <w:color w:val="auto"/>
                <w:lang w:val="it-IT"/>
              </w:rPr>
              <w:t>Lungime SE inferioară stării bune</w:t>
            </w:r>
            <w:r>
              <w:rPr>
                <w:rFonts w:ascii="Arial" w:hAnsi="Arial" w:cs="Arial"/>
                <w:color w:val="auto"/>
                <w:lang w:val="it-IT"/>
              </w:rPr>
              <w:t xml:space="preserve"> </w:t>
            </w:r>
            <w:r>
              <w:rPr>
                <w:rFonts w:ascii="Arial" w:hAnsi="Arial" w:cs="Arial"/>
                <w:color w:val="auto"/>
              </w:rPr>
              <w:t>(Km)</w:t>
            </w:r>
          </w:p>
        </w:tc>
        <w:tc>
          <w:tcPr>
            <w:tcW w:w="1275"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60</w:t>
            </w:r>
          </w:p>
        </w:tc>
        <w:tc>
          <w:tcPr>
            <w:tcW w:w="1148"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83</w:t>
            </w:r>
          </w:p>
        </w:tc>
        <w:tc>
          <w:tcPr>
            <w:tcW w:w="131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16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04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143</w:t>
            </w:r>
          </w:p>
        </w:tc>
      </w:tr>
      <w:tr w:rsidR="00691934" w:rsidRPr="00F13F48" w:rsidTr="00012F90">
        <w:trPr>
          <w:trHeight w:val="416"/>
          <w:jc w:val="center"/>
        </w:trPr>
        <w:tc>
          <w:tcPr>
            <w:tcW w:w="3686"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Lungime monitorizată</w:t>
            </w:r>
            <w:r>
              <w:rPr>
                <w:rFonts w:ascii="Arial" w:hAnsi="Arial" w:cs="Arial"/>
                <w:color w:val="auto"/>
              </w:rPr>
              <w:t>(Km)</w:t>
            </w:r>
          </w:p>
        </w:tc>
        <w:tc>
          <w:tcPr>
            <w:tcW w:w="1275"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60</w:t>
            </w:r>
          </w:p>
        </w:tc>
        <w:tc>
          <w:tcPr>
            <w:tcW w:w="1148"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211</w:t>
            </w:r>
          </w:p>
        </w:tc>
        <w:tc>
          <w:tcPr>
            <w:tcW w:w="131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16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04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271</w:t>
            </w:r>
          </w:p>
        </w:tc>
      </w:tr>
      <w:tr w:rsidR="00691934" w:rsidRPr="00F13F48" w:rsidTr="00012F90">
        <w:trPr>
          <w:jc w:val="center"/>
        </w:trPr>
        <w:tc>
          <w:tcPr>
            <w:tcW w:w="3686"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Lungime totală r</w:t>
            </w:r>
            <w:r>
              <w:rPr>
                <w:rFonts w:ascii="Arial" w:hAnsi="Arial" w:cs="Arial"/>
                <w:color w:val="auto"/>
              </w:rPr>
              <w:t>â</w:t>
            </w:r>
            <w:r w:rsidRPr="00F13F48">
              <w:rPr>
                <w:rFonts w:ascii="Arial" w:hAnsi="Arial" w:cs="Arial"/>
                <w:color w:val="auto"/>
              </w:rPr>
              <w:t>u</w:t>
            </w:r>
            <w:r>
              <w:rPr>
                <w:rFonts w:ascii="Arial" w:hAnsi="Arial" w:cs="Arial"/>
                <w:color w:val="auto"/>
              </w:rPr>
              <w:t xml:space="preserve"> (Km)</w:t>
            </w:r>
          </w:p>
        </w:tc>
        <w:tc>
          <w:tcPr>
            <w:tcW w:w="1275"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275.5</w:t>
            </w:r>
          </w:p>
        </w:tc>
        <w:tc>
          <w:tcPr>
            <w:tcW w:w="1148"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270</w:t>
            </w:r>
          </w:p>
        </w:tc>
        <w:tc>
          <w:tcPr>
            <w:tcW w:w="131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16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04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545.5</w:t>
            </w:r>
          </w:p>
        </w:tc>
      </w:tr>
    </w:tbl>
    <w:p w:rsidR="00691934" w:rsidRPr="00F13F48" w:rsidRDefault="00691934" w:rsidP="00691934">
      <w:pPr>
        <w:autoSpaceDE w:val="0"/>
        <w:autoSpaceDN w:val="0"/>
        <w:adjustRightInd w:val="0"/>
        <w:ind w:firstLine="720"/>
        <w:jc w:val="both"/>
        <w:rPr>
          <w:rFonts w:ascii="Arial" w:hAnsi="Arial" w:cs="Arial"/>
          <w:b/>
          <w:bCs/>
        </w:rPr>
      </w:pPr>
    </w:p>
    <w:p w:rsidR="00691934"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Tabel nr.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xml:space="preserve"> - 3</w:t>
      </w:r>
      <w:r w:rsidRPr="00F13F48">
        <w:rPr>
          <w:rFonts w:ascii="Arial" w:hAnsi="Arial" w:cs="Arial"/>
          <w:color w:val="auto"/>
        </w:rPr>
        <w:t xml:space="preserve"> - Calitatea cursurilor de apă monitorizate la nivelul județului Brăila în anul </w:t>
      </w:r>
      <w:r>
        <w:rPr>
          <w:rFonts w:ascii="Arial" w:hAnsi="Arial" w:cs="Arial"/>
          <w:color w:val="auto"/>
        </w:rPr>
        <w:t xml:space="preserve">  </w:t>
      </w:r>
      <w:r w:rsidRPr="00F13F48">
        <w:rPr>
          <w:rFonts w:ascii="Arial" w:hAnsi="Arial" w:cs="Arial"/>
          <w:color w:val="auto"/>
        </w:rPr>
        <w:t>2014</w:t>
      </w:r>
      <w:r>
        <w:rPr>
          <w:rFonts w:ascii="Arial" w:hAnsi="Arial" w:cs="Arial"/>
          <w:color w:val="auto"/>
        </w:rPr>
        <w:t xml:space="preserve"> raportată la rețeaua monitorizată</w:t>
      </w:r>
    </w:p>
    <w:p w:rsidR="00691934" w:rsidRPr="00F13F48" w:rsidRDefault="00691934" w:rsidP="00691934">
      <w:pPr>
        <w:autoSpaceDE w:val="0"/>
        <w:autoSpaceDN w:val="0"/>
        <w:adjustRightInd w:val="0"/>
        <w:ind w:firstLine="720"/>
        <w:jc w:val="both"/>
        <w:rPr>
          <w:rFonts w:ascii="Arial" w:hAnsi="Arial" w:cs="Arial"/>
          <w:b/>
          <w:bCs/>
        </w:rPr>
      </w:pPr>
    </w:p>
    <w:tbl>
      <w:tblPr>
        <w:tblW w:w="0" w:type="auto"/>
        <w:jc w:val="center"/>
        <w:tblInd w:w="-14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41"/>
        <w:gridCol w:w="1761"/>
        <w:gridCol w:w="816"/>
        <w:gridCol w:w="1283"/>
        <w:gridCol w:w="857"/>
        <w:gridCol w:w="1097"/>
      </w:tblGrid>
      <w:tr w:rsidR="00691934" w:rsidRPr="00F13F48" w:rsidTr="00012F90">
        <w:trPr>
          <w:trHeight w:val="425"/>
          <w:jc w:val="center"/>
        </w:trPr>
        <w:tc>
          <w:tcPr>
            <w:tcW w:w="3341" w:type="dxa"/>
            <w:vMerge w:val="restart"/>
            <w:shd w:val="clear" w:color="auto" w:fill="FBD4B4" w:themeFill="accent6" w:themeFillTint="66"/>
            <w:vAlign w:val="center"/>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Categorie curs</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de apă</w:t>
            </w:r>
          </w:p>
        </w:tc>
        <w:tc>
          <w:tcPr>
            <w:tcW w:w="5587" w:type="dxa"/>
            <w:gridSpan w:val="5"/>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Starea ecologică a cursurilor de apă (%)</w:t>
            </w:r>
          </w:p>
        </w:tc>
      </w:tr>
      <w:tr w:rsidR="00691934" w:rsidRPr="00F13F48" w:rsidTr="00012F90">
        <w:trPr>
          <w:trHeight w:val="248"/>
          <w:jc w:val="center"/>
        </w:trPr>
        <w:tc>
          <w:tcPr>
            <w:tcW w:w="3341" w:type="dxa"/>
            <w:vMerge/>
            <w:shd w:val="clear" w:color="auto" w:fill="FBD4B4" w:themeFill="accent6" w:themeFillTint="66"/>
          </w:tcPr>
          <w:p w:rsidR="00691934" w:rsidRPr="00F13F48" w:rsidRDefault="00691934" w:rsidP="00012F90">
            <w:pPr>
              <w:pStyle w:val="Default"/>
              <w:rPr>
                <w:rFonts w:ascii="Arial" w:hAnsi="Arial" w:cs="Arial"/>
                <w:color w:val="auto"/>
              </w:rPr>
            </w:pPr>
          </w:p>
        </w:tc>
        <w:tc>
          <w:tcPr>
            <w:tcW w:w="1761" w:type="dxa"/>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b/>
                <w:bCs/>
                <w:color w:val="auto"/>
              </w:rPr>
              <w:t xml:space="preserve">Foarte </w:t>
            </w:r>
            <w:r>
              <w:rPr>
                <w:rFonts w:ascii="Arial" w:hAnsi="Arial" w:cs="Arial"/>
                <w:b/>
                <w:bCs/>
                <w:color w:val="auto"/>
              </w:rPr>
              <w:t>b</w:t>
            </w:r>
            <w:r w:rsidRPr="00F13F48">
              <w:rPr>
                <w:rFonts w:ascii="Arial" w:hAnsi="Arial" w:cs="Arial"/>
                <w:b/>
                <w:bCs/>
                <w:color w:val="auto"/>
              </w:rPr>
              <w:t xml:space="preserve">ună </w:t>
            </w:r>
          </w:p>
        </w:tc>
        <w:tc>
          <w:tcPr>
            <w:tcW w:w="589" w:type="dxa"/>
            <w:shd w:val="clear" w:color="auto" w:fill="FBD4B4" w:themeFill="accent6" w:themeFillTint="66"/>
          </w:tcPr>
          <w:p w:rsidR="00691934" w:rsidRPr="00C00F2A" w:rsidRDefault="00691934" w:rsidP="00012F90">
            <w:pPr>
              <w:pStyle w:val="Default"/>
              <w:rPr>
                <w:rFonts w:ascii="Arial" w:hAnsi="Arial" w:cs="Arial"/>
                <w:color w:val="auto"/>
              </w:rPr>
            </w:pPr>
            <w:r w:rsidRPr="00C00F2A">
              <w:rPr>
                <w:rFonts w:ascii="Arial" w:hAnsi="Arial" w:cs="Arial"/>
                <w:b/>
                <w:bCs/>
                <w:color w:val="auto"/>
              </w:rPr>
              <w:t xml:space="preserve">Bună </w:t>
            </w:r>
          </w:p>
        </w:tc>
        <w:tc>
          <w:tcPr>
            <w:tcW w:w="0" w:type="auto"/>
            <w:shd w:val="clear" w:color="auto" w:fill="FBD4B4" w:themeFill="accent6" w:themeFillTint="66"/>
          </w:tcPr>
          <w:p w:rsidR="00691934" w:rsidRPr="00C00F2A" w:rsidRDefault="00691934" w:rsidP="00012F90">
            <w:pPr>
              <w:pStyle w:val="Default"/>
              <w:rPr>
                <w:rFonts w:ascii="Arial" w:hAnsi="Arial" w:cs="Arial"/>
                <w:color w:val="auto"/>
              </w:rPr>
            </w:pPr>
            <w:r w:rsidRPr="00C00F2A">
              <w:rPr>
                <w:rFonts w:ascii="Arial" w:hAnsi="Arial" w:cs="Arial"/>
                <w:b/>
                <w:bCs/>
                <w:color w:val="auto"/>
              </w:rPr>
              <w:t xml:space="preserve">Moderată </w:t>
            </w:r>
          </w:p>
        </w:tc>
        <w:tc>
          <w:tcPr>
            <w:tcW w:w="0" w:type="auto"/>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b/>
                <w:bCs/>
                <w:color w:val="auto"/>
              </w:rPr>
              <w:t xml:space="preserve">Slabă </w:t>
            </w:r>
          </w:p>
        </w:tc>
        <w:tc>
          <w:tcPr>
            <w:tcW w:w="0" w:type="auto"/>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b/>
                <w:bCs/>
                <w:color w:val="auto"/>
              </w:rPr>
              <w:t xml:space="preserve">Proastă </w:t>
            </w:r>
          </w:p>
        </w:tc>
      </w:tr>
      <w:tr w:rsidR="00691934" w:rsidRPr="00F13F48" w:rsidTr="00012F90">
        <w:trPr>
          <w:trHeight w:val="248"/>
          <w:jc w:val="center"/>
        </w:trPr>
        <w:tc>
          <w:tcPr>
            <w:tcW w:w="3341" w:type="dxa"/>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Fluviul Dunărea </w:t>
            </w:r>
          </w:p>
        </w:tc>
        <w:tc>
          <w:tcPr>
            <w:tcW w:w="1761" w:type="dxa"/>
            <w:shd w:val="clear" w:color="auto" w:fill="FBD4B4" w:themeFill="accent6" w:themeFillTint="66"/>
          </w:tcPr>
          <w:p w:rsidR="00691934" w:rsidRPr="00F13F48" w:rsidRDefault="00691934" w:rsidP="00012F90">
            <w:pPr>
              <w:pStyle w:val="Default"/>
              <w:jc w:val="center"/>
              <w:rPr>
                <w:rFonts w:ascii="Arial" w:hAnsi="Arial" w:cs="Arial"/>
                <w:color w:val="auto"/>
              </w:rPr>
            </w:pPr>
          </w:p>
        </w:tc>
        <w:tc>
          <w:tcPr>
            <w:tcW w:w="589" w:type="dxa"/>
            <w:shd w:val="clear" w:color="auto" w:fill="FBD4B4" w:themeFill="accent6" w:themeFillTint="66"/>
          </w:tcPr>
          <w:p w:rsidR="00691934" w:rsidRPr="00C00F2A" w:rsidRDefault="00691934" w:rsidP="00012F90">
            <w:pPr>
              <w:pStyle w:val="Default"/>
              <w:jc w:val="center"/>
              <w:rPr>
                <w:rFonts w:ascii="Arial" w:hAnsi="Arial" w:cs="Arial"/>
                <w:color w:val="auto"/>
              </w:rPr>
            </w:pPr>
          </w:p>
        </w:tc>
        <w:tc>
          <w:tcPr>
            <w:tcW w:w="0" w:type="auto"/>
            <w:shd w:val="clear" w:color="auto" w:fill="FFFF00"/>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100</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p>
        </w:tc>
      </w:tr>
      <w:tr w:rsidR="00691934" w:rsidRPr="00F13F48" w:rsidTr="00012F90">
        <w:trPr>
          <w:trHeight w:val="245"/>
          <w:jc w:val="center"/>
        </w:trPr>
        <w:tc>
          <w:tcPr>
            <w:tcW w:w="3341" w:type="dxa"/>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naturale </w:t>
            </w:r>
          </w:p>
        </w:tc>
        <w:tc>
          <w:tcPr>
            <w:tcW w:w="176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589" w:type="dxa"/>
            <w:shd w:val="clear" w:color="auto" w:fill="92D050"/>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60.7</w:t>
            </w:r>
          </w:p>
        </w:tc>
        <w:tc>
          <w:tcPr>
            <w:tcW w:w="0" w:type="auto"/>
            <w:shd w:val="clear" w:color="auto" w:fill="FFFF00"/>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39.3</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293"/>
          <w:jc w:val="center"/>
        </w:trPr>
        <w:tc>
          <w:tcPr>
            <w:tcW w:w="3341" w:type="dxa"/>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puternic modificate </w:t>
            </w:r>
          </w:p>
        </w:tc>
        <w:tc>
          <w:tcPr>
            <w:tcW w:w="176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589" w:type="dxa"/>
            <w:shd w:val="clear" w:color="auto" w:fill="FBD4B4" w:themeFill="accent6" w:themeFillTint="66"/>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w:t>
            </w:r>
          </w:p>
        </w:tc>
        <w:tc>
          <w:tcPr>
            <w:tcW w:w="0" w:type="auto"/>
            <w:shd w:val="clear" w:color="auto" w:fill="FBD4B4" w:themeFill="accent6" w:themeFillTint="66"/>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248"/>
          <w:jc w:val="center"/>
        </w:trPr>
        <w:tc>
          <w:tcPr>
            <w:tcW w:w="3341" w:type="dxa"/>
            <w:shd w:val="clear" w:color="auto" w:fill="FBD4B4" w:themeFill="accent6" w:themeFillTint="66"/>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artificiale </w:t>
            </w:r>
          </w:p>
        </w:tc>
        <w:tc>
          <w:tcPr>
            <w:tcW w:w="176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589" w:type="dxa"/>
            <w:shd w:val="clear" w:color="auto" w:fill="FBD4B4" w:themeFill="accent6" w:themeFillTint="66"/>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w:t>
            </w:r>
          </w:p>
        </w:tc>
        <w:tc>
          <w:tcPr>
            <w:tcW w:w="0" w:type="auto"/>
            <w:shd w:val="clear" w:color="auto" w:fill="FBD4B4" w:themeFill="accent6" w:themeFillTint="66"/>
          </w:tcPr>
          <w:p w:rsidR="00691934" w:rsidRPr="00C00F2A" w:rsidRDefault="00691934" w:rsidP="00012F90">
            <w:pPr>
              <w:pStyle w:val="Default"/>
              <w:jc w:val="center"/>
              <w:rPr>
                <w:rFonts w:ascii="Arial" w:hAnsi="Arial" w:cs="Arial"/>
                <w:color w:val="auto"/>
              </w:rPr>
            </w:pPr>
            <w:r w:rsidRPr="00C00F2A">
              <w:rPr>
                <w:rFonts w:ascii="Arial" w:hAnsi="Arial" w:cs="Arial"/>
                <w:color w:val="auto"/>
              </w:rPr>
              <w:t>-</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0" w:type="auto"/>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bl>
    <w:p w:rsidR="00691934" w:rsidRPr="00F13F48" w:rsidRDefault="00691934" w:rsidP="00691934">
      <w:pPr>
        <w:tabs>
          <w:tab w:val="left" w:pos="3404"/>
        </w:tabs>
        <w:autoSpaceDE w:val="0"/>
        <w:autoSpaceDN w:val="0"/>
        <w:adjustRightInd w:val="0"/>
        <w:ind w:firstLine="720"/>
        <w:jc w:val="both"/>
        <w:rPr>
          <w:rFonts w:ascii="Arial" w:hAnsi="Arial" w:cs="Arial"/>
          <w:b/>
          <w:bCs/>
        </w:rPr>
      </w:pPr>
    </w:p>
    <w:p w:rsidR="00691934" w:rsidRPr="00F13F48" w:rsidRDefault="00691934" w:rsidP="00691934">
      <w:pPr>
        <w:pStyle w:val="Default"/>
        <w:rPr>
          <w:rFonts w:ascii="Arial" w:hAnsi="Arial" w:cs="Arial"/>
          <w:i/>
          <w:iCs/>
          <w:color w:val="auto"/>
        </w:rPr>
      </w:pPr>
      <w:r w:rsidRPr="00F13F48">
        <w:rPr>
          <w:rFonts w:ascii="Arial" w:hAnsi="Arial" w:cs="Arial"/>
          <w:b/>
          <w:bCs/>
          <w:color w:val="auto"/>
        </w:rPr>
        <w:lastRenderedPageBreak/>
        <w:t>Tabel nr.</w:t>
      </w:r>
      <w:r w:rsidRPr="00465077">
        <w:rPr>
          <w:rFonts w:ascii="Arial" w:hAnsi="Arial" w:cs="Arial"/>
          <w:b/>
          <w:bCs/>
          <w:color w:val="auto"/>
        </w:rPr>
        <w:t xml:space="preserve"> II</w:t>
      </w:r>
      <w:r w:rsidRPr="00F13F48">
        <w:rPr>
          <w:rFonts w:ascii="Arial" w:hAnsi="Arial" w:cs="Arial"/>
          <w:b/>
          <w:bCs/>
          <w:color w:val="auto"/>
        </w:rPr>
        <w:t>.2.1.1</w:t>
      </w:r>
      <w:r>
        <w:rPr>
          <w:rFonts w:ascii="Arial" w:hAnsi="Arial" w:cs="Arial"/>
          <w:b/>
          <w:bCs/>
          <w:color w:val="auto"/>
        </w:rPr>
        <w:t>. - 4</w:t>
      </w:r>
      <w:r w:rsidRPr="00F13F48">
        <w:rPr>
          <w:rFonts w:ascii="Arial" w:hAnsi="Arial" w:cs="Arial"/>
          <w:color w:val="auto"/>
        </w:rPr>
        <w:t xml:space="preserve"> – Evoluția calității cursurilor de apă monitorizate la nivelul județului Brăila, în perioada anilor  2010-2014 </w:t>
      </w:r>
    </w:p>
    <w:p w:rsidR="00691934" w:rsidRPr="00F13F48" w:rsidRDefault="00691934" w:rsidP="00691934">
      <w:pPr>
        <w:autoSpaceDE w:val="0"/>
        <w:autoSpaceDN w:val="0"/>
        <w:adjustRightInd w:val="0"/>
        <w:ind w:firstLine="720"/>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645"/>
        <w:gridCol w:w="750"/>
        <w:gridCol w:w="830"/>
        <w:gridCol w:w="830"/>
        <w:gridCol w:w="850"/>
        <w:gridCol w:w="1030"/>
      </w:tblGrid>
      <w:tr w:rsidR="00691934" w:rsidRPr="00F13F48" w:rsidTr="00012F90">
        <w:trPr>
          <w:trHeight w:val="332"/>
          <w:jc w:val="center"/>
        </w:trPr>
        <w:tc>
          <w:tcPr>
            <w:tcW w:w="3645" w:type="dxa"/>
            <w:vMerge w:val="restart"/>
            <w:shd w:val="clear" w:color="auto" w:fill="FBD4B4" w:themeFill="accent6" w:themeFillTint="66"/>
            <w:vAlign w:val="center"/>
          </w:tcPr>
          <w:p w:rsidR="00691934" w:rsidRPr="00F13F48" w:rsidRDefault="00691934" w:rsidP="00012F90">
            <w:pPr>
              <w:pStyle w:val="Default"/>
              <w:rPr>
                <w:rFonts w:ascii="Arial" w:hAnsi="Arial" w:cs="Arial"/>
                <w:color w:val="auto"/>
              </w:rPr>
            </w:pPr>
            <w:r w:rsidRPr="00F13F48">
              <w:rPr>
                <w:rFonts w:ascii="Arial" w:hAnsi="Arial" w:cs="Arial"/>
                <w:b/>
                <w:bCs/>
                <w:color w:val="auto"/>
              </w:rPr>
              <w:t xml:space="preserve">Starea chimică/ecologică </w:t>
            </w:r>
          </w:p>
        </w:tc>
        <w:tc>
          <w:tcPr>
            <w:tcW w:w="4290" w:type="dxa"/>
            <w:gridSpan w:val="5"/>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 din rețeaua monitorizată</w:t>
            </w:r>
          </w:p>
        </w:tc>
      </w:tr>
      <w:tr w:rsidR="00691934" w:rsidRPr="00F13F48" w:rsidTr="00012F90">
        <w:trPr>
          <w:trHeight w:val="248"/>
          <w:jc w:val="center"/>
        </w:trPr>
        <w:tc>
          <w:tcPr>
            <w:tcW w:w="0" w:type="auto"/>
            <w:vMerge/>
            <w:shd w:val="clear" w:color="auto" w:fill="FBD4B4" w:themeFill="accent6" w:themeFillTint="66"/>
            <w:vAlign w:val="center"/>
          </w:tcPr>
          <w:p w:rsidR="00691934" w:rsidRPr="00F13F48" w:rsidRDefault="00691934" w:rsidP="00012F90">
            <w:pPr>
              <w:pStyle w:val="Default"/>
              <w:rPr>
                <w:rFonts w:ascii="Arial" w:hAnsi="Arial" w:cs="Arial"/>
                <w:color w:val="auto"/>
              </w:rPr>
            </w:pPr>
          </w:p>
        </w:tc>
        <w:tc>
          <w:tcPr>
            <w:tcW w:w="0" w:type="auto"/>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2010</w:t>
            </w:r>
          </w:p>
        </w:tc>
        <w:tc>
          <w:tcPr>
            <w:tcW w:w="830"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2011</w:t>
            </w:r>
          </w:p>
        </w:tc>
        <w:tc>
          <w:tcPr>
            <w:tcW w:w="830"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2012</w:t>
            </w:r>
          </w:p>
        </w:tc>
        <w:tc>
          <w:tcPr>
            <w:tcW w:w="850" w:type="dxa"/>
            <w:shd w:val="clear" w:color="auto" w:fill="FBD4B4" w:themeFill="accent6" w:themeFillTint="66"/>
            <w:vAlign w:val="center"/>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2013</w:t>
            </w:r>
          </w:p>
        </w:tc>
        <w:tc>
          <w:tcPr>
            <w:tcW w:w="1030" w:type="dxa"/>
            <w:shd w:val="clear" w:color="auto" w:fill="FBD4B4" w:themeFill="accent6" w:themeFillTint="66"/>
            <w:vAlign w:val="center"/>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2014</w:t>
            </w:r>
          </w:p>
        </w:tc>
      </w:tr>
      <w:tr w:rsidR="00691934" w:rsidRPr="00F13F48" w:rsidTr="00012F90">
        <w:trPr>
          <w:trHeight w:val="248"/>
          <w:jc w:val="center"/>
        </w:trPr>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SE* inferioară stării bune (%) </w:t>
            </w:r>
          </w:p>
        </w:tc>
        <w:tc>
          <w:tcPr>
            <w:tcW w:w="0" w:type="auto"/>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0</w:t>
            </w:r>
          </w:p>
        </w:tc>
        <w:tc>
          <w:tcPr>
            <w:tcW w:w="83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83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8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1030" w:type="dxa"/>
            <w:shd w:val="clear" w:color="auto" w:fill="FDE9D9" w:themeFill="accent6" w:themeFillTint="33"/>
          </w:tcPr>
          <w:p w:rsidR="00691934" w:rsidRPr="00465077" w:rsidRDefault="00691934" w:rsidP="00012F90">
            <w:pPr>
              <w:pStyle w:val="Default"/>
              <w:jc w:val="center"/>
              <w:rPr>
                <w:rFonts w:ascii="Arial" w:hAnsi="Arial" w:cs="Arial"/>
                <w:color w:val="auto"/>
              </w:rPr>
            </w:pPr>
            <w:r w:rsidRPr="00465077">
              <w:rPr>
                <w:rFonts w:ascii="Arial" w:hAnsi="Arial" w:cs="Arial"/>
                <w:color w:val="auto"/>
              </w:rPr>
              <w:t>52,76%</w:t>
            </w:r>
          </w:p>
        </w:tc>
      </w:tr>
      <w:tr w:rsidR="00691934" w:rsidRPr="00F13F48" w:rsidTr="00012F90">
        <w:trPr>
          <w:trHeight w:val="245"/>
          <w:jc w:val="center"/>
        </w:trPr>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Rețea monitorizată (km) </w:t>
            </w:r>
          </w:p>
        </w:tc>
        <w:tc>
          <w:tcPr>
            <w:tcW w:w="0" w:type="auto"/>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0</w:t>
            </w:r>
          </w:p>
        </w:tc>
        <w:tc>
          <w:tcPr>
            <w:tcW w:w="83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211</w:t>
            </w:r>
          </w:p>
        </w:tc>
        <w:tc>
          <w:tcPr>
            <w:tcW w:w="83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211</w:t>
            </w:r>
          </w:p>
        </w:tc>
        <w:tc>
          <w:tcPr>
            <w:tcW w:w="8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211</w:t>
            </w:r>
          </w:p>
        </w:tc>
        <w:tc>
          <w:tcPr>
            <w:tcW w:w="1030" w:type="dxa"/>
            <w:shd w:val="clear" w:color="auto" w:fill="FDE9D9" w:themeFill="accent6" w:themeFillTint="33"/>
          </w:tcPr>
          <w:p w:rsidR="00691934" w:rsidRPr="00465077" w:rsidRDefault="00691934" w:rsidP="00012F90">
            <w:pPr>
              <w:pStyle w:val="Default"/>
              <w:jc w:val="center"/>
              <w:rPr>
                <w:rFonts w:ascii="Arial" w:hAnsi="Arial" w:cs="Arial"/>
                <w:color w:val="auto"/>
              </w:rPr>
            </w:pPr>
            <w:r w:rsidRPr="00465077">
              <w:rPr>
                <w:rFonts w:ascii="Arial" w:hAnsi="Arial" w:cs="Arial"/>
                <w:color w:val="auto"/>
              </w:rPr>
              <w:t>271</w:t>
            </w:r>
          </w:p>
        </w:tc>
      </w:tr>
    </w:tbl>
    <w:p w:rsidR="00691934" w:rsidRPr="00F13F48" w:rsidRDefault="00691934" w:rsidP="00691934">
      <w:pPr>
        <w:autoSpaceDE w:val="0"/>
        <w:autoSpaceDN w:val="0"/>
        <w:adjustRightInd w:val="0"/>
        <w:ind w:firstLine="720"/>
        <w:jc w:val="both"/>
        <w:rPr>
          <w:rFonts w:ascii="Arial" w:hAnsi="Arial" w:cs="Arial"/>
          <w:b/>
          <w:bCs/>
        </w:rPr>
      </w:pPr>
    </w:p>
    <w:p w:rsidR="00691934" w:rsidRPr="007910F7" w:rsidRDefault="00691934" w:rsidP="00691934">
      <w:pPr>
        <w:autoSpaceDE w:val="0"/>
        <w:autoSpaceDN w:val="0"/>
        <w:adjustRightInd w:val="0"/>
        <w:jc w:val="both"/>
        <w:rPr>
          <w:rFonts w:ascii="Arial" w:hAnsi="Arial" w:cs="Arial"/>
          <w:b/>
          <w:bCs/>
        </w:rPr>
      </w:pPr>
      <w:r w:rsidRPr="007910F7">
        <w:rPr>
          <w:rFonts w:ascii="Arial" w:hAnsi="Arial" w:cs="Arial"/>
          <w:b/>
          <w:bCs/>
        </w:rPr>
        <w:t>Figura nr. 2.1</w:t>
      </w:r>
      <w:r>
        <w:rPr>
          <w:rFonts w:ascii="Arial" w:hAnsi="Arial" w:cs="Arial"/>
          <w:b/>
          <w:bCs/>
        </w:rPr>
        <w:t>.</w:t>
      </w:r>
      <w:r w:rsidRPr="007910F7">
        <w:rPr>
          <w:rFonts w:ascii="Arial" w:hAnsi="Arial" w:cs="Arial"/>
          <w:b/>
          <w:bCs/>
        </w:rPr>
        <w:t>1</w:t>
      </w:r>
      <w:r>
        <w:rPr>
          <w:rFonts w:ascii="Arial" w:hAnsi="Arial" w:cs="Arial"/>
          <w:b/>
          <w:bCs/>
        </w:rPr>
        <w:t>. - 1</w:t>
      </w:r>
      <w:r w:rsidRPr="007910F7">
        <w:rPr>
          <w:rFonts w:ascii="Arial" w:hAnsi="Arial" w:cs="Arial"/>
        </w:rPr>
        <w:t xml:space="preserve"> - Calitatea cursurilor de apă monitorizate la nivelul județului Brăila în perioada anilor 2010- 2014 </w:t>
      </w:r>
    </w:p>
    <w:p w:rsidR="00691934" w:rsidRPr="007910F7" w:rsidRDefault="00691934" w:rsidP="00691934">
      <w:pPr>
        <w:autoSpaceDE w:val="0"/>
        <w:autoSpaceDN w:val="0"/>
        <w:adjustRightInd w:val="0"/>
        <w:ind w:firstLine="720"/>
        <w:jc w:val="both"/>
        <w:rPr>
          <w:rFonts w:ascii="Arial" w:hAnsi="Arial" w:cs="Arial"/>
          <w:b/>
          <w:bCs/>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shd w:val="clear" w:color="auto" w:fill="FDE9D9" w:themeFill="accent6" w:themeFillTint="33"/>
        <w:tblLook w:val="00A0"/>
      </w:tblPr>
      <w:tblGrid>
        <w:gridCol w:w="3856"/>
        <w:gridCol w:w="831"/>
        <w:gridCol w:w="831"/>
        <w:gridCol w:w="846"/>
        <w:gridCol w:w="831"/>
        <w:gridCol w:w="1030"/>
      </w:tblGrid>
      <w:tr w:rsidR="00691934" w:rsidRPr="007910F7" w:rsidTr="00012F90">
        <w:trPr>
          <w:jc w:val="center"/>
        </w:trPr>
        <w:tc>
          <w:tcPr>
            <w:tcW w:w="3856" w:type="dxa"/>
            <w:shd w:val="clear" w:color="auto" w:fill="FDE9D9" w:themeFill="accent6" w:themeFillTint="33"/>
          </w:tcPr>
          <w:p w:rsidR="00691934" w:rsidRPr="007910F7" w:rsidRDefault="00691934" w:rsidP="00012F90">
            <w:pPr>
              <w:pStyle w:val="Default"/>
              <w:rPr>
                <w:rFonts w:ascii="Arial" w:hAnsi="Arial" w:cs="Arial"/>
                <w:b/>
                <w:bCs/>
                <w:color w:val="auto"/>
              </w:rPr>
            </w:pPr>
          </w:p>
        </w:tc>
        <w:tc>
          <w:tcPr>
            <w:tcW w:w="831" w:type="dxa"/>
            <w:shd w:val="clear" w:color="auto" w:fill="FDE9D9" w:themeFill="accent6" w:themeFillTint="33"/>
          </w:tcPr>
          <w:p w:rsidR="00691934" w:rsidRPr="007910F7" w:rsidRDefault="00691934" w:rsidP="00012F90">
            <w:pPr>
              <w:pStyle w:val="Default"/>
              <w:jc w:val="center"/>
              <w:rPr>
                <w:rFonts w:ascii="Arial" w:hAnsi="Arial" w:cs="Arial"/>
                <w:b/>
                <w:bCs/>
                <w:color w:val="auto"/>
              </w:rPr>
            </w:pPr>
            <w:r w:rsidRPr="007910F7">
              <w:rPr>
                <w:rFonts w:ascii="Arial" w:hAnsi="Arial" w:cs="Arial"/>
                <w:b/>
                <w:bCs/>
                <w:color w:val="auto"/>
              </w:rPr>
              <w:t>2010</w:t>
            </w:r>
          </w:p>
        </w:tc>
        <w:tc>
          <w:tcPr>
            <w:tcW w:w="831" w:type="dxa"/>
            <w:shd w:val="clear" w:color="auto" w:fill="FDE9D9" w:themeFill="accent6" w:themeFillTint="33"/>
          </w:tcPr>
          <w:p w:rsidR="00691934" w:rsidRPr="007910F7" w:rsidRDefault="00691934" w:rsidP="00012F90">
            <w:pPr>
              <w:pStyle w:val="Default"/>
              <w:jc w:val="center"/>
              <w:rPr>
                <w:rFonts w:ascii="Arial" w:hAnsi="Arial" w:cs="Arial"/>
                <w:b/>
                <w:bCs/>
                <w:color w:val="auto"/>
              </w:rPr>
            </w:pPr>
            <w:r w:rsidRPr="007910F7">
              <w:rPr>
                <w:rFonts w:ascii="Arial" w:hAnsi="Arial" w:cs="Arial"/>
                <w:b/>
                <w:bCs/>
                <w:color w:val="auto"/>
              </w:rPr>
              <w:t>2011</w:t>
            </w:r>
          </w:p>
        </w:tc>
        <w:tc>
          <w:tcPr>
            <w:tcW w:w="846" w:type="dxa"/>
            <w:shd w:val="clear" w:color="auto" w:fill="FDE9D9" w:themeFill="accent6" w:themeFillTint="33"/>
          </w:tcPr>
          <w:p w:rsidR="00691934" w:rsidRPr="007910F7" w:rsidRDefault="00691934" w:rsidP="00012F90">
            <w:pPr>
              <w:pStyle w:val="Default"/>
              <w:jc w:val="center"/>
              <w:rPr>
                <w:rFonts w:ascii="Arial" w:hAnsi="Arial" w:cs="Arial"/>
                <w:b/>
                <w:bCs/>
                <w:color w:val="auto"/>
              </w:rPr>
            </w:pPr>
            <w:r w:rsidRPr="007910F7">
              <w:rPr>
                <w:rFonts w:ascii="Arial" w:hAnsi="Arial" w:cs="Arial"/>
                <w:b/>
                <w:bCs/>
                <w:color w:val="auto"/>
              </w:rPr>
              <w:t>2012</w:t>
            </w:r>
          </w:p>
        </w:tc>
        <w:tc>
          <w:tcPr>
            <w:tcW w:w="831" w:type="dxa"/>
            <w:shd w:val="clear" w:color="auto" w:fill="FDE9D9" w:themeFill="accent6" w:themeFillTint="33"/>
          </w:tcPr>
          <w:p w:rsidR="00691934" w:rsidRPr="007910F7" w:rsidRDefault="00691934" w:rsidP="00012F90">
            <w:pPr>
              <w:pStyle w:val="Default"/>
              <w:jc w:val="center"/>
              <w:rPr>
                <w:rFonts w:ascii="Arial" w:hAnsi="Arial" w:cs="Arial"/>
                <w:b/>
                <w:bCs/>
                <w:color w:val="auto"/>
              </w:rPr>
            </w:pPr>
            <w:r w:rsidRPr="007910F7">
              <w:rPr>
                <w:rFonts w:ascii="Arial" w:hAnsi="Arial" w:cs="Arial"/>
                <w:b/>
                <w:bCs/>
                <w:color w:val="auto"/>
              </w:rPr>
              <w:t>2013</w:t>
            </w:r>
          </w:p>
        </w:tc>
        <w:tc>
          <w:tcPr>
            <w:tcW w:w="993" w:type="dxa"/>
            <w:shd w:val="clear" w:color="auto" w:fill="FDE9D9" w:themeFill="accent6" w:themeFillTint="33"/>
          </w:tcPr>
          <w:p w:rsidR="00691934" w:rsidRPr="007910F7" w:rsidRDefault="00691934" w:rsidP="00012F90">
            <w:pPr>
              <w:pStyle w:val="Default"/>
              <w:jc w:val="center"/>
              <w:rPr>
                <w:rFonts w:ascii="Arial" w:hAnsi="Arial" w:cs="Arial"/>
                <w:b/>
                <w:bCs/>
                <w:color w:val="auto"/>
              </w:rPr>
            </w:pPr>
            <w:r w:rsidRPr="007910F7">
              <w:rPr>
                <w:rFonts w:ascii="Arial" w:hAnsi="Arial" w:cs="Arial"/>
                <w:b/>
                <w:bCs/>
                <w:color w:val="auto"/>
              </w:rPr>
              <w:t>2014</w:t>
            </w:r>
          </w:p>
        </w:tc>
      </w:tr>
      <w:tr w:rsidR="00691934" w:rsidRPr="00F13F48" w:rsidTr="00012F90">
        <w:trPr>
          <w:jc w:val="center"/>
        </w:trPr>
        <w:tc>
          <w:tcPr>
            <w:tcW w:w="3856" w:type="dxa"/>
            <w:shd w:val="clear" w:color="auto" w:fill="FDE9D9" w:themeFill="accent6" w:themeFillTint="33"/>
          </w:tcPr>
          <w:p w:rsidR="00691934" w:rsidRPr="007910F7" w:rsidRDefault="00691934" w:rsidP="00012F90">
            <w:pPr>
              <w:pStyle w:val="Default"/>
              <w:rPr>
                <w:rFonts w:ascii="Arial" w:hAnsi="Arial" w:cs="Arial"/>
                <w:b/>
                <w:bCs/>
                <w:color w:val="auto"/>
              </w:rPr>
            </w:pPr>
            <w:r w:rsidRPr="007910F7">
              <w:rPr>
                <w:rFonts w:ascii="Arial" w:hAnsi="Arial" w:cs="Arial"/>
                <w:b/>
                <w:bCs/>
                <w:color w:val="auto"/>
              </w:rPr>
              <w:t>SE inferioară stării bune</w:t>
            </w:r>
            <w:r>
              <w:rPr>
                <w:rFonts w:ascii="Arial" w:hAnsi="Arial" w:cs="Arial"/>
                <w:b/>
                <w:bCs/>
                <w:color w:val="auto"/>
              </w:rPr>
              <w:t xml:space="preserve"> </w:t>
            </w:r>
            <w:r w:rsidRPr="007910F7">
              <w:rPr>
                <w:rFonts w:ascii="Arial" w:hAnsi="Arial" w:cs="Arial"/>
                <w:b/>
                <w:bCs/>
                <w:color w:val="auto"/>
              </w:rPr>
              <w:t xml:space="preserve"> (%)</w:t>
            </w:r>
          </w:p>
        </w:tc>
        <w:tc>
          <w:tcPr>
            <w:tcW w:w="831" w:type="dxa"/>
            <w:shd w:val="clear" w:color="auto" w:fill="FDE9D9" w:themeFill="accent6" w:themeFillTint="33"/>
          </w:tcPr>
          <w:p w:rsidR="00691934" w:rsidRPr="007910F7" w:rsidRDefault="00691934" w:rsidP="00012F90">
            <w:pPr>
              <w:pStyle w:val="Default"/>
              <w:jc w:val="center"/>
              <w:rPr>
                <w:rFonts w:ascii="Arial" w:hAnsi="Arial" w:cs="Arial"/>
                <w:color w:val="auto"/>
              </w:rPr>
            </w:pPr>
            <w:r w:rsidRPr="007910F7">
              <w:rPr>
                <w:rFonts w:ascii="Arial" w:hAnsi="Arial" w:cs="Arial"/>
                <w:color w:val="auto"/>
              </w:rPr>
              <w:t>0</w:t>
            </w:r>
          </w:p>
        </w:tc>
        <w:tc>
          <w:tcPr>
            <w:tcW w:w="831" w:type="dxa"/>
            <w:shd w:val="clear" w:color="auto" w:fill="FDE9D9" w:themeFill="accent6" w:themeFillTint="33"/>
          </w:tcPr>
          <w:p w:rsidR="00691934" w:rsidRPr="007910F7" w:rsidRDefault="00691934" w:rsidP="00012F90">
            <w:pPr>
              <w:pStyle w:val="Default"/>
              <w:jc w:val="center"/>
              <w:rPr>
                <w:rFonts w:ascii="Arial" w:hAnsi="Arial" w:cs="Arial"/>
                <w:color w:val="auto"/>
              </w:rPr>
            </w:pPr>
            <w:r w:rsidRPr="007910F7">
              <w:rPr>
                <w:rFonts w:ascii="Arial" w:hAnsi="Arial" w:cs="Arial"/>
                <w:color w:val="auto"/>
              </w:rPr>
              <w:t>100%</w:t>
            </w:r>
          </w:p>
        </w:tc>
        <w:tc>
          <w:tcPr>
            <w:tcW w:w="846" w:type="dxa"/>
            <w:shd w:val="clear" w:color="auto" w:fill="FDE9D9" w:themeFill="accent6" w:themeFillTint="33"/>
          </w:tcPr>
          <w:p w:rsidR="00691934" w:rsidRPr="007910F7" w:rsidRDefault="00691934" w:rsidP="00012F90">
            <w:pPr>
              <w:pStyle w:val="Default"/>
              <w:jc w:val="center"/>
              <w:rPr>
                <w:rFonts w:ascii="Arial" w:hAnsi="Arial" w:cs="Arial"/>
                <w:color w:val="auto"/>
              </w:rPr>
            </w:pPr>
            <w:r w:rsidRPr="007910F7">
              <w:rPr>
                <w:rFonts w:ascii="Arial" w:hAnsi="Arial" w:cs="Arial"/>
                <w:color w:val="auto"/>
              </w:rPr>
              <w:t>100%</w:t>
            </w:r>
          </w:p>
        </w:tc>
        <w:tc>
          <w:tcPr>
            <w:tcW w:w="831" w:type="dxa"/>
            <w:shd w:val="clear" w:color="auto" w:fill="FDE9D9" w:themeFill="accent6" w:themeFillTint="33"/>
          </w:tcPr>
          <w:p w:rsidR="00691934" w:rsidRPr="007910F7" w:rsidRDefault="00691934" w:rsidP="00012F90">
            <w:pPr>
              <w:pStyle w:val="Default"/>
              <w:jc w:val="center"/>
              <w:rPr>
                <w:rFonts w:ascii="Arial" w:hAnsi="Arial" w:cs="Arial"/>
                <w:color w:val="auto"/>
              </w:rPr>
            </w:pPr>
            <w:r w:rsidRPr="007910F7">
              <w:rPr>
                <w:rFonts w:ascii="Arial" w:hAnsi="Arial" w:cs="Arial"/>
                <w:color w:val="auto"/>
              </w:rPr>
              <w:t>100%</w:t>
            </w:r>
          </w:p>
        </w:tc>
        <w:tc>
          <w:tcPr>
            <w:tcW w:w="993" w:type="dxa"/>
            <w:shd w:val="clear" w:color="auto" w:fill="FDE9D9" w:themeFill="accent6" w:themeFillTint="33"/>
          </w:tcPr>
          <w:p w:rsidR="00691934" w:rsidRPr="00992180" w:rsidRDefault="00691934" w:rsidP="00012F90">
            <w:pPr>
              <w:pStyle w:val="Default"/>
              <w:jc w:val="center"/>
              <w:rPr>
                <w:rFonts w:ascii="Arial" w:hAnsi="Arial" w:cs="Arial"/>
                <w:color w:val="auto"/>
              </w:rPr>
            </w:pPr>
            <w:r w:rsidRPr="00992180">
              <w:rPr>
                <w:rFonts w:ascii="Arial" w:hAnsi="Arial" w:cs="Arial"/>
                <w:color w:val="auto"/>
              </w:rPr>
              <w:t>52,76%</w:t>
            </w:r>
          </w:p>
        </w:tc>
      </w:tr>
    </w:tbl>
    <w:p w:rsidR="00691934" w:rsidRDefault="00691934" w:rsidP="00691934">
      <w:pPr>
        <w:autoSpaceDE w:val="0"/>
        <w:autoSpaceDN w:val="0"/>
        <w:adjustRightInd w:val="0"/>
        <w:ind w:firstLine="720"/>
        <w:jc w:val="both"/>
        <w:rPr>
          <w:rFonts w:ascii="Arial" w:hAnsi="Arial" w:cs="Arial"/>
          <w:b/>
          <w:bCs/>
        </w:rPr>
      </w:pPr>
    </w:p>
    <w:p w:rsidR="00691934" w:rsidRDefault="00691934" w:rsidP="00691934">
      <w:pPr>
        <w:tabs>
          <w:tab w:val="left" w:pos="1740"/>
        </w:tabs>
      </w:pPr>
    </w:p>
    <w:p w:rsidR="00691934" w:rsidRPr="00CC0C67" w:rsidRDefault="00691934" w:rsidP="00691934">
      <w:pPr>
        <w:tabs>
          <w:tab w:val="left" w:pos="1740"/>
        </w:tabs>
        <w:jc w:val="center"/>
      </w:pPr>
      <w:r>
        <w:rPr>
          <w:noProof/>
          <w:lang w:val="ro-RO" w:eastAsia="ro-RO"/>
        </w:rPr>
        <w:drawing>
          <wp:inline distT="0" distB="0" distL="0" distR="0">
            <wp:extent cx="5486400" cy="3200400"/>
            <wp:effectExtent l="19050" t="0" r="19050" b="0"/>
            <wp:docPr id="5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61"/>
              </a:graphicData>
            </a:graphic>
          </wp:inline>
        </w:drawing>
      </w:r>
    </w:p>
    <w:p w:rsidR="00691934" w:rsidRPr="00F13F48" w:rsidRDefault="00691934" w:rsidP="00691934">
      <w:pPr>
        <w:autoSpaceDE w:val="0"/>
        <w:autoSpaceDN w:val="0"/>
        <w:adjustRightInd w:val="0"/>
        <w:ind w:firstLine="720"/>
        <w:jc w:val="both"/>
        <w:rPr>
          <w:rFonts w:ascii="Arial" w:hAnsi="Arial" w:cs="Arial"/>
          <w:b/>
          <w:bCs/>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Tabel nr.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- 5</w:t>
      </w:r>
      <w:r w:rsidRPr="00F13F48">
        <w:rPr>
          <w:rFonts w:ascii="Arial" w:hAnsi="Arial" w:cs="Arial"/>
          <w:color w:val="auto"/>
        </w:rPr>
        <w:t xml:space="preserve"> - Modificarea calităţii cursurilor de apă între starea ecologică inferioară stării bune şi starea ecologică bună la nivelul județului Brăila în perioada 2010 - 2014</w:t>
      </w:r>
    </w:p>
    <w:p w:rsidR="00691934" w:rsidRPr="00F13F48" w:rsidRDefault="00691934" w:rsidP="00691934">
      <w:pPr>
        <w:autoSpaceDE w:val="0"/>
        <w:autoSpaceDN w:val="0"/>
        <w:adjustRightInd w:val="0"/>
        <w:ind w:firstLine="720"/>
        <w:jc w:val="both"/>
        <w:rPr>
          <w:rFonts w:ascii="Arial" w:hAnsi="Arial" w:cs="Arial"/>
          <w:b/>
          <w:bCs/>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tblPr>
      <w:tblGrid>
        <w:gridCol w:w="1317"/>
        <w:gridCol w:w="2871"/>
        <w:gridCol w:w="750"/>
        <w:gridCol w:w="750"/>
        <w:gridCol w:w="750"/>
        <w:gridCol w:w="750"/>
        <w:gridCol w:w="817"/>
        <w:gridCol w:w="1543"/>
      </w:tblGrid>
      <w:tr w:rsidR="00691934" w:rsidRPr="00F13F48" w:rsidTr="00012F90">
        <w:trPr>
          <w:trHeight w:val="305"/>
          <w:jc w:val="center"/>
        </w:trPr>
        <w:tc>
          <w:tcPr>
            <w:tcW w:w="1317"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A</w:t>
            </w:r>
          </w:p>
        </w:tc>
        <w:tc>
          <w:tcPr>
            <w:tcW w:w="0" w:type="auto"/>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B</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C</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D</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E</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F</w:t>
            </w:r>
          </w:p>
        </w:tc>
        <w:tc>
          <w:tcPr>
            <w:tcW w:w="73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G</w:t>
            </w:r>
          </w:p>
        </w:tc>
        <w:tc>
          <w:tcPr>
            <w:tcW w:w="15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i/>
                <w:iCs/>
                <w:color w:val="auto"/>
              </w:rPr>
              <w:t>H</w:t>
            </w:r>
          </w:p>
        </w:tc>
      </w:tr>
      <w:tr w:rsidR="00691934" w:rsidRPr="00F13F48" w:rsidTr="00012F90">
        <w:trPr>
          <w:trHeight w:val="517"/>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i/>
                <w:iCs/>
                <w:color w:val="auto"/>
              </w:rPr>
              <w:t>1</w:t>
            </w:r>
          </w:p>
        </w:tc>
        <w:tc>
          <w:tcPr>
            <w:tcW w:w="0" w:type="auto"/>
            <w:vMerge w:val="restart"/>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Categorie curs de apă</w:t>
            </w:r>
          </w:p>
        </w:tc>
        <w:tc>
          <w:tcPr>
            <w:tcW w:w="3735" w:type="dxa"/>
            <w:gridSpan w:val="5"/>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SE* inferioară stării bune</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 din reţea monitorizată)</w:t>
            </w:r>
          </w:p>
        </w:tc>
        <w:tc>
          <w:tcPr>
            <w:tcW w:w="1543" w:type="dxa"/>
            <w:vMerge w:val="restart"/>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Norma de schimbare (% SE* inferioară stării bune)</w:t>
            </w:r>
          </w:p>
        </w:tc>
      </w:tr>
      <w:tr w:rsidR="00691934" w:rsidRPr="00F13F48" w:rsidTr="00012F90">
        <w:trPr>
          <w:trHeight w:val="361"/>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p>
          <w:p w:rsidR="00691934" w:rsidRPr="00F13F48" w:rsidRDefault="00691934" w:rsidP="00012F90">
            <w:pPr>
              <w:pStyle w:val="Default"/>
              <w:rPr>
                <w:rFonts w:ascii="Arial" w:hAnsi="Arial" w:cs="Arial"/>
                <w:color w:val="auto"/>
              </w:rPr>
            </w:pPr>
            <w:r w:rsidRPr="00F13F48">
              <w:rPr>
                <w:rFonts w:ascii="Arial" w:hAnsi="Arial" w:cs="Arial"/>
                <w:i/>
                <w:iCs/>
                <w:color w:val="auto"/>
              </w:rPr>
              <w:t xml:space="preserve">2 </w:t>
            </w:r>
          </w:p>
        </w:tc>
        <w:tc>
          <w:tcPr>
            <w:tcW w:w="0" w:type="auto"/>
            <w:vMerge/>
            <w:shd w:val="clear" w:color="auto" w:fill="FDE9D9" w:themeFill="accent6" w:themeFillTint="33"/>
          </w:tcPr>
          <w:p w:rsidR="00691934" w:rsidRPr="00F13F48" w:rsidRDefault="00691934" w:rsidP="00012F90">
            <w:pPr>
              <w:pStyle w:val="Default"/>
              <w:rPr>
                <w:rFonts w:ascii="Arial" w:hAnsi="Arial" w:cs="Arial"/>
                <w:color w:val="auto"/>
              </w:rPr>
            </w:pPr>
          </w:p>
        </w:tc>
        <w:tc>
          <w:tcPr>
            <w:tcW w:w="75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2010</w:t>
            </w:r>
          </w:p>
        </w:tc>
        <w:tc>
          <w:tcPr>
            <w:tcW w:w="75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2011</w:t>
            </w:r>
          </w:p>
        </w:tc>
        <w:tc>
          <w:tcPr>
            <w:tcW w:w="75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2012</w:t>
            </w:r>
          </w:p>
        </w:tc>
        <w:tc>
          <w:tcPr>
            <w:tcW w:w="750" w:type="dxa"/>
            <w:shd w:val="clear" w:color="auto" w:fill="FDE9D9" w:themeFill="accent6" w:themeFillTint="33"/>
            <w:vAlign w:val="center"/>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2013</w:t>
            </w:r>
          </w:p>
        </w:tc>
        <w:tc>
          <w:tcPr>
            <w:tcW w:w="735" w:type="dxa"/>
            <w:shd w:val="clear" w:color="auto" w:fill="FDE9D9" w:themeFill="accent6" w:themeFillTint="33"/>
            <w:vAlign w:val="center"/>
          </w:tcPr>
          <w:p w:rsidR="00691934" w:rsidRPr="00F13F48" w:rsidRDefault="00691934" w:rsidP="00012F90">
            <w:pPr>
              <w:pStyle w:val="Default"/>
              <w:jc w:val="center"/>
              <w:rPr>
                <w:rFonts w:ascii="Arial" w:hAnsi="Arial" w:cs="Arial"/>
                <w:b/>
                <w:bCs/>
                <w:color w:val="auto"/>
              </w:rPr>
            </w:pPr>
            <w:r w:rsidRPr="00F13F48">
              <w:rPr>
                <w:rFonts w:ascii="Arial" w:hAnsi="Arial" w:cs="Arial"/>
                <w:b/>
                <w:bCs/>
                <w:color w:val="auto"/>
              </w:rPr>
              <w:t>2014</w:t>
            </w:r>
          </w:p>
        </w:tc>
        <w:tc>
          <w:tcPr>
            <w:tcW w:w="1543" w:type="dxa"/>
            <w:vMerge/>
            <w:shd w:val="clear" w:color="auto" w:fill="FDE9D9" w:themeFill="accent6" w:themeFillTint="33"/>
          </w:tcPr>
          <w:p w:rsidR="00691934" w:rsidRPr="00F13F48" w:rsidRDefault="00691934" w:rsidP="00012F90">
            <w:pPr>
              <w:pStyle w:val="Default"/>
              <w:rPr>
                <w:rFonts w:ascii="Arial" w:hAnsi="Arial" w:cs="Arial"/>
                <w:color w:val="auto"/>
              </w:rPr>
            </w:pPr>
          </w:p>
        </w:tc>
      </w:tr>
      <w:tr w:rsidR="00691934" w:rsidRPr="00F13F48" w:rsidTr="00012F90">
        <w:trPr>
          <w:trHeight w:val="361"/>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i/>
                <w:iCs/>
                <w:color w:val="auto"/>
              </w:rPr>
              <w:t xml:space="preserve">3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Fluviul Dunărea </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3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100</w:t>
            </w:r>
          </w:p>
        </w:tc>
        <w:tc>
          <w:tcPr>
            <w:tcW w:w="1543" w:type="dxa"/>
            <w:shd w:val="clear" w:color="auto" w:fill="FDE9D9" w:themeFill="accent6" w:themeFillTint="33"/>
          </w:tcPr>
          <w:p w:rsidR="00691934" w:rsidRPr="00F13F48" w:rsidRDefault="00691934" w:rsidP="00012F90">
            <w:pPr>
              <w:pStyle w:val="Default"/>
              <w:rPr>
                <w:rFonts w:ascii="Arial" w:hAnsi="Arial" w:cs="Arial"/>
                <w:color w:val="auto"/>
              </w:rPr>
            </w:pPr>
          </w:p>
        </w:tc>
      </w:tr>
      <w:tr w:rsidR="00691934" w:rsidRPr="00F13F48" w:rsidTr="00012F90">
        <w:trPr>
          <w:trHeight w:val="361"/>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i/>
                <w:iCs/>
                <w:color w:val="auto"/>
              </w:rPr>
              <w:t xml:space="preserve">4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naturale - total </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3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r>
              <w:rPr>
                <w:rFonts w:ascii="Arial" w:hAnsi="Arial" w:cs="Arial"/>
                <w:color w:val="auto"/>
              </w:rPr>
              <w:t>9,3</w:t>
            </w:r>
          </w:p>
        </w:tc>
        <w:tc>
          <w:tcPr>
            <w:tcW w:w="1543" w:type="dxa"/>
            <w:shd w:val="clear" w:color="auto" w:fill="FDE9D9" w:themeFill="accent6" w:themeFillTint="33"/>
          </w:tcPr>
          <w:p w:rsidR="00691934" w:rsidRPr="00F13F48" w:rsidRDefault="00691934" w:rsidP="00012F90">
            <w:pPr>
              <w:pStyle w:val="Default"/>
              <w:rPr>
                <w:rFonts w:ascii="Arial" w:hAnsi="Arial" w:cs="Arial"/>
                <w:color w:val="auto"/>
              </w:rPr>
            </w:pPr>
          </w:p>
        </w:tc>
      </w:tr>
      <w:tr w:rsidR="00691934" w:rsidRPr="00F13F48" w:rsidTr="00012F90">
        <w:trPr>
          <w:trHeight w:val="361"/>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i/>
                <w:iCs/>
                <w:color w:val="auto"/>
              </w:rPr>
              <w:t xml:space="preserve">5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puternic modificate </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3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43" w:type="dxa"/>
            <w:shd w:val="clear" w:color="auto" w:fill="FDE9D9" w:themeFill="accent6" w:themeFillTint="33"/>
          </w:tcPr>
          <w:p w:rsidR="00691934" w:rsidRPr="00F13F48" w:rsidRDefault="00691934" w:rsidP="00012F90">
            <w:pPr>
              <w:pStyle w:val="Default"/>
              <w:rPr>
                <w:rFonts w:ascii="Arial" w:hAnsi="Arial" w:cs="Arial"/>
                <w:color w:val="auto"/>
              </w:rPr>
            </w:pPr>
          </w:p>
        </w:tc>
      </w:tr>
      <w:tr w:rsidR="00691934" w:rsidRPr="00F13F48" w:rsidTr="00012F90">
        <w:trPr>
          <w:trHeight w:val="358"/>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i/>
                <w:iCs/>
                <w:color w:val="auto"/>
              </w:rPr>
              <w:t xml:space="preserve">6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artificiale </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w:t>
            </w:r>
          </w:p>
        </w:tc>
        <w:tc>
          <w:tcPr>
            <w:tcW w:w="73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43" w:type="dxa"/>
            <w:shd w:val="clear" w:color="auto" w:fill="FDE9D9" w:themeFill="accent6" w:themeFillTint="33"/>
          </w:tcPr>
          <w:p w:rsidR="00691934" w:rsidRPr="00F13F48" w:rsidRDefault="00691934" w:rsidP="00012F90">
            <w:pPr>
              <w:pStyle w:val="Default"/>
              <w:rPr>
                <w:rFonts w:ascii="Arial" w:hAnsi="Arial" w:cs="Arial"/>
                <w:color w:val="auto"/>
              </w:rPr>
            </w:pPr>
          </w:p>
        </w:tc>
      </w:tr>
      <w:tr w:rsidR="00691934" w:rsidRPr="00F13F48" w:rsidTr="00012F90">
        <w:trPr>
          <w:trHeight w:val="370"/>
          <w:jc w:val="center"/>
        </w:trPr>
        <w:tc>
          <w:tcPr>
            <w:tcW w:w="1317"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i/>
                <w:iCs/>
                <w:color w:val="auto"/>
              </w:rPr>
              <w:t xml:space="preserve">7 </w:t>
            </w:r>
          </w:p>
        </w:tc>
        <w:tc>
          <w:tcPr>
            <w:tcW w:w="0" w:type="auto"/>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Total județ BR</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50"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100</w:t>
            </w:r>
          </w:p>
        </w:tc>
        <w:tc>
          <w:tcPr>
            <w:tcW w:w="735" w:type="dxa"/>
            <w:shd w:val="clear" w:color="auto" w:fill="FDE9D9" w:themeFill="accent6" w:themeFillTint="33"/>
          </w:tcPr>
          <w:p w:rsidR="00691934" w:rsidRPr="00F13F48" w:rsidRDefault="00691934" w:rsidP="00012F90">
            <w:pPr>
              <w:pStyle w:val="Default"/>
              <w:jc w:val="center"/>
              <w:rPr>
                <w:rFonts w:ascii="Arial" w:hAnsi="Arial" w:cs="Arial"/>
                <w:color w:val="auto"/>
              </w:rPr>
            </w:pPr>
            <w:r>
              <w:rPr>
                <w:rFonts w:ascii="Arial" w:hAnsi="Arial" w:cs="Arial"/>
                <w:color w:val="auto"/>
              </w:rPr>
              <w:t>52,76</w:t>
            </w:r>
          </w:p>
        </w:tc>
        <w:tc>
          <w:tcPr>
            <w:tcW w:w="1543" w:type="dxa"/>
            <w:shd w:val="clear" w:color="auto" w:fill="FDE9D9" w:themeFill="accent6" w:themeFillTint="33"/>
          </w:tcPr>
          <w:p w:rsidR="00691934" w:rsidRPr="00F13F48" w:rsidRDefault="00691934" w:rsidP="00012F90">
            <w:pPr>
              <w:pStyle w:val="Default"/>
              <w:rPr>
                <w:rFonts w:ascii="Arial" w:hAnsi="Arial" w:cs="Arial"/>
                <w:color w:val="auto"/>
              </w:rPr>
            </w:pPr>
          </w:p>
        </w:tc>
      </w:tr>
    </w:tbl>
    <w:p w:rsidR="00691934" w:rsidRPr="00F13F48" w:rsidRDefault="00691934" w:rsidP="00691934">
      <w:pPr>
        <w:autoSpaceDE w:val="0"/>
        <w:autoSpaceDN w:val="0"/>
        <w:adjustRightInd w:val="0"/>
        <w:ind w:firstLine="720"/>
        <w:jc w:val="both"/>
        <w:rPr>
          <w:rFonts w:ascii="Arial" w:hAnsi="Arial" w:cs="Arial"/>
          <w:b/>
          <w:bCs/>
        </w:rPr>
      </w:pPr>
    </w:p>
    <w:p w:rsidR="00691934" w:rsidRDefault="00691934" w:rsidP="00691934">
      <w:pPr>
        <w:pStyle w:val="Default"/>
        <w:rPr>
          <w:rFonts w:ascii="Arial" w:hAnsi="Arial" w:cs="Arial"/>
          <w:b/>
          <w:bCs/>
          <w:color w:val="auto"/>
        </w:rPr>
      </w:pPr>
    </w:p>
    <w:p w:rsidR="00691934" w:rsidRDefault="00691934" w:rsidP="00691934">
      <w:pPr>
        <w:pStyle w:val="Default"/>
        <w:rPr>
          <w:rFonts w:ascii="Arial" w:hAnsi="Arial" w:cs="Arial"/>
          <w:b/>
          <w:bCs/>
          <w:color w:val="auto"/>
        </w:rPr>
      </w:pPr>
      <w:r>
        <w:rPr>
          <w:rFonts w:ascii="Arial" w:hAnsi="Arial" w:cs="Arial"/>
          <w:b/>
          <w:bCs/>
          <w:color w:val="auto"/>
        </w:rPr>
        <w:t>Substanțele consumatoare de oxigen din râuri – indicator RO 19</w:t>
      </w:r>
    </w:p>
    <w:p w:rsidR="00691934" w:rsidRPr="00F13F48"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i/>
          <w:iCs/>
          <w:color w:val="auto"/>
        </w:rPr>
      </w:pPr>
      <w:r w:rsidRPr="00F13F48">
        <w:rPr>
          <w:rFonts w:ascii="Arial" w:hAnsi="Arial" w:cs="Arial"/>
          <w:b/>
          <w:bCs/>
          <w:color w:val="auto"/>
        </w:rPr>
        <w:t>Tabel nr.</w:t>
      </w:r>
      <w:r w:rsidRPr="000543A3">
        <w:rPr>
          <w:rFonts w:ascii="Arial" w:hAnsi="Arial" w:cs="Arial"/>
          <w:b/>
          <w:bCs/>
          <w:color w:val="auto"/>
        </w:rPr>
        <w:t xml:space="preserve">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- 6</w:t>
      </w:r>
      <w:r w:rsidRPr="00F13F48">
        <w:rPr>
          <w:rFonts w:ascii="Arial" w:hAnsi="Arial" w:cs="Arial"/>
          <w:color w:val="auto"/>
        </w:rPr>
        <w:t xml:space="preserve"> – Concentraţiile medii ale CBO5  şi NH4</w:t>
      </w:r>
      <w:r w:rsidRPr="00E72CF8">
        <w:rPr>
          <w:rFonts w:ascii="Arial" w:hAnsi="Arial" w:cs="Arial"/>
          <w:color w:val="auto"/>
          <w:vertAlign w:val="superscript"/>
        </w:rPr>
        <w:t>+</w:t>
      </w:r>
      <w:r w:rsidRPr="00F13F48">
        <w:rPr>
          <w:rFonts w:ascii="Arial" w:hAnsi="Arial" w:cs="Arial"/>
          <w:color w:val="auto"/>
        </w:rPr>
        <w:t xml:space="preserve">  determinate în cursurile de apă din județul Brăila, în anul  2014 </w:t>
      </w:r>
    </w:p>
    <w:p w:rsidR="00691934" w:rsidRPr="00F13F48" w:rsidRDefault="00691934" w:rsidP="00691934">
      <w:pPr>
        <w:autoSpaceDE w:val="0"/>
        <w:autoSpaceDN w:val="0"/>
        <w:adjustRightInd w:val="0"/>
        <w:ind w:firstLine="720"/>
        <w:jc w:val="both"/>
        <w:rPr>
          <w:rFonts w:ascii="Arial" w:hAnsi="Arial" w:cs="Arial"/>
          <w:b/>
          <w:bCs/>
        </w:rPr>
      </w:pPr>
    </w:p>
    <w:tbl>
      <w:tblPr>
        <w:tblW w:w="9881"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298"/>
        <w:gridCol w:w="2666"/>
        <w:gridCol w:w="1968"/>
        <w:gridCol w:w="1949"/>
      </w:tblGrid>
      <w:tr w:rsidR="00691934" w:rsidRPr="00F13F48" w:rsidTr="00012F90">
        <w:trPr>
          <w:trHeight w:val="574"/>
          <w:jc w:val="center"/>
        </w:trPr>
        <w:tc>
          <w:tcPr>
            <w:tcW w:w="3298"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Bazin/spațiu hidrografic</w:t>
            </w:r>
          </w:p>
        </w:tc>
        <w:tc>
          <w:tcPr>
            <w:tcW w:w="2666"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Secţiuni de control</w:t>
            </w:r>
          </w:p>
        </w:tc>
        <w:tc>
          <w:tcPr>
            <w:tcW w:w="1968"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CBO5</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(mg O2/L)</w:t>
            </w:r>
          </w:p>
        </w:tc>
        <w:tc>
          <w:tcPr>
            <w:tcW w:w="1949"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NH4</w:t>
            </w:r>
            <w:r w:rsidRPr="00E72CF8">
              <w:rPr>
                <w:rFonts w:ascii="Arial" w:hAnsi="Arial" w:cs="Arial"/>
                <w:b/>
                <w:bCs/>
                <w:color w:val="auto"/>
                <w:vertAlign w:val="superscript"/>
              </w:rPr>
              <w:t>+</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(µg N/L)</w:t>
            </w:r>
          </w:p>
        </w:tc>
      </w:tr>
      <w:tr w:rsidR="00691934" w:rsidRPr="00F13F48" w:rsidTr="00012F90">
        <w:trPr>
          <w:trHeight w:val="246"/>
          <w:jc w:val="center"/>
        </w:trPr>
        <w:tc>
          <w:tcPr>
            <w:tcW w:w="3298"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BUZĂU</w:t>
            </w:r>
          </w:p>
        </w:tc>
        <w:tc>
          <w:tcPr>
            <w:tcW w:w="2666" w:type="dxa"/>
            <w:shd w:val="clear" w:color="auto" w:fill="FDE9D9" w:themeFill="accent6" w:themeFillTint="33"/>
          </w:tcPr>
          <w:p w:rsidR="00691934" w:rsidRPr="00F13F48" w:rsidRDefault="00691934" w:rsidP="00012F90">
            <w:pPr>
              <w:jc w:val="center"/>
              <w:rPr>
                <w:rFonts w:ascii="Arial" w:hAnsi="Arial" w:cs="Arial"/>
              </w:rPr>
            </w:pPr>
            <w:r w:rsidRPr="00F13F48">
              <w:rPr>
                <w:rFonts w:ascii="Arial" w:hAnsi="Arial" w:cs="Arial"/>
              </w:rPr>
              <w:t>Racovi</w:t>
            </w:r>
            <w:r>
              <w:rPr>
                <w:rFonts w:ascii="Arial" w:hAnsi="Arial" w:cs="Arial"/>
              </w:rPr>
              <w:t>ț</w:t>
            </w:r>
            <w:r w:rsidRPr="00F13F48">
              <w:rPr>
                <w:rFonts w:ascii="Arial" w:hAnsi="Arial" w:cs="Arial"/>
              </w:rPr>
              <w:t>a</w:t>
            </w:r>
          </w:p>
        </w:tc>
        <w:tc>
          <w:tcPr>
            <w:tcW w:w="1968"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4.235</w:t>
            </w:r>
          </w:p>
        </w:tc>
        <w:tc>
          <w:tcPr>
            <w:tcW w:w="194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0.0785</w:t>
            </w:r>
          </w:p>
        </w:tc>
      </w:tr>
      <w:tr w:rsidR="00691934" w:rsidRPr="00F13F48" w:rsidTr="00012F90">
        <w:trPr>
          <w:trHeight w:val="248"/>
          <w:jc w:val="center"/>
        </w:trPr>
        <w:tc>
          <w:tcPr>
            <w:tcW w:w="3298"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BH Dunăre- Calmatui</w:t>
            </w:r>
          </w:p>
        </w:tc>
        <w:tc>
          <w:tcPr>
            <w:tcW w:w="266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rPr>
              <w:t>Cire</w:t>
            </w:r>
            <w:r>
              <w:rPr>
                <w:rFonts w:ascii="Arial" w:hAnsi="Arial" w:cs="Arial"/>
              </w:rPr>
              <w:t>ș</w:t>
            </w:r>
            <w:r w:rsidRPr="00F13F48">
              <w:rPr>
                <w:rFonts w:ascii="Arial" w:hAnsi="Arial" w:cs="Arial"/>
              </w:rPr>
              <w:t>u</w:t>
            </w:r>
          </w:p>
        </w:tc>
        <w:tc>
          <w:tcPr>
            <w:tcW w:w="1968"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28.995</w:t>
            </w:r>
          </w:p>
        </w:tc>
        <w:tc>
          <w:tcPr>
            <w:tcW w:w="194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0.209</w:t>
            </w:r>
          </w:p>
        </w:tc>
      </w:tr>
      <w:tr w:rsidR="00691934" w:rsidRPr="00F13F48" w:rsidTr="00012F90">
        <w:trPr>
          <w:trHeight w:val="248"/>
          <w:jc w:val="center"/>
        </w:trPr>
        <w:tc>
          <w:tcPr>
            <w:tcW w:w="3298"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BH Dunăre- Calmatui</w:t>
            </w:r>
          </w:p>
        </w:tc>
        <w:tc>
          <w:tcPr>
            <w:tcW w:w="266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rPr>
              <w:t>Berte</w:t>
            </w:r>
            <w:r>
              <w:rPr>
                <w:rFonts w:ascii="Arial" w:hAnsi="Arial" w:cs="Arial"/>
              </w:rPr>
              <w:t>ș</w:t>
            </w:r>
            <w:r w:rsidRPr="00F13F48">
              <w:rPr>
                <w:rFonts w:ascii="Arial" w:hAnsi="Arial" w:cs="Arial"/>
              </w:rPr>
              <w:t>tii de jos</w:t>
            </w:r>
            <w:r w:rsidRPr="00F13F48">
              <w:rPr>
                <w:rFonts w:ascii="Arial" w:hAnsi="Arial" w:cs="Arial"/>
                <w:color w:val="auto"/>
              </w:rPr>
              <w:t>...</w:t>
            </w:r>
          </w:p>
        </w:tc>
        <w:tc>
          <w:tcPr>
            <w:tcW w:w="1968"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33.985</w:t>
            </w:r>
          </w:p>
        </w:tc>
        <w:tc>
          <w:tcPr>
            <w:tcW w:w="1949"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0.247</w:t>
            </w:r>
          </w:p>
        </w:tc>
      </w:tr>
      <w:tr w:rsidR="00691934" w:rsidRPr="00F13F48" w:rsidTr="00012F90">
        <w:trPr>
          <w:trHeight w:val="255"/>
          <w:jc w:val="center"/>
        </w:trPr>
        <w:tc>
          <w:tcPr>
            <w:tcW w:w="3298" w:type="dxa"/>
            <w:shd w:val="clear" w:color="auto" w:fill="FDE9D9" w:themeFill="accent6" w:themeFillTint="33"/>
          </w:tcPr>
          <w:p w:rsidR="00691934" w:rsidRPr="00F13F48" w:rsidRDefault="00691934" w:rsidP="00012F90">
            <w:pPr>
              <w:pStyle w:val="Default"/>
              <w:rPr>
                <w:rFonts w:ascii="Arial" w:hAnsi="Arial" w:cs="Arial"/>
                <w:b/>
                <w:bCs/>
                <w:color w:val="auto"/>
              </w:rPr>
            </w:pPr>
            <w:r w:rsidRPr="00F13F48">
              <w:rPr>
                <w:rFonts w:ascii="Arial" w:hAnsi="Arial" w:cs="Arial"/>
                <w:color w:val="auto"/>
              </w:rPr>
              <w:t xml:space="preserve">BH Dunăre- Dunare </w:t>
            </w:r>
          </w:p>
        </w:tc>
        <w:tc>
          <w:tcPr>
            <w:tcW w:w="266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am. Br</w:t>
            </w:r>
            <w:r>
              <w:rPr>
                <w:rFonts w:ascii="Arial" w:hAnsi="Arial" w:cs="Arial"/>
                <w:color w:val="auto"/>
              </w:rPr>
              <w:t>ă</w:t>
            </w:r>
            <w:r w:rsidRPr="00F13F48">
              <w:rPr>
                <w:rFonts w:ascii="Arial" w:hAnsi="Arial" w:cs="Arial"/>
                <w:color w:val="auto"/>
              </w:rPr>
              <w:t>ila (Gropeni)</w:t>
            </w:r>
          </w:p>
        </w:tc>
        <w:tc>
          <w:tcPr>
            <w:tcW w:w="1968" w:type="dxa"/>
            <w:shd w:val="clear" w:color="auto" w:fill="FDE9D9" w:themeFill="accent6" w:themeFillTint="33"/>
          </w:tcPr>
          <w:p w:rsidR="00691934" w:rsidRPr="000543A3" w:rsidRDefault="00691934" w:rsidP="00012F90">
            <w:pPr>
              <w:pStyle w:val="Default"/>
              <w:jc w:val="center"/>
              <w:rPr>
                <w:rFonts w:ascii="Arial" w:hAnsi="Arial" w:cs="Arial"/>
                <w:bCs/>
                <w:color w:val="auto"/>
              </w:rPr>
            </w:pPr>
            <w:r w:rsidRPr="000543A3">
              <w:rPr>
                <w:rFonts w:ascii="Arial" w:hAnsi="Arial" w:cs="Arial"/>
                <w:bCs/>
                <w:color w:val="auto"/>
              </w:rPr>
              <w:t>3.31</w:t>
            </w:r>
          </w:p>
        </w:tc>
        <w:tc>
          <w:tcPr>
            <w:tcW w:w="1949" w:type="dxa"/>
            <w:shd w:val="clear" w:color="auto" w:fill="FDE9D9" w:themeFill="accent6" w:themeFillTint="33"/>
          </w:tcPr>
          <w:p w:rsidR="00691934" w:rsidRPr="000543A3" w:rsidRDefault="00691934" w:rsidP="00012F90">
            <w:pPr>
              <w:pStyle w:val="Default"/>
              <w:jc w:val="center"/>
              <w:rPr>
                <w:rFonts w:ascii="Arial" w:hAnsi="Arial" w:cs="Arial"/>
                <w:bCs/>
                <w:color w:val="auto"/>
              </w:rPr>
            </w:pPr>
            <w:r w:rsidRPr="000543A3">
              <w:rPr>
                <w:rFonts w:ascii="Arial" w:hAnsi="Arial" w:cs="Arial"/>
                <w:bCs/>
                <w:color w:val="auto"/>
              </w:rPr>
              <w:t>0.1883</w:t>
            </w:r>
          </w:p>
        </w:tc>
      </w:tr>
      <w:tr w:rsidR="00691934" w:rsidRPr="00F13F48" w:rsidTr="00012F90">
        <w:trPr>
          <w:trHeight w:val="325"/>
          <w:jc w:val="center"/>
        </w:trPr>
        <w:tc>
          <w:tcPr>
            <w:tcW w:w="3298" w:type="dxa"/>
            <w:shd w:val="clear" w:color="auto" w:fill="FDE9D9" w:themeFill="accent6" w:themeFillTint="33"/>
          </w:tcPr>
          <w:p w:rsidR="00691934" w:rsidRPr="00F13F48" w:rsidRDefault="00691934" w:rsidP="00012F90">
            <w:pPr>
              <w:rPr>
                <w:rFonts w:ascii="Arial" w:hAnsi="Arial" w:cs="Arial"/>
              </w:rPr>
            </w:pPr>
            <w:r w:rsidRPr="00F13F48">
              <w:rPr>
                <w:rFonts w:ascii="Arial" w:hAnsi="Arial" w:cs="Arial"/>
              </w:rPr>
              <w:t>BH Dunăre- Dunare</w:t>
            </w:r>
          </w:p>
        </w:tc>
        <w:tc>
          <w:tcPr>
            <w:tcW w:w="266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Br</w:t>
            </w:r>
            <w:r>
              <w:rPr>
                <w:rFonts w:ascii="Arial" w:hAnsi="Arial" w:cs="Arial"/>
                <w:color w:val="auto"/>
              </w:rPr>
              <w:t>ă</w:t>
            </w:r>
            <w:r w:rsidRPr="00F13F48">
              <w:rPr>
                <w:rFonts w:ascii="Arial" w:hAnsi="Arial" w:cs="Arial"/>
                <w:color w:val="auto"/>
              </w:rPr>
              <w:t>ila 1</w:t>
            </w:r>
          </w:p>
        </w:tc>
        <w:tc>
          <w:tcPr>
            <w:tcW w:w="1968" w:type="dxa"/>
            <w:shd w:val="clear" w:color="auto" w:fill="FDE9D9" w:themeFill="accent6" w:themeFillTint="33"/>
          </w:tcPr>
          <w:p w:rsidR="00691934" w:rsidRPr="000543A3" w:rsidRDefault="00691934" w:rsidP="00012F90">
            <w:pPr>
              <w:pStyle w:val="Default"/>
              <w:jc w:val="center"/>
              <w:rPr>
                <w:rFonts w:ascii="Arial" w:hAnsi="Arial" w:cs="Arial"/>
                <w:bCs/>
                <w:color w:val="auto"/>
              </w:rPr>
            </w:pPr>
            <w:r w:rsidRPr="000543A3">
              <w:rPr>
                <w:rFonts w:ascii="Arial" w:hAnsi="Arial" w:cs="Arial"/>
                <w:bCs/>
                <w:color w:val="auto"/>
              </w:rPr>
              <w:t>3.56</w:t>
            </w:r>
          </w:p>
        </w:tc>
        <w:tc>
          <w:tcPr>
            <w:tcW w:w="1949" w:type="dxa"/>
            <w:shd w:val="clear" w:color="auto" w:fill="FDE9D9" w:themeFill="accent6" w:themeFillTint="33"/>
          </w:tcPr>
          <w:p w:rsidR="00691934" w:rsidRPr="000543A3" w:rsidRDefault="00691934" w:rsidP="00012F90">
            <w:pPr>
              <w:pStyle w:val="Default"/>
              <w:jc w:val="center"/>
              <w:rPr>
                <w:rFonts w:ascii="Arial" w:hAnsi="Arial" w:cs="Arial"/>
                <w:bCs/>
                <w:color w:val="auto"/>
              </w:rPr>
            </w:pPr>
            <w:r w:rsidRPr="000543A3">
              <w:rPr>
                <w:rFonts w:ascii="Arial" w:hAnsi="Arial" w:cs="Arial"/>
                <w:bCs/>
                <w:color w:val="auto"/>
              </w:rPr>
              <w:t>0.05</w:t>
            </w:r>
          </w:p>
        </w:tc>
      </w:tr>
      <w:tr w:rsidR="00691934" w:rsidRPr="00F13F48" w:rsidTr="00012F90">
        <w:trPr>
          <w:trHeight w:val="255"/>
          <w:jc w:val="center"/>
        </w:trPr>
        <w:tc>
          <w:tcPr>
            <w:tcW w:w="3298" w:type="dxa"/>
            <w:shd w:val="clear" w:color="auto" w:fill="FDE9D9" w:themeFill="accent6" w:themeFillTint="33"/>
          </w:tcPr>
          <w:p w:rsidR="00691934" w:rsidRPr="00F13F48" w:rsidRDefault="00691934" w:rsidP="00012F90">
            <w:pPr>
              <w:rPr>
                <w:rFonts w:ascii="Arial" w:hAnsi="Arial" w:cs="Arial"/>
              </w:rPr>
            </w:pPr>
            <w:r w:rsidRPr="00F13F48">
              <w:rPr>
                <w:rFonts w:ascii="Arial" w:hAnsi="Arial" w:cs="Arial"/>
              </w:rPr>
              <w:t>BH Dunăre- Dunare</w:t>
            </w:r>
          </w:p>
        </w:tc>
        <w:tc>
          <w:tcPr>
            <w:tcW w:w="2666"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Br</w:t>
            </w:r>
            <w:r>
              <w:rPr>
                <w:rFonts w:ascii="Arial" w:hAnsi="Arial" w:cs="Arial"/>
                <w:color w:val="auto"/>
              </w:rPr>
              <w:t>ă</w:t>
            </w:r>
            <w:r w:rsidRPr="00F13F48">
              <w:rPr>
                <w:rFonts w:ascii="Arial" w:hAnsi="Arial" w:cs="Arial"/>
                <w:color w:val="auto"/>
              </w:rPr>
              <w:t>ila 2</w:t>
            </w:r>
          </w:p>
        </w:tc>
        <w:tc>
          <w:tcPr>
            <w:tcW w:w="1968" w:type="dxa"/>
            <w:shd w:val="clear" w:color="auto" w:fill="FDE9D9" w:themeFill="accent6" w:themeFillTint="33"/>
          </w:tcPr>
          <w:p w:rsidR="00691934" w:rsidRPr="000543A3" w:rsidRDefault="00691934" w:rsidP="00012F90">
            <w:pPr>
              <w:pStyle w:val="Default"/>
              <w:jc w:val="center"/>
              <w:rPr>
                <w:rFonts w:ascii="Arial" w:hAnsi="Arial" w:cs="Arial"/>
                <w:bCs/>
                <w:color w:val="auto"/>
              </w:rPr>
            </w:pPr>
            <w:r w:rsidRPr="000543A3">
              <w:rPr>
                <w:rFonts w:ascii="Arial" w:hAnsi="Arial" w:cs="Arial"/>
                <w:bCs/>
                <w:color w:val="auto"/>
              </w:rPr>
              <w:t>3.489</w:t>
            </w:r>
          </w:p>
        </w:tc>
        <w:tc>
          <w:tcPr>
            <w:tcW w:w="1949" w:type="dxa"/>
            <w:shd w:val="clear" w:color="auto" w:fill="FDE9D9" w:themeFill="accent6" w:themeFillTint="33"/>
          </w:tcPr>
          <w:p w:rsidR="00691934" w:rsidRPr="000543A3" w:rsidRDefault="00691934" w:rsidP="00012F90">
            <w:pPr>
              <w:pStyle w:val="Default"/>
              <w:jc w:val="center"/>
              <w:rPr>
                <w:rFonts w:ascii="Arial" w:hAnsi="Arial" w:cs="Arial"/>
                <w:bCs/>
                <w:color w:val="auto"/>
              </w:rPr>
            </w:pPr>
            <w:r w:rsidRPr="000543A3">
              <w:rPr>
                <w:rFonts w:ascii="Arial" w:hAnsi="Arial" w:cs="Arial"/>
                <w:bCs/>
                <w:color w:val="auto"/>
              </w:rPr>
              <w:t>0.1666</w:t>
            </w:r>
          </w:p>
        </w:tc>
      </w:tr>
    </w:tbl>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                          *</w:t>
      </w:r>
      <w:r w:rsidRPr="00F13F48">
        <w:rPr>
          <w:rFonts w:ascii="Arial" w:hAnsi="Arial" w:cs="Arial"/>
          <w:color w:val="auto"/>
        </w:rPr>
        <w:t xml:space="preserve"> Concentraţii medii anuale ponderate cu debitele cursurilor de apă </w:t>
      </w:r>
    </w:p>
    <w:p w:rsidR="00691934" w:rsidRDefault="00691934" w:rsidP="00691934">
      <w:pPr>
        <w:autoSpaceDE w:val="0"/>
        <w:autoSpaceDN w:val="0"/>
        <w:adjustRightInd w:val="0"/>
        <w:ind w:firstLine="720"/>
        <w:jc w:val="both"/>
        <w:rPr>
          <w:rFonts w:ascii="Arial" w:hAnsi="Arial" w:cs="Arial"/>
          <w:b/>
          <w:bCs/>
        </w:rPr>
      </w:pPr>
    </w:p>
    <w:p w:rsidR="00691934" w:rsidRDefault="00691934" w:rsidP="00691934">
      <w:pPr>
        <w:autoSpaceDE w:val="0"/>
        <w:autoSpaceDN w:val="0"/>
        <w:adjustRightInd w:val="0"/>
        <w:ind w:firstLine="720"/>
        <w:jc w:val="both"/>
        <w:rPr>
          <w:rFonts w:ascii="Arial" w:hAnsi="Arial" w:cs="Arial"/>
          <w:b/>
          <w:bCs/>
        </w:rPr>
      </w:pPr>
      <w:r>
        <w:rPr>
          <w:rFonts w:ascii="Arial" w:hAnsi="Arial" w:cs="Arial"/>
          <w:b/>
          <w:bCs/>
        </w:rPr>
        <w:t>Nutrienți în apă – indicator RO 20</w:t>
      </w:r>
    </w:p>
    <w:p w:rsidR="00691934" w:rsidRPr="00F13F48" w:rsidRDefault="00691934" w:rsidP="00691934">
      <w:pPr>
        <w:autoSpaceDE w:val="0"/>
        <w:autoSpaceDN w:val="0"/>
        <w:adjustRightInd w:val="0"/>
        <w:ind w:firstLine="720"/>
        <w:jc w:val="both"/>
        <w:rPr>
          <w:rFonts w:ascii="Arial" w:hAnsi="Arial" w:cs="Arial"/>
          <w:b/>
          <w:bCs/>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Tabel nr.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- 7</w:t>
      </w:r>
      <w:r w:rsidRPr="00F13F48">
        <w:rPr>
          <w:rFonts w:ascii="Arial" w:hAnsi="Arial" w:cs="Arial"/>
          <w:color w:val="auto"/>
        </w:rPr>
        <w:t xml:space="preserve"> -  Concentraţiile medii ale azotaților (NO</w:t>
      </w:r>
      <w:r w:rsidRPr="00B42FE0">
        <w:rPr>
          <w:rFonts w:ascii="Arial" w:hAnsi="Arial" w:cs="Arial"/>
          <w:color w:val="auto"/>
          <w:vertAlign w:val="superscript"/>
        </w:rPr>
        <w:t>3-</w:t>
      </w:r>
      <w:r w:rsidRPr="00F13F48">
        <w:rPr>
          <w:rFonts w:ascii="Arial" w:hAnsi="Arial" w:cs="Arial"/>
          <w:color w:val="auto"/>
        </w:rPr>
        <w:t>) şi ortofosfaților solubili (PO4</w:t>
      </w:r>
      <w:r w:rsidRPr="00B42FE0">
        <w:rPr>
          <w:rFonts w:ascii="Arial" w:hAnsi="Arial" w:cs="Arial"/>
          <w:color w:val="auto"/>
          <w:vertAlign w:val="superscript"/>
        </w:rPr>
        <w:t>3-</w:t>
      </w:r>
      <w:r w:rsidRPr="00F13F48">
        <w:rPr>
          <w:rFonts w:ascii="Arial" w:hAnsi="Arial" w:cs="Arial"/>
          <w:color w:val="auto"/>
        </w:rPr>
        <w:t xml:space="preserve">) determinate în cursurile de apă din județul Brăila, în anul 2014 </w:t>
      </w:r>
    </w:p>
    <w:p w:rsidR="00691934" w:rsidRPr="00F13F48" w:rsidRDefault="00691934" w:rsidP="00691934">
      <w:pPr>
        <w:pStyle w:val="Default"/>
        <w:rPr>
          <w:rFonts w:ascii="Arial" w:hAnsi="Arial" w:cs="Arial"/>
          <w:color w:val="auto"/>
        </w:rPr>
      </w:pPr>
    </w:p>
    <w:tbl>
      <w:tblPr>
        <w:tblW w:w="0" w:type="auto"/>
        <w:jc w:val="center"/>
        <w:tblInd w:w="-101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11"/>
        <w:gridCol w:w="2585"/>
        <w:gridCol w:w="1725"/>
        <w:gridCol w:w="1843"/>
      </w:tblGrid>
      <w:tr w:rsidR="00691934" w:rsidRPr="00F13F48" w:rsidTr="00012F90">
        <w:trPr>
          <w:trHeight w:val="572"/>
          <w:jc w:val="center"/>
        </w:trPr>
        <w:tc>
          <w:tcPr>
            <w:tcW w:w="261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Bazin/spațiu hidrografic</w:t>
            </w:r>
          </w:p>
        </w:tc>
        <w:tc>
          <w:tcPr>
            <w:tcW w:w="2585"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Secţiuni de control</w:t>
            </w:r>
          </w:p>
        </w:tc>
        <w:tc>
          <w:tcPr>
            <w:tcW w:w="1725"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NO</w:t>
            </w:r>
            <w:r w:rsidRPr="00B42FE0">
              <w:rPr>
                <w:rFonts w:ascii="Arial" w:hAnsi="Arial" w:cs="Arial"/>
                <w:b/>
                <w:bCs/>
                <w:color w:val="auto"/>
                <w:vertAlign w:val="superscript"/>
              </w:rPr>
              <w:t>3-</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(mg NO3-/L)</w:t>
            </w:r>
          </w:p>
        </w:tc>
        <w:tc>
          <w:tcPr>
            <w:tcW w:w="1843"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PO4</w:t>
            </w:r>
            <w:r w:rsidRPr="00B42FE0">
              <w:rPr>
                <w:rFonts w:ascii="Arial" w:hAnsi="Arial" w:cs="Arial"/>
                <w:b/>
                <w:bCs/>
                <w:color w:val="auto"/>
                <w:vertAlign w:val="superscript"/>
              </w:rPr>
              <w:t>3-</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(mg P/L)</w:t>
            </w:r>
          </w:p>
        </w:tc>
      </w:tr>
      <w:tr w:rsidR="00691934" w:rsidRPr="00F13F48" w:rsidTr="00012F90">
        <w:trPr>
          <w:trHeight w:val="248"/>
          <w:jc w:val="center"/>
        </w:trPr>
        <w:tc>
          <w:tcPr>
            <w:tcW w:w="2611"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BH Buzău</w:t>
            </w:r>
          </w:p>
        </w:tc>
        <w:tc>
          <w:tcPr>
            <w:tcW w:w="2585" w:type="dxa"/>
            <w:shd w:val="clear" w:color="auto" w:fill="FDE9D9" w:themeFill="accent6" w:themeFillTint="33"/>
          </w:tcPr>
          <w:p w:rsidR="00691934" w:rsidRPr="00F13F48" w:rsidRDefault="00691934" w:rsidP="00012F90">
            <w:pPr>
              <w:jc w:val="center"/>
              <w:rPr>
                <w:rFonts w:ascii="Arial" w:hAnsi="Arial" w:cs="Arial"/>
              </w:rPr>
            </w:pPr>
            <w:r w:rsidRPr="00F13F48">
              <w:rPr>
                <w:rFonts w:ascii="Arial" w:hAnsi="Arial" w:cs="Arial"/>
              </w:rPr>
              <w:t>Racovi</w:t>
            </w:r>
            <w:r>
              <w:rPr>
                <w:rFonts w:ascii="Arial" w:hAnsi="Arial" w:cs="Arial"/>
              </w:rPr>
              <w:t>ț</w:t>
            </w:r>
            <w:r w:rsidRPr="00F13F48">
              <w:rPr>
                <w:rFonts w:ascii="Arial" w:hAnsi="Arial" w:cs="Arial"/>
              </w:rPr>
              <w:t>a</w:t>
            </w:r>
          </w:p>
        </w:tc>
        <w:tc>
          <w:tcPr>
            <w:tcW w:w="172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1.123</w:t>
            </w:r>
          </w:p>
        </w:tc>
        <w:tc>
          <w:tcPr>
            <w:tcW w:w="18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0.013</w:t>
            </w:r>
          </w:p>
        </w:tc>
      </w:tr>
      <w:tr w:rsidR="00691934" w:rsidRPr="00F13F48" w:rsidTr="00012F90">
        <w:trPr>
          <w:trHeight w:val="248"/>
          <w:jc w:val="center"/>
        </w:trPr>
        <w:tc>
          <w:tcPr>
            <w:tcW w:w="2611"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BH Dunăre- C</w:t>
            </w:r>
            <w:r>
              <w:rPr>
                <w:rFonts w:ascii="Arial" w:hAnsi="Arial" w:cs="Arial"/>
                <w:color w:val="auto"/>
              </w:rPr>
              <w:t>ă</w:t>
            </w:r>
            <w:r w:rsidRPr="00F13F48">
              <w:rPr>
                <w:rFonts w:ascii="Arial" w:hAnsi="Arial" w:cs="Arial"/>
                <w:color w:val="auto"/>
              </w:rPr>
              <w:t>lm</w:t>
            </w:r>
            <w:r>
              <w:rPr>
                <w:rFonts w:ascii="Arial" w:hAnsi="Arial" w:cs="Arial"/>
                <w:color w:val="auto"/>
              </w:rPr>
              <w:t>ăț</w:t>
            </w:r>
            <w:r w:rsidRPr="00F13F48">
              <w:rPr>
                <w:rFonts w:ascii="Arial" w:hAnsi="Arial" w:cs="Arial"/>
                <w:color w:val="auto"/>
              </w:rPr>
              <w:t>ui</w:t>
            </w:r>
          </w:p>
        </w:tc>
        <w:tc>
          <w:tcPr>
            <w:tcW w:w="25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rPr>
              <w:t>Cire</w:t>
            </w:r>
            <w:r>
              <w:rPr>
                <w:rFonts w:ascii="Arial" w:hAnsi="Arial" w:cs="Arial"/>
              </w:rPr>
              <w:t>ș</w:t>
            </w:r>
            <w:r w:rsidRPr="00F13F48">
              <w:rPr>
                <w:rFonts w:ascii="Arial" w:hAnsi="Arial" w:cs="Arial"/>
              </w:rPr>
              <w:t>u</w:t>
            </w:r>
          </w:p>
        </w:tc>
        <w:tc>
          <w:tcPr>
            <w:tcW w:w="172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0.333</w:t>
            </w:r>
          </w:p>
        </w:tc>
        <w:tc>
          <w:tcPr>
            <w:tcW w:w="18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0.160</w:t>
            </w:r>
          </w:p>
        </w:tc>
      </w:tr>
      <w:tr w:rsidR="00691934" w:rsidRPr="00F13F48" w:rsidTr="00012F90">
        <w:trPr>
          <w:trHeight w:val="248"/>
          <w:jc w:val="center"/>
        </w:trPr>
        <w:tc>
          <w:tcPr>
            <w:tcW w:w="2611" w:type="dxa"/>
            <w:shd w:val="clear" w:color="auto" w:fill="FDE9D9" w:themeFill="accent6" w:themeFillTint="33"/>
          </w:tcPr>
          <w:p w:rsidR="00691934" w:rsidRPr="00F13F48" w:rsidRDefault="00691934" w:rsidP="00012F90">
            <w:pPr>
              <w:pStyle w:val="Default"/>
              <w:rPr>
                <w:rFonts w:ascii="Arial" w:hAnsi="Arial" w:cs="Arial"/>
                <w:color w:val="auto"/>
              </w:rPr>
            </w:pPr>
            <w:r w:rsidRPr="00F13F48">
              <w:rPr>
                <w:rFonts w:ascii="Arial" w:hAnsi="Arial" w:cs="Arial"/>
                <w:color w:val="auto"/>
              </w:rPr>
              <w:t>BH Dunăre- C</w:t>
            </w:r>
            <w:r>
              <w:rPr>
                <w:rFonts w:ascii="Arial" w:hAnsi="Arial" w:cs="Arial"/>
                <w:color w:val="auto"/>
              </w:rPr>
              <w:t>ă</w:t>
            </w:r>
            <w:r w:rsidRPr="00F13F48">
              <w:rPr>
                <w:rFonts w:ascii="Arial" w:hAnsi="Arial" w:cs="Arial"/>
                <w:color w:val="auto"/>
              </w:rPr>
              <w:t>lm</w:t>
            </w:r>
            <w:r>
              <w:rPr>
                <w:rFonts w:ascii="Arial" w:hAnsi="Arial" w:cs="Arial"/>
                <w:color w:val="auto"/>
              </w:rPr>
              <w:t>ăț</w:t>
            </w:r>
            <w:r w:rsidRPr="00F13F48">
              <w:rPr>
                <w:rFonts w:ascii="Arial" w:hAnsi="Arial" w:cs="Arial"/>
                <w:color w:val="auto"/>
              </w:rPr>
              <w:t>ui</w:t>
            </w:r>
          </w:p>
        </w:tc>
        <w:tc>
          <w:tcPr>
            <w:tcW w:w="25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rPr>
              <w:t>Berte</w:t>
            </w:r>
            <w:r>
              <w:rPr>
                <w:rFonts w:ascii="Arial" w:hAnsi="Arial" w:cs="Arial"/>
              </w:rPr>
              <w:t>ș</w:t>
            </w:r>
            <w:r w:rsidRPr="00F13F48">
              <w:rPr>
                <w:rFonts w:ascii="Arial" w:hAnsi="Arial" w:cs="Arial"/>
              </w:rPr>
              <w:t>tii de jos</w:t>
            </w:r>
          </w:p>
        </w:tc>
        <w:tc>
          <w:tcPr>
            <w:tcW w:w="172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0.234</w:t>
            </w:r>
          </w:p>
        </w:tc>
        <w:tc>
          <w:tcPr>
            <w:tcW w:w="18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0.171</w:t>
            </w:r>
          </w:p>
        </w:tc>
      </w:tr>
      <w:tr w:rsidR="00691934" w:rsidRPr="00F13F48" w:rsidTr="00012F90">
        <w:trPr>
          <w:trHeight w:val="257"/>
          <w:jc w:val="center"/>
        </w:trPr>
        <w:tc>
          <w:tcPr>
            <w:tcW w:w="2611" w:type="dxa"/>
            <w:shd w:val="clear" w:color="auto" w:fill="FDE9D9" w:themeFill="accent6" w:themeFillTint="33"/>
          </w:tcPr>
          <w:p w:rsidR="00691934" w:rsidRPr="00F13F48" w:rsidRDefault="00691934" w:rsidP="00012F90">
            <w:pPr>
              <w:pStyle w:val="Default"/>
              <w:rPr>
                <w:rFonts w:ascii="Arial" w:hAnsi="Arial" w:cs="Arial"/>
                <w:b/>
                <w:bCs/>
                <w:color w:val="auto"/>
              </w:rPr>
            </w:pPr>
            <w:r w:rsidRPr="00F13F48">
              <w:rPr>
                <w:rFonts w:ascii="Arial" w:hAnsi="Arial" w:cs="Arial"/>
                <w:color w:val="auto"/>
              </w:rPr>
              <w:t>BH Dunăre- Dun</w:t>
            </w:r>
            <w:r>
              <w:rPr>
                <w:rFonts w:ascii="Arial" w:hAnsi="Arial" w:cs="Arial"/>
                <w:color w:val="auto"/>
              </w:rPr>
              <w:t>ă</w:t>
            </w:r>
            <w:r w:rsidRPr="00F13F48">
              <w:rPr>
                <w:rFonts w:ascii="Arial" w:hAnsi="Arial" w:cs="Arial"/>
                <w:color w:val="auto"/>
              </w:rPr>
              <w:t xml:space="preserve">re </w:t>
            </w:r>
          </w:p>
        </w:tc>
        <w:tc>
          <w:tcPr>
            <w:tcW w:w="25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am. Br</w:t>
            </w:r>
            <w:r>
              <w:rPr>
                <w:rFonts w:ascii="Arial" w:hAnsi="Arial" w:cs="Arial"/>
                <w:color w:val="auto"/>
              </w:rPr>
              <w:t>ă</w:t>
            </w:r>
            <w:r w:rsidRPr="00F13F48">
              <w:rPr>
                <w:rFonts w:ascii="Arial" w:hAnsi="Arial" w:cs="Arial"/>
                <w:color w:val="auto"/>
              </w:rPr>
              <w:t xml:space="preserve">ila </w:t>
            </w:r>
            <w:r>
              <w:rPr>
                <w:rFonts w:ascii="Arial" w:hAnsi="Arial" w:cs="Arial"/>
                <w:color w:val="auto"/>
              </w:rPr>
              <w:t>(</w:t>
            </w:r>
            <w:r w:rsidRPr="00F13F48">
              <w:rPr>
                <w:rFonts w:ascii="Arial" w:hAnsi="Arial" w:cs="Arial"/>
                <w:color w:val="auto"/>
              </w:rPr>
              <w:t>Gropeni)</w:t>
            </w:r>
          </w:p>
        </w:tc>
        <w:tc>
          <w:tcPr>
            <w:tcW w:w="172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1.3443</w:t>
            </w:r>
          </w:p>
        </w:tc>
        <w:tc>
          <w:tcPr>
            <w:tcW w:w="18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0.005</w:t>
            </w:r>
          </w:p>
        </w:tc>
      </w:tr>
      <w:tr w:rsidR="00691934" w:rsidRPr="00F13F48" w:rsidTr="00012F90">
        <w:trPr>
          <w:trHeight w:val="257"/>
          <w:jc w:val="center"/>
        </w:trPr>
        <w:tc>
          <w:tcPr>
            <w:tcW w:w="2611" w:type="dxa"/>
            <w:shd w:val="clear" w:color="auto" w:fill="FDE9D9" w:themeFill="accent6" w:themeFillTint="33"/>
          </w:tcPr>
          <w:p w:rsidR="00691934" w:rsidRPr="00F13F48" w:rsidRDefault="00691934" w:rsidP="00012F90">
            <w:pPr>
              <w:rPr>
                <w:rFonts w:ascii="Arial" w:hAnsi="Arial" w:cs="Arial"/>
              </w:rPr>
            </w:pPr>
            <w:r w:rsidRPr="00F13F48">
              <w:rPr>
                <w:rFonts w:ascii="Arial" w:hAnsi="Arial" w:cs="Arial"/>
              </w:rPr>
              <w:t>BH Dunăre- Dun</w:t>
            </w:r>
            <w:r>
              <w:rPr>
                <w:rFonts w:ascii="Arial" w:hAnsi="Arial" w:cs="Arial"/>
              </w:rPr>
              <w:t>ă</w:t>
            </w:r>
            <w:r w:rsidRPr="00F13F48">
              <w:rPr>
                <w:rFonts w:ascii="Arial" w:hAnsi="Arial" w:cs="Arial"/>
              </w:rPr>
              <w:t>re</w:t>
            </w:r>
          </w:p>
        </w:tc>
        <w:tc>
          <w:tcPr>
            <w:tcW w:w="25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Br</w:t>
            </w:r>
            <w:r>
              <w:rPr>
                <w:rFonts w:ascii="Arial" w:hAnsi="Arial" w:cs="Arial"/>
                <w:color w:val="auto"/>
              </w:rPr>
              <w:t>ă</w:t>
            </w:r>
            <w:r w:rsidRPr="00F13F48">
              <w:rPr>
                <w:rFonts w:ascii="Arial" w:hAnsi="Arial" w:cs="Arial"/>
                <w:color w:val="auto"/>
              </w:rPr>
              <w:t>ila 1</w:t>
            </w:r>
          </w:p>
        </w:tc>
        <w:tc>
          <w:tcPr>
            <w:tcW w:w="172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1.53</w:t>
            </w:r>
          </w:p>
        </w:tc>
        <w:tc>
          <w:tcPr>
            <w:tcW w:w="18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0.005</w:t>
            </w:r>
          </w:p>
        </w:tc>
      </w:tr>
      <w:tr w:rsidR="00691934" w:rsidRPr="00F13F48" w:rsidTr="00012F90">
        <w:trPr>
          <w:trHeight w:val="257"/>
          <w:jc w:val="center"/>
        </w:trPr>
        <w:tc>
          <w:tcPr>
            <w:tcW w:w="2611" w:type="dxa"/>
            <w:shd w:val="clear" w:color="auto" w:fill="FDE9D9" w:themeFill="accent6" w:themeFillTint="33"/>
          </w:tcPr>
          <w:p w:rsidR="00691934" w:rsidRPr="00F13F48" w:rsidRDefault="00691934" w:rsidP="00012F90">
            <w:pPr>
              <w:rPr>
                <w:rFonts w:ascii="Arial" w:hAnsi="Arial" w:cs="Arial"/>
              </w:rPr>
            </w:pPr>
            <w:r w:rsidRPr="00F13F48">
              <w:rPr>
                <w:rFonts w:ascii="Arial" w:hAnsi="Arial" w:cs="Arial"/>
              </w:rPr>
              <w:t>BH Dunăre- Dun</w:t>
            </w:r>
            <w:r>
              <w:rPr>
                <w:rFonts w:ascii="Arial" w:hAnsi="Arial" w:cs="Arial"/>
              </w:rPr>
              <w:t>ă</w:t>
            </w:r>
            <w:r w:rsidRPr="00F13F48">
              <w:rPr>
                <w:rFonts w:ascii="Arial" w:hAnsi="Arial" w:cs="Arial"/>
              </w:rPr>
              <w:t>re</w:t>
            </w:r>
          </w:p>
        </w:tc>
        <w:tc>
          <w:tcPr>
            <w:tcW w:w="258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Br</w:t>
            </w:r>
            <w:r>
              <w:rPr>
                <w:rFonts w:ascii="Arial" w:hAnsi="Arial" w:cs="Arial"/>
                <w:color w:val="auto"/>
              </w:rPr>
              <w:t>ă</w:t>
            </w:r>
            <w:r w:rsidRPr="00F13F48">
              <w:rPr>
                <w:rFonts w:ascii="Arial" w:hAnsi="Arial" w:cs="Arial"/>
                <w:color w:val="auto"/>
              </w:rPr>
              <w:t>ila 2</w:t>
            </w:r>
          </w:p>
        </w:tc>
        <w:tc>
          <w:tcPr>
            <w:tcW w:w="1725"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1.4789</w:t>
            </w:r>
          </w:p>
        </w:tc>
        <w:tc>
          <w:tcPr>
            <w:tcW w:w="1843" w:type="dxa"/>
            <w:shd w:val="clear" w:color="auto" w:fill="FDE9D9" w:themeFill="accent6" w:themeFillTint="33"/>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0.005</w:t>
            </w:r>
          </w:p>
        </w:tc>
      </w:tr>
    </w:tbl>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               *</w:t>
      </w:r>
      <w:r w:rsidRPr="00F13F48">
        <w:rPr>
          <w:rFonts w:ascii="Arial" w:hAnsi="Arial" w:cs="Arial"/>
          <w:color w:val="auto"/>
        </w:rPr>
        <w:t xml:space="preserve"> Concentraţii medii anuale ponderate cu debitele cursurilor de apă </w:t>
      </w:r>
    </w:p>
    <w:p w:rsidR="00691934" w:rsidRPr="00F13F48" w:rsidRDefault="00691934" w:rsidP="00691934">
      <w:pPr>
        <w:pStyle w:val="Default"/>
        <w:rPr>
          <w:rFonts w:ascii="Arial" w:hAnsi="Arial" w:cs="Arial"/>
          <w:color w:val="auto"/>
        </w:rPr>
      </w:pPr>
    </w:p>
    <w:p w:rsidR="00691934" w:rsidRDefault="00691934" w:rsidP="00691934">
      <w:pPr>
        <w:autoSpaceDE w:val="0"/>
        <w:autoSpaceDN w:val="0"/>
        <w:adjustRightInd w:val="0"/>
        <w:ind w:firstLine="720"/>
        <w:jc w:val="both"/>
        <w:rPr>
          <w:rFonts w:ascii="Arial" w:hAnsi="Arial" w:cs="Arial"/>
          <w:b/>
          <w:bCs/>
        </w:rPr>
      </w:pPr>
      <w:r w:rsidRPr="00F13F48">
        <w:rPr>
          <w:rFonts w:ascii="Arial" w:hAnsi="Arial" w:cs="Arial"/>
          <w:b/>
          <w:bCs/>
        </w:rPr>
        <w:t>Substanțe periculoase din cursurile de apă</w:t>
      </w:r>
      <w:r>
        <w:rPr>
          <w:rFonts w:ascii="Arial" w:hAnsi="Arial" w:cs="Arial"/>
          <w:b/>
          <w:bCs/>
        </w:rPr>
        <w:t xml:space="preserve"> – Indicator RO 65</w:t>
      </w:r>
    </w:p>
    <w:p w:rsidR="00691934" w:rsidRPr="00F13F48" w:rsidRDefault="00691934" w:rsidP="00691934">
      <w:pPr>
        <w:autoSpaceDE w:val="0"/>
        <w:autoSpaceDN w:val="0"/>
        <w:adjustRightInd w:val="0"/>
        <w:ind w:firstLine="720"/>
        <w:jc w:val="both"/>
        <w:rPr>
          <w:rFonts w:ascii="Arial" w:hAnsi="Arial" w:cs="Arial"/>
          <w:b/>
          <w:bCs/>
        </w:rPr>
      </w:pPr>
    </w:p>
    <w:p w:rsidR="00691934" w:rsidRPr="00F13F48" w:rsidRDefault="00691934" w:rsidP="00691934">
      <w:pPr>
        <w:autoSpaceDE w:val="0"/>
        <w:autoSpaceDN w:val="0"/>
        <w:adjustRightInd w:val="0"/>
        <w:jc w:val="both"/>
        <w:rPr>
          <w:rFonts w:ascii="Arial" w:hAnsi="Arial" w:cs="Arial"/>
        </w:rPr>
      </w:pPr>
      <w:r w:rsidRPr="00F13F48">
        <w:rPr>
          <w:rFonts w:ascii="Arial" w:hAnsi="Arial" w:cs="Arial"/>
        </w:rPr>
        <w:t>Indicatorul cuantifică concentrațiile (medii anuale) de substanțe periculoase prezente în cursurile de apă. Substanțele periculoase solicitate pentru raportare s</w:t>
      </w:r>
      <w:r>
        <w:rPr>
          <w:rFonts w:ascii="Arial" w:hAnsi="Arial" w:cs="Arial"/>
        </w:rPr>
        <w:t>unt cele listate în HG. nr.351/</w:t>
      </w:r>
      <w:r w:rsidRPr="00F13F48">
        <w:rPr>
          <w:rFonts w:ascii="Arial" w:hAnsi="Arial" w:cs="Arial"/>
        </w:rPr>
        <w:t xml:space="preserve">2005 privind aprobarea Programului de eliminare treptată a evacuărilor, emisiilor și pierderilor de substanțe prioritar periculoase, modificată </w:t>
      </w:r>
      <w:r>
        <w:rPr>
          <w:rFonts w:ascii="Arial" w:hAnsi="Arial" w:cs="Arial"/>
        </w:rPr>
        <w:t>și completată prin HG. nr.1038/</w:t>
      </w:r>
      <w:r w:rsidRPr="00F13F48">
        <w:rPr>
          <w:rFonts w:ascii="Arial" w:hAnsi="Arial" w:cs="Arial"/>
        </w:rPr>
        <w:t>2010.</w:t>
      </w:r>
    </w:p>
    <w:p w:rsidR="00691934" w:rsidRDefault="00691934" w:rsidP="00691934">
      <w:pPr>
        <w:pStyle w:val="Default"/>
        <w:rPr>
          <w:rFonts w:ascii="Arial" w:hAnsi="Arial" w:cs="Arial"/>
          <w:b/>
          <w:bCs/>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Tabel nr.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- 8</w:t>
      </w:r>
      <w:r w:rsidRPr="00F13F48">
        <w:rPr>
          <w:rFonts w:ascii="Arial" w:hAnsi="Arial" w:cs="Arial"/>
          <w:color w:val="auto"/>
        </w:rPr>
        <w:t xml:space="preserve"> - Informaţii generale privind monitorizarea substanţelor periculoase din cursurile de apă la nivelul județului Brăila în anul 2014 </w:t>
      </w:r>
    </w:p>
    <w:p w:rsidR="00691934" w:rsidRPr="00F13F48" w:rsidRDefault="00691934" w:rsidP="00691934">
      <w:pPr>
        <w:pStyle w:val="Default"/>
        <w:rPr>
          <w:rFonts w:ascii="Arial" w:hAnsi="Arial" w:cs="Arial"/>
          <w:i/>
          <w:iCs/>
          <w:color w:val="auto"/>
        </w:rPr>
      </w:pPr>
    </w:p>
    <w:tbl>
      <w:tblPr>
        <w:tblW w:w="995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29"/>
        <w:gridCol w:w="1643"/>
        <w:gridCol w:w="963"/>
        <w:gridCol w:w="1405"/>
        <w:gridCol w:w="1657"/>
        <w:gridCol w:w="1657"/>
      </w:tblGrid>
      <w:tr w:rsidR="00691934" w:rsidRPr="00F13F48" w:rsidTr="00012F90">
        <w:trPr>
          <w:trHeight w:val="1179"/>
          <w:jc w:val="center"/>
        </w:trPr>
        <w:tc>
          <w:tcPr>
            <w:tcW w:w="3206" w:type="dxa"/>
            <w:vMerge w:val="restart"/>
            <w:shd w:val="clear" w:color="auto" w:fill="FBD4B4" w:themeFill="accent6" w:themeFillTint="66"/>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t>Categorie</w:t>
            </w:r>
          </w:p>
        </w:tc>
        <w:tc>
          <w:tcPr>
            <w:tcW w:w="1303" w:type="dxa"/>
            <w:vMerge w:val="restart"/>
            <w:shd w:val="clear" w:color="auto" w:fill="FBD4B4" w:themeFill="accent6" w:themeFillTint="66"/>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t>Reţea de râu monitorizată (km)</w:t>
            </w:r>
          </w:p>
        </w:tc>
        <w:tc>
          <w:tcPr>
            <w:tcW w:w="2354" w:type="dxa"/>
            <w:gridSpan w:val="2"/>
            <w:shd w:val="clear" w:color="auto" w:fill="FBD4B4" w:themeFill="accent6" w:themeFillTint="66"/>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t>Numărul substanţelor periculoase monitorizate</w:t>
            </w:r>
          </w:p>
        </w:tc>
        <w:tc>
          <w:tcPr>
            <w:tcW w:w="1554" w:type="dxa"/>
            <w:vMerge w:val="restart"/>
            <w:shd w:val="clear" w:color="auto" w:fill="FBD4B4" w:themeFill="accent6" w:themeFillTint="66"/>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t>Numărul substanţelor prioritare monitorizate</w:t>
            </w:r>
          </w:p>
        </w:tc>
        <w:tc>
          <w:tcPr>
            <w:tcW w:w="1537" w:type="dxa"/>
            <w:vMerge w:val="restart"/>
            <w:shd w:val="clear" w:color="auto" w:fill="FBD4B4" w:themeFill="accent6" w:themeFillTint="66"/>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t>Numărul punctelor de monitorizare</w:t>
            </w:r>
          </w:p>
        </w:tc>
      </w:tr>
      <w:tr w:rsidR="00691934" w:rsidRPr="00F13F48" w:rsidTr="00012F90">
        <w:trPr>
          <w:trHeight w:val="362"/>
          <w:jc w:val="center"/>
        </w:trPr>
        <w:tc>
          <w:tcPr>
            <w:tcW w:w="3206" w:type="dxa"/>
            <w:vMerge/>
          </w:tcPr>
          <w:p w:rsidR="00691934" w:rsidRPr="00F13F48" w:rsidRDefault="00691934" w:rsidP="00012F90">
            <w:pPr>
              <w:pStyle w:val="Default"/>
              <w:jc w:val="center"/>
              <w:rPr>
                <w:rFonts w:ascii="Arial" w:hAnsi="Arial" w:cs="Arial"/>
                <w:color w:val="auto"/>
              </w:rPr>
            </w:pPr>
          </w:p>
        </w:tc>
        <w:tc>
          <w:tcPr>
            <w:tcW w:w="1303" w:type="dxa"/>
            <w:vMerge/>
          </w:tcPr>
          <w:p w:rsidR="00691934" w:rsidRPr="00F13F48" w:rsidRDefault="00691934" w:rsidP="00012F90">
            <w:pPr>
              <w:pStyle w:val="Default"/>
              <w:jc w:val="center"/>
              <w:rPr>
                <w:rFonts w:ascii="Arial" w:hAnsi="Arial" w:cs="Arial"/>
                <w:color w:val="auto"/>
              </w:rPr>
            </w:pPr>
          </w:p>
        </w:tc>
        <w:tc>
          <w:tcPr>
            <w:tcW w:w="937" w:type="dxa"/>
            <w:shd w:val="clear" w:color="auto" w:fill="FDE9D9" w:themeFill="accent6" w:themeFillTint="33"/>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t xml:space="preserve">Metale </w:t>
            </w:r>
            <w:r w:rsidRPr="00B5621A">
              <w:rPr>
                <w:rFonts w:ascii="Arial" w:hAnsi="Arial" w:cs="Arial"/>
                <w:b/>
                <w:color w:val="auto"/>
              </w:rPr>
              <w:lastRenderedPageBreak/>
              <w:t>grele</w:t>
            </w:r>
          </w:p>
        </w:tc>
        <w:tc>
          <w:tcPr>
            <w:tcW w:w="1417" w:type="dxa"/>
            <w:shd w:val="clear" w:color="auto" w:fill="FDE9D9" w:themeFill="accent6" w:themeFillTint="33"/>
            <w:vAlign w:val="center"/>
          </w:tcPr>
          <w:p w:rsidR="00691934" w:rsidRPr="00B5621A" w:rsidRDefault="00691934" w:rsidP="00012F90">
            <w:pPr>
              <w:pStyle w:val="Default"/>
              <w:jc w:val="center"/>
              <w:rPr>
                <w:rFonts w:ascii="Arial" w:hAnsi="Arial" w:cs="Arial"/>
                <w:b/>
                <w:color w:val="auto"/>
              </w:rPr>
            </w:pPr>
            <w:r w:rsidRPr="00B5621A">
              <w:rPr>
                <w:rFonts w:ascii="Arial" w:hAnsi="Arial" w:cs="Arial"/>
                <w:b/>
                <w:color w:val="auto"/>
              </w:rPr>
              <w:lastRenderedPageBreak/>
              <w:t xml:space="preserve">Substanţe </w:t>
            </w:r>
            <w:r w:rsidRPr="00B5621A">
              <w:rPr>
                <w:rFonts w:ascii="Arial" w:hAnsi="Arial" w:cs="Arial"/>
                <w:b/>
                <w:color w:val="auto"/>
              </w:rPr>
              <w:lastRenderedPageBreak/>
              <w:t>organice</w:t>
            </w:r>
          </w:p>
        </w:tc>
        <w:tc>
          <w:tcPr>
            <w:tcW w:w="1554" w:type="dxa"/>
            <w:vMerge/>
          </w:tcPr>
          <w:p w:rsidR="00691934" w:rsidRPr="00F13F48" w:rsidRDefault="00691934" w:rsidP="00012F90">
            <w:pPr>
              <w:pStyle w:val="Default"/>
              <w:jc w:val="center"/>
              <w:rPr>
                <w:rFonts w:ascii="Arial" w:hAnsi="Arial" w:cs="Arial"/>
                <w:color w:val="auto"/>
              </w:rPr>
            </w:pPr>
          </w:p>
        </w:tc>
        <w:tc>
          <w:tcPr>
            <w:tcW w:w="1537" w:type="dxa"/>
            <w:vMerge/>
          </w:tcPr>
          <w:p w:rsidR="00691934" w:rsidRPr="00F13F48" w:rsidRDefault="00691934" w:rsidP="00012F90">
            <w:pPr>
              <w:pStyle w:val="Default"/>
              <w:jc w:val="center"/>
              <w:rPr>
                <w:rFonts w:ascii="Arial" w:hAnsi="Arial" w:cs="Arial"/>
                <w:color w:val="auto"/>
              </w:rPr>
            </w:pPr>
          </w:p>
        </w:tc>
      </w:tr>
      <w:tr w:rsidR="00691934" w:rsidRPr="00F13F48" w:rsidTr="00012F90">
        <w:trPr>
          <w:trHeight w:val="303"/>
          <w:jc w:val="center"/>
        </w:trPr>
        <w:tc>
          <w:tcPr>
            <w:tcW w:w="320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lastRenderedPageBreak/>
              <w:t>Fluviul Dunărea</w:t>
            </w:r>
          </w:p>
        </w:tc>
        <w:tc>
          <w:tcPr>
            <w:tcW w:w="130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60</w:t>
            </w:r>
          </w:p>
        </w:tc>
        <w:tc>
          <w:tcPr>
            <w:tcW w:w="9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141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5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r>
      <w:tr w:rsidR="00691934" w:rsidRPr="00F13F48" w:rsidTr="00012F90">
        <w:trPr>
          <w:trHeight w:val="389"/>
          <w:jc w:val="center"/>
        </w:trPr>
        <w:tc>
          <w:tcPr>
            <w:tcW w:w="320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naturale - total </w:t>
            </w:r>
          </w:p>
        </w:tc>
        <w:tc>
          <w:tcPr>
            <w:tcW w:w="130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9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41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5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387"/>
          <w:jc w:val="center"/>
        </w:trPr>
        <w:tc>
          <w:tcPr>
            <w:tcW w:w="320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puternic modificate </w:t>
            </w:r>
          </w:p>
        </w:tc>
        <w:tc>
          <w:tcPr>
            <w:tcW w:w="130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9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41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5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305"/>
          <w:jc w:val="center"/>
        </w:trPr>
        <w:tc>
          <w:tcPr>
            <w:tcW w:w="320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Râuri artificiale </w:t>
            </w:r>
          </w:p>
        </w:tc>
        <w:tc>
          <w:tcPr>
            <w:tcW w:w="130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9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41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5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313"/>
          <w:jc w:val="center"/>
        </w:trPr>
        <w:tc>
          <w:tcPr>
            <w:tcW w:w="320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Total jud. B</w:t>
            </w:r>
            <w:r>
              <w:rPr>
                <w:rFonts w:ascii="Arial" w:hAnsi="Arial" w:cs="Arial"/>
                <w:color w:val="auto"/>
              </w:rPr>
              <w:t>răila</w:t>
            </w:r>
          </w:p>
        </w:tc>
        <w:tc>
          <w:tcPr>
            <w:tcW w:w="1303"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60</w:t>
            </w:r>
          </w:p>
        </w:tc>
        <w:tc>
          <w:tcPr>
            <w:tcW w:w="9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141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55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r>
    </w:tbl>
    <w:p w:rsidR="00691934" w:rsidRPr="00F13F48" w:rsidRDefault="00691934" w:rsidP="00691934">
      <w:pPr>
        <w:pStyle w:val="Default"/>
        <w:rPr>
          <w:rFonts w:ascii="Arial" w:hAnsi="Arial" w:cs="Arial"/>
          <w:i/>
          <w:iCs/>
          <w:color w:val="auto"/>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Tabel nr</w:t>
      </w:r>
      <w:r>
        <w:rPr>
          <w:rFonts w:ascii="Arial" w:hAnsi="Arial" w:cs="Arial"/>
          <w:b/>
          <w:bCs/>
          <w:color w:val="auto"/>
        </w:rPr>
        <w:t xml:space="preserve">. </w:t>
      </w:r>
      <w:r w:rsidRPr="00F13F48">
        <w:rPr>
          <w:rFonts w:ascii="Arial" w:hAnsi="Arial" w:cs="Arial"/>
          <w:b/>
          <w:bCs/>
          <w:color w:val="auto"/>
        </w:rPr>
        <w:t xml:space="preserve">Tabel nr.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- 9</w:t>
      </w:r>
      <w:r w:rsidRPr="00F13F48">
        <w:rPr>
          <w:rFonts w:ascii="Arial" w:hAnsi="Arial" w:cs="Arial"/>
          <w:color w:val="auto"/>
        </w:rPr>
        <w:t xml:space="preserve"> - Distribuţia punctelor de monitorizare cu concentraţie mai mare decât standardul de calitate a mediului (SCM) la nivelul județului Brăila în anul 2014</w:t>
      </w:r>
    </w:p>
    <w:p w:rsidR="00691934" w:rsidRPr="00F13F48" w:rsidRDefault="00691934" w:rsidP="00691934">
      <w:pPr>
        <w:autoSpaceDE w:val="0"/>
        <w:autoSpaceDN w:val="0"/>
        <w:adjustRightInd w:val="0"/>
        <w:ind w:firstLine="720"/>
        <w:jc w:val="both"/>
        <w:rPr>
          <w:rFonts w:ascii="Arial" w:hAnsi="Arial" w:cs="Arial"/>
          <w:b/>
          <w:bCs/>
        </w:rPr>
      </w:pPr>
    </w:p>
    <w:tbl>
      <w:tblPr>
        <w:tblW w:w="8717" w:type="dxa"/>
        <w:jc w:val="center"/>
        <w:tblInd w:w="-134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94"/>
        <w:gridCol w:w="1537"/>
        <w:gridCol w:w="2159"/>
        <w:gridCol w:w="2127"/>
      </w:tblGrid>
      <w:tr w:rsidR="00691934" w:rsidRPr="00F13F48" w:rsidTr="00012F90">
        <w:trPr>
          <w:trHeight w:val="860"/>
          <w:jc w:val="center"/>
        </w:trPr>
        <w:tc>
          <w:tcPr>
            <w:tcW w:w="2894" w:type="dxa"/>
            <w:shd w:val="clear" w:color="auto" w:fill="FBD4B4" w:themeFill="accent6" w:themeFillTint="66"/>
            <w:vAlign w:val="center"/>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Categorie</w:t>
            </w:r>
          </w:p>
        </w:tc>
        <w:tc>
          <w:tcPr>
            <w:tcW w:w="1537" w:type="dxa"/>
            <w:shd w:val="clear" w:color="auto" w:fill="FBD4B4" w:themeFill="accent6" w:themeFillTint="66"/>
            <w:vAlign w:val="center"/>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Număr puncte de monitorizare</w:t>
            </w:r>
          </w:p>
        </w:tc>
        <w:tc>
          <w:tcPr>
            <w:tcW w:w="2159" w:type="dxa"/>
            <w:shd w:val="clear" w:color="auto" w:fill="FBD4B4" w:themeFill="accent6" w:themeFillTint="66"/>
            <w:vAlign w:val="center"/>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Număr puncte cu concentraţie mai mare decât SCM</w:t>
            </w:r>
          </w:p>
        </w:tc>
        <w:tc>
          <w:tcPr>
            <w:tcW w:w="2127" w:type="dxa"/>
            <w:shd w:val="clear" w:color="auto" w:fill="FBD4B4" w:themeFill="accent6" w:themeFillTint="66"/>
            <w:vAlign w:val="center"/>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Ponderea punctelor cu concentraţie mai mare decât SCM (%)</w:t>
            </w:r>
          </w:p>
        </w:tc>
      </w:tr>
      <w:tr w:rsidR="00691934" w:rsidRPr="00F13F48" w:rsidTr="00012F90">
        <w:trPr>
          <w:trHeight w:val="305"/>
          <w:jc w:val="center"/>
        </w:trPr>
        <w:tc>
          <w:tcPr>
            <w:tcW w:w="2894"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Fluviul Dunărea</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15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212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r>
      <w:tr w:rsidR="00691934" w:rsidRPr="00F13F48" w:rsidTr="00012F90">
        <w:trPr>
          <w:trHeight w:val="303"/>
          <w:jc w:val="center"/>
        </w:trPr>
        <w:tc>
          <w:tcPr>
            <w:tcW w:w="2894"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Râuri naturale - total</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215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212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389"/>
          <w:jc w:val="center"/>
        </w:trPr>
        <w:tc>
          <w:tcPr>
            <w:tcW w:w="2894"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Râuri puternic modificate</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215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212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303"/>
          <w:jc w:val="center"/>
        </w:trPr>
        <w:tc>
          <w:tcPr>
            <w:tcW w:w="2894"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Râuri artificiale</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215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212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315"/>
          <w:jc w:val="center"/>
        </w:trPr>
        <w:tc>
          <w:tcPr>
            <w:tcW w:w="2894"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Total jud. B</w:t>
            </w:r>
            <w:r>
              <w:rPr>
                <w:rFonts w:ascii="Arial" w:hAnsi="Arial" w:cs="Arial"/>
                <w:color w:val="auto"/>
              </w:rPr>
              <w:t>răila</w:t>
            </w:r>
          </w:p>
        </w:tc>
        <w:tc>
          <w:tcPr>
            <w:tcW w:w="153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w:t>
            </w:r>
          </w:p>
        </w:tc>
        <w:tc>
          <w:tcPr>
            <w:tcW w:w="215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212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r>
    </w:tbl>
    <w:p w:rsidR="00691934" w:rsidRPr="00F13F48" w:rsidRDefault="00691934" w:rsidP="00691934">
      <w:pPr>
        <w:autoSpaceDE w:val="0"/>
        <w:autoSpaceDN w:val="0"/>
        <w:adjustRightInd w:val="0"/>
        <w:ind w:firstLine="720"/>
        <w:jc w:val="both"/>
        <w:rPr>
          <w:rFonts w:ascii="Arial" w:hAnsi="Arial" w:cs="Arial"/>
          <w:b/>
          <w:bCs/>
        </w:rPr>
      </w:pPr>
    </w:p>
    <w:p w:rsidR="00691934" w:rsidRPr="00F13F48" w:rsidRDefault="00691934" w:rsidP="00691934">
      <w:pPr>
        <w:pStyle w:val="Default"/>
        <w:rPr>
          <w:rFonts w:ascii="Arial" w:hAnsi="Arial" w:cs="Arial"/>
          <w:color w:val="auto"/>
        </w:rPr>
      </w:pPr>
      <w:r w:rsidRPr="00F13F48">
        <w:rPr>
          <w:rFonts w:ascii="Arial" w:hAnsi="Arial" w:cs="Arial"/>
          <w:b/>
          <w:bCs/>
          <w:color w:val="auto"/>
        </w:rPr>
        <w:t xml:space="preserve">Tabel nr. </w:t>
      </w:r>
      <w:r w:rsidRPr="00465077">
        <w:rPr>
          <w:rFonts w:ascii="Arial" w:hAnsi="Arial" w:cs="Arial"/>
          <w:b/>
          <w:bCs/>
          <w:color w:val="auto"/>
        </w:rPr>
        <w:t>II</w:t>
      </w:r>
      <w:r w:rsidRPr="00F13F48">
        <w:rPr>
          <w:rFonts w:ascii="Arial" w:hAnsi="Arial" w:cs="Arial"/>
          <w:b/>
          <w:bCs/>
          <w:color w:val="auto"/>
        </w:rPr>
        <w:t>.2.1.1</w:t>
      </w:r>
      <w:r>
        <w:rPr>
          <w:rFonts w:ascii="Arial" w:hAnsi="Arial" w:cs="Arial"/>
          <w:b/>
          <w:bCs/>
          <w:color w:val="auto"/>
        </w:rPr>
        <w:t>. - 10</w:t>
      </w:r>
      <w:r w:rsidRPr="00F13F48">
        <w:rPr>
          <w:rFonts w:ascii="Arial" w:hAnsi="Arial" w:cs="Arial"/>
          <w:color w:val="auto"/>
        </w:rPr>
        <w:t xml:space="preserve"> - Situaţia datelor de calitate disponibile pentru substanţele periculoase din cursurile de apă de pe raza județului Brăila în anul 2014 </w:t>
      </w:r>
    </w:p>
    <w:p w:rsidR="00691934" w:rsidRPr="00F13F48" w:rsidRDefault="00691934" w:rsidP="00691934">
      <w:pPr>
        <w:pStyle w:val="Default"/>
        <w:rPr>
          <w:rFonts w:ascii="Arial" w:hAnsi="Arial" w:cs="Arial"/>
          <w:color w:val="auto"/>
        </w:rPr>
      </w:pPr>
    </w:p>
    <w:tbl>
      <w:tblPr>
        <w:tblW w:w="9534" w:type="dxa"/>
        <w:jc w:val="center"/>
        <w:tblInd w:w="-460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000"/>
      </w:tblPr>
      <w:tblGrid>
        <w:gridCol w:w="6823"/>
        <w:gridCol w:w="1552"/>
        <w:gridCol w:w="555"/>
        <w:gridCol w:w="604"/>
      </w:tblGrid>
      <w:tr w:rsidR="00691934" w:rsidRPr="006F0996" w:rsidTr="00012F90">
        <w:trPr>
          <w:trHeight w:val="345"/>
          <w:jc w:val="center"/>
        </w:trPr>
        <w:tc>
          <w:tcPr>
            <w:tcW w:w="6823" w:type="dxa"/>
            <w:shd w:val="clear" w:color="auto" w:fill="FBD4B4" w:themeFill="accent6" w:themeFillTint="66"/>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Substanţe periculoase</w:t>
            </w:r>
          </w:p>
        </w:tc>
        <w:tc>
          <w:tcPr>
            <w:tcW w:w="1552" w:type="dxa"/>
            <w:shd w:val="clear" w:color="auto" w:fill="FBD4B4" w:themeFill="accent6" w:themeFillTint="66"/>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Metale grele</w:t>
            </w:r>
          </w:p>
        </w:tc>
        <w:tc>
          <w:tcPr>
            <w:tcW w:w="555" w:type="dxa"/>
            <w:shd w:val="clear" w:color="auto" w:fill="FBD4B4" w:themeFill="accent6" w:themeFillTint="66"/>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B</w:t>
            </w:r>
          </w:p>
        </w:tc>
        <w:tc>
          <w:tcPr>
            <w:tcW w:w="604" w:type="dxa"/>
            <w:shd w:val="clear" w:color="auto" w:fill="FBD4B4" w:themeFill="accent6" w:themeFillTint="66"/>
          </w:tcPr>
          <w:p w:rsidR="00691934" w:rsidRPr="006F0996" w:rsidRDefault="00691934" w:rsidP="00012F90">
            <w:pPr>
              <w:pStyle w:val="Default"/>
              <w:jc w:val="center"/>
              <w:rPr>
                <w:rFonts w:ascii="Arial" w:hAnsi="Arial" w:cs="Arial"/>
                <w:color w:val="auto"/>
              </w:rPr>
            </w:pPr>
            <w:r w:rsidRPr="006F0996">
              <w:rPr>
                <w:rFonts w:ascii="Arial" w:hAnsi="Arial" w:cs="Arial"/>
                <w:bCs/>
                <w:color w:val="auto"/>
              </w:rPr>
              <w:t>C</w:t>
            </w:r>
          </w:p>
        </w:tc>
      </w:tr>
      <w:tr w:rsidR="00691934" w:rsidRPr="006F0996" w:rsidTr="00012F90">
        <w:trPr>
          <w:trHeight w:val="325"/>
          <w:jc w:val="center"/>
        </w:trPr>
        <w:tc>
          <w:tcPr>
            <w:tcW w:w="6823"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bCs/>
                <w:color w:val="auto"/>
              </w:rPr>
              <w:t xml:space="preserve">Număr puncte de monitorizare </w:t>
            </w:r>
          </w:p>
        </w:tc>
        <w:tc>
          <w:tcPr>
            <w:tcW w:w="1552" w:type="dxa"/>
            <w:shd w:val="clear" w:color="auto" w:fill="FDE9D9" w:themeFill="accent6" w:themeFillTint="33"/>
          </w:tcPr>
          <w:p w:rsidR="00691934" w:rsidRPr="006F0996" w:rsidRDefault="00691934" w:rsidP="00012F90">
            <w:pPr>
              <w:pStyle w:val="Default"/>
              <w:jc w:val="center"/>
              <w:rPr>
                <w:rFonts w:ascii="Arial" w:hAnsi="Arial" w:cs="Arial"/>
                <w:color w:val="auto"/>
              </w:rPr>
            </w:pPr>
            <w:r w:rsidRPr="006F0996">
              <w:rPr>
                <w:rFonts w:ascii="Arial" w:hAnsi="Arial" w:cs="Arial"/>
                <w:color w:val="auto"/>
              </w:rPr>
              <w:t>3</w:t>
            </w:r>
          </w:p>
        </w:tc>
        <w:tc>
          <w:tcPr>
            <w:tcW w:w="555"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color w:val="auto"/>
              </w:rPr>
              <w:t xml:space="preserve">… </w:t>
            </w:r>
          </w:p>
        </w:tc>
        <w:tc>
          <w:tcPr>
            <w:tcW w:w="604"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color w:val="auto"/>
              </w:rPr>
              <w:t xml:space="preserve">… </w:t>
            </w:r>
          </w:p>
        </w:tc>
      </w:tr>
      <w:tr w:rsidR="00691934" w:rsidRPr="006F0996" w:rsidTr="00012F90">
        <w:trPr>
          <w:trHeight w:val="286"/>
          <w:jc w:val="center"/>
        </w:trPr>
        <w:tc>
          <w:tcPr>
            <w:tcW w:w="6823"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bCs/>
                <w:color w:val="auto"/>
              </w:rPr>
              <w:t xml:space="preserve">Număr puncte cu concentraţie mai mare decât SCM </w:t>
            </w:r>
          </w:p>
        </w:tc>
        <w:tc>
          <w:tcPr>
            <w:tcW w:w="1552" w:type="dxa"/>
            <w:shd w:val="clear" w:color="auto" w:fill="FDE9D9" w:themeFill="accent6" w:themeFillTint="33"/>
          </w:tcPr>
          <w:p w:rsidR="00691934" w:rsidRPr="006F0996" w:rsidRDefault="00691934" w:rsidP="00012F90">
            <w:pPr>
              <w:pStyle w:val="Default"/>
              <w:jc w:val="center"/>
              <w:rPr>
                <w:rFonts w:ascii="Arial" w:hAnsi="Arial" w:cs="Arial"/>
                <w:color w:val="auto"/>
              </w:rPr>
            </w:pPr>
            <w:r w:rsidRPr="006F0996">
              <w:rPr>
                <w:rFonts w:ascii="Arial" w:hAnsi="Arial" w:cs="Arial"/>
                <w:color w:val="auto"/>
              </w:rPr>
              <w:t>0</w:t>
            </w:r>
          </w:p>
        </w:tc>
        <w:tc>
          <w:tcPr>
            <w:tcW w:w="555"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color w:val="auto"/>
              </w:rPr>
              <w:t xml:space="preserve">… </w:t>
            </w:r>
          </w:p>
        </w:tc>
        <w:tc>
          <w:tcPr>
            <w:tcW w:w="604"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color w:val="auto"/>
              </w:rPr>
              <w:t xml:space="preserve">… </w:t>
            </w:r>
          </w:p>
        </w:tc>
      </w:tr>
      <w:tr w:rsidR="00691934" w:rsidRPr="006F0996" w:rsidTr="00012F90">
        <w:trPr>
          <w:trHeight w:val="263"/>
          <w:jc w:val="center"/>
        </w:trPr>
        <w:tc>
          <w:tcPr>
            <w:tcW w:w="6823"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bCs/>
                <w:color w:val="auto"/>
              </w:rPr>
              <w:t xml:space="preserve">Ponderea punctelor cu concentraţie mai mare decât SCM (%) </w:t>
            </w:r>
          </w:p>
        </w:tc>
        <w:tc>
          <w:tcPr>
            <w:tcW w:w="1552" w:type="dxa"/>
            <w:shd w:val="clear" w:color="auto" w:fill="FDE9D9" w:themeFill="accent6" w:themeFillTint="33"/>
          </w:tcPr>
          <w:p w:rsidR="00691934" w:rsidRPr="006F0996" w:rsidRDefault="00691934" w:rsidP="00012F90">
            <w:pPr>
              <w:pStyle w:val="Default"/>
              <w:jc w:val="center"/>
              <w:rPr>
                <w:rFonts w:ascii="Arial" w:hAnsi="Arial" w:cs="Arial"/>
                <w:color w:val="auto"/>
              </w:rPr>
            </w:pPr>
            <w:r w:rsidRPr="006F0996">
              <w:rPr>
                <w:rFonts w:ascii="Arial" w:hAnsi="Arial" w:cs="Arial"/>
                <w:color w:val="auto"/>
              </w:rPr>
              <w:t>0</w:t>
            </w:r>
          </w:p>
        </w:tc>
        <w:tc>
          <w:tcPr>
            <w:tcW w:w="555"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color w:val="auto"/>
              </w:rPr>
              <w:t xml:space="preserve">… </w:t>
            </w:r>
          </w:p>
        </w:tc>
        <w:tc>
          <w:tcPr>
            <w:tcW w:w="604" w:type="dxa"/>
            <w:shd w:val="clear" w:color="auto" w:fill="FDE9D9" w:themeFill="accent6" w:themeFillTint="33"/>
          </w:tcPr>
          <w:p w:rsidR="00691934" w:rsidRPr="006F0996" w:rsidRDefault="00691934" w:rsidP="00012F90">
            <w:pPr>
              <w:pStyle w:val="Default"/>
              <w:rPr>
                <w:rFonts w:ascii="Arial" w:hAnsi="Arial" w:cs="Arial"/>
                <w:color w:val="auto"/>
              </w:rPr>
            </w:pPr>
            <w:r w:rsidRPr="006F0996">
              <w:rPr>
                <w:rFonts w:ascii="Arial" w:hAnsi="Arial" w:cs="Arial"/>
                <w:color w:val="auto"/>
              </w:rPr>
              <w:t xml:space="preserve">… </w:t>
            </w:r>
          </w:p>
        </w:tc>
      </w:tr>
    </w:tbl>
    <w:p w:rsidR="00691934" w:rsidRPr="00F13F48" w:rsidRDefault="00691934" w:rsidP="00691934">
      <w:pPr>
        <w:pStyle w:val="Default"/>
        <w:rPr>
          <w:rFonts w:ascii="Arial" w:hAnsi="Arial" w:cs="Arial"/>
          <w:i/>
          <w:iCs/>
          <w:color w:val="auto"/>
        </w:rPr>
      </w:pPr>
      <w:r w:rsidRPr="00F13F48">
        <w:rPr>
          <w:rFonts w:ascii="Arial" w:hAnsi="Arial" w:cs="Arial"/>
          <w:i/>
          <w:iCs/>
          <w:color w:val="auto"/>
        </w:rPr>
        <w:t xml:space="preserve">Notă: A, B, C … substanţe periculoase monitorizate, pe categorii: metale grele, pesticide şi alte substanţe organice </w:t>
      </w:r>
    </w:p>
    <w:p w:rsidR="00691934" w:rsidRDefault="00691934" w:rsidP="00691934">
      <w:pPr>
        <w:rPr>
          <w:rFonts w:ascii="Arial" w:hAnsi="Arial" w:cs="Arial"/>
          <w:b/>
          <w:bCs/>
        </w:rPr>
      </w:pPr>
    </w:p>
    <w:p w:rsidR="00691934" w:rsidRPr="00E15C41" w:rsidRDefault="00691934" w:rsidP="00691934">
      <w:pPr>
        <w:rPr>
          <w:rFonts w:ascii="Arial" w:hAnsi="Arial" w:cs="Arial"/>
        </w:rPr>
      </w:pPr>
      <w:r w:rsidRPr="00F13F48">
        <w:rPr>
          <w:rFonts w:ascii="Arial" w:hAnsi="Arial" w:cs="Arial"/>
          <w:b/>
          <w:bCs/>
        </w:rPr>
        <w:t xml:space="preserve">Tabel nr. </w:t>
      </w:r>
      <w:r w:rsidRPr="00465077">
        <w:rPr>
          <w:rFonts w:ascii="Arial" w:hAnsi="Arial" w:cs="Arial"/>
          <w:b/>
          <w:bCs/>
        </w:rPr>
        <w:t>II</w:t>
      </w:r>
      <w:r w:rsidRPr="00F13F48">
        <w:rPr>
          <w:rFonts w:ascii="Arial" w:hAnsi="Arial" w:cs="Arial"/>
          <w:b/>
          <w:bCs/>
        </w:rPr>
        <w:t>.2.1.1</w:t>
      </w:r>
      <w:r>
        <w:rPr>
          <w:rFonts w:ascii="Arial" w:hAnsi="Arial" w:cs="Arial"/>
          <w:b/>
          <w:bCs/>
        </w:rPr>
        <w:t>. - 11</w:t>
      </w:r>
      <w:r w:rsidRPr="00F13F48">
        <w:rPr>
          <w:rFonts w:ascii="Arial" w:hAnsi="Arial" w:cs="Arial"/>
        </w:rPr>
        <w:t xml:space="preserve"> </w:t>
      </w:r>
      <w:r w:rsidRPr="00E15C41">
        <w:rPr>
          <w:rFonts w:ascii="Arial" w:hAnsi="Arial" w:cs="Arial"/>
        </w:rPr>
        <w:t>- Evaluarea globală a sarcinii provocate cursurilor de apă de către substanţele periculoase</w:t>
      </w:r>
      <w:r w:rsidRPr="00E15C41">
        <w:rPr>
          <w:rFonts w:ascii="Arial" w:hAnsi="Arial" w:cs="Arial"/>
          <w:i/>
          <w:iCs/>
        </w:rPr>
        <w:t xml:space="preserve"> </w:t>
      </w:r>
      <w:r w:rsidRPr="00E15C41">
        <w:rPr>
          <w:rFonts w:ascii="Arial" w:hAnsi="Arial" w:cs="Arial"/>
        </w:rPr>
        <w:t>pentru perioada 2010 – 2014</w:t>
      </w:r>
    </w:p>
    <w:tbl>
      <w:tblPr>
        <w:tblW w:w="0" w:type="auto"/>
        <w:jc w:val="center"/>
        <w:tblInd w:w="-95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0A0"/>
      </w:tblPr>
      <w:tblGrid>
        <w:gridCol w:w="2940"/>
        <w:gridCol w:w="850"/>
        <w:gridCol w:w="851"/>
        <w:gridCol w:w="992"/>
        <w:gridCol w:w="964"/>
        <w:gridCol w:w="879"/>
      </w:tblGrid>
      <w:tr w:rsidR="00691934" w:rsidRPr="00E15C41" w:rsidTr="00012F90">
        <w:trPr>
          <w:jc w:val="center"/>
        </w:trPr>
        <w:tc>
          <w:tcPr>
            <w:tcW w:w="2940" w:type="dxa"/>
            <w:vMerge w:val="restart"/>
            <w:shd w:val="clear" w:color="auto" w:fill="FBD4B4" w:themeFill="accent6" w:themeFillTint="66"/>
          </w:tcPr>
          <w:p w:rsidR="00691934" w:rsidRPr="00E15C41" w:rsidRDefault="00691934" w:rsidP="00012F90">
            <w:pPr>
              <w:pStyle w:val="Default"/>
              <w:rPr>
                <w:rFonts w:ascii="Arial" w:hAnsi="Arial" w:cs="Arial"/>
                <w:color w:val="auto"/>
              </w:rPr>
            </w:pPr>
            <w:r w:rsidRPr="00E15C41">
              <w:rPr>
                <w:rFonts w:ascii="Arial" w:hAnsi="Arial" w:cs="Arial"/>
                <w:color w:val="auto"/>
              </w:rPr>
              <w:t>Județul Brăila</w:t>
            </w:r>
          </w:p>
        </w:tc>
        <w:tc>
          <w:tcPr>
            <w:tcW w:w="4536" w:type="dxa"/>
            <w:gridSpan w:val="5"/>
            <w:shd w:val="clear" w:color="auto" w:fill="FBD4B4" w:themeFill="accent6" w:themeFillTint="66"/>
          </w:tcPr>
          <w:p w:rsidR="00691934" w:rsidRPr="00E15C41" w:rsidRDefault="00691934" w:rsidP="00012F90">
            <w:pPr>
              <w:pStyle w:val="Default"/>
              <w:jc w:val="center"/>
              <w:rPr>
                <w:rFonts w:ascii="Arial" w:hAnsi="Arial" w:cs="Arial"/>
                <w:color w:val="auto"/>
                <w:lang w:val="it-IT"/>
              </w:rPr>
            </w:pPr>
            <w:r w:rsidRPr="00E15C41">
              <w:rPr>
                <w:rFonts w:ascii="Arial" w:hAnsi="Arial" w:cs="Arial"/>
                <w:color w:val="auto"/>
                <w:lang w:val="it-IT"/>
              </w:rPr>
              <w:t>Concentrația relativă la SCM în anul</w:t>
            </w:r>
          </w:p>
        </w:tc>
      </w:tr>
      <w:tr w:rsidR="00691934" w:rsidRPr="00E15C41" w:rsidTr="00012F90">
        <w:trPr>
          <w:jc w:val="center"/>
        </w:trPr>
        <w:tc>
          <w:tcPr>
            <w:tcW w:w="2940" w:type="dxa"/>
            <w:vMerge/>
            <w:shd w:val="clear" w:color="auto" w:fill="FBD4B4" w:themeFill="accent6" w:themeFillTint="66"/>
          </w:tcPr>
          <w:p w:rsidR="00691934" w:rsidRPr="00E15C41" w:rsidRDefault="00691934" w:rsidP="00012F90">
            <w:pPr>
              <w:pStyle w:val="Default"/>
              <w:rPr>
                <w:rFonts w:ascii="Arial" w:hAnsi="Arial" w:cs="Arial"/>
                <w:color w:val="auto"/>
                <w:lang w:val="it-IT"/>
              </w:rPr>
            </w:pPr>
          </w:p>
        </w:tc>
        <w:tc>
          <w:tcPr>
            <w:tcW w:w="850" w:type="dxa"/>
            <w:shd w:val="clear" w:color="auto" w:fill="FBD4B4" w:themeFill="accent6" w:themeFillTint="66"/>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2010</w:t>
            </w:r>
          </w:p>
        </w:tc>
        <w:tc>
          <w:tcPr>
            <w:tcW w:w="851" w:type="dxa"/>
            <w:shd w:val="clear" w:color="auto" w:fill="FBD4B4" w:themeFill="accent6" w:themeFillTint="66"/>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2011</w:t>
            </w:r>
          </w:p>
        </w:tc>
        <w:tc>
          <w:tcPr>
            <w:tcW w:w="992" w:type="dxa"/>
            <w:shd w:val="clear" w:color="auto" w:fill="FBD4B4" w:themeFill="accent6" w:themeFillTint="66"/>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2012</w:t>
            </w:r>
          </w:p>
        </w:tc>
        <w:tc>
          <w:tcPr>
            <w:tcW w:w="964" w:type="dxa"/>
            <w:shd w:val="clear" w:color="auto" w:fill="FBD4B4" w:themeFill="accent6" w:themeFillTint="66"/>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2013</w:t>
            </w:r>
          </w:p>
        </w:tc>
        <w:tc>
          <w:tcPr>
            <w:tcW w:w="879" w:type="dxa"/>
            <w:shd w:val="clear" w:color="auto" w:fill="FBD4B4" w:themeFill="accent6" w:themeFillTint="66"/>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2014</w:t>
            </w:r>
          </w:p>
        </w:tc>
      </w:tr>
      <w:tr w:rsidR="00691934" w:rsidRPr="00E15C41" w:rsidTr="00012F90">
        <w:trPr>
          <w:jc w:val="center"/>
        </w:trPr>
        <w:tc>
          <w:tcPr>
            <w:tcW w:w="2940" w:type="dxa"/>
            <w:shd w:val="clear" w:color="auto" w:fill="FDE9D9" w:themeFill="accent6" w:themeFillTint="33"/>
          </w:tcPr>
          <w:p w:rsidR="00691934" w:rsidRPr="00E15C41" w:rsidRDefault="00691934" w:rsidP="00012F90">
            <w:pPr>
              <w:pStyle w:val="Default"/>
              <w:rPr>
                <w:rFonts w:ascii="Arial" w:hAnsi="Arial" w:cs="Arial"/>
                <w:color w:val="auto"/>
              </w:rPr>
            </w:pPr>
            <w:r w:rsidRPr="00E15C41">
              <w:rPr>
                <w:rFonts w:ascii="Arial" w:hAnsi="Arial" w:cs="Arial"/>
                <w:color w:val="auto"/>
              </w:rPr>
              <w:t>Metale grele</w:t>
            </w:r>
          </w:p>
        </w:tc>
        <w:tc>
          <w:tcPr>
            <w:tcW w:w="850"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851"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992"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964"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879"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r>
      <w:tr w:rsidR="00691934" w:rsidRPr="00E15C41" w:rsidTr="00012F90">
        <w:trPr>
          <w:jc w:val="center"/>
        </w:trPr>
        <w:tc>
          <w:tcPr>
            <w:tcW w:w="2940" w:type="dxa"/>
            <w:shd w:val="clear" w:color="auto" w:fill="FDE9D9" w:themeFill="accent6" w:themeFillTint="33"/>
          </w:tcPr>
          <w:p w:rsidR="00691934" w:rsidRPr="00E15C41" w:rsidRDefault="00691934" w:rsidP="00012F90">
            <w:pPr>
              <w:pStyle w:val="Default"/>
              <w:rPr>
                <w:rFonts w:ascii="Arial" w:hAnsi="Arial" w:cs="Arial"/>
                <w:color w:val="auto"/>
              </w:rPr>
            </w:pPr>
            <w:r w:rsidRPr="00E15C41">
              <w:rPr>
                <w:rFonts w:ascii="Arial" w:hAnsi="Arial" w:cs="Arial"/>
                <w:color w:val="auto"/>
              </w:rPr>
              <w:t>Pesticide</w:t>
            </w:r>
          </w:p>
        </w:tc>
        <w:tc>
          <w:tcPr>
            <w:tcW w:w="850"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851"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992"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964"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c>
          <w:tcPr>
            <w:tcW w:w="879" w:type="dxa"/>
            <w:shd w:val="clear" w:color="auto" w:fill="FDE9D9" w:themeFill="accent6" w:themeFillTint="33"/>
          </w:tcPr>
          <w:p w:rsidR="00691934" w:rsidRPr="00E15C41" w:rsidRDefault="00691934" w:rsidP="00012F90">
            <w:pPr>
              <w:pStyle w:val="Default"/>
              <w:jc w:val="center"/>
              <w:rPr>
                <w:rFonts w:ascii="Arial" w:hAnsi="Arial" w:cs="Arial"/>
                <w:color w:val="auto"/>
              </w:rPr>
            </w:pPr>
            <w:r>
              <w:rPr>
                <w:rFonts w:ascii="Arial" w:hAnsi="Arial" w:cs="Arial"/>
                <w:color w:val="auto"/>
              </w:rPr>
              <w:t>-</w:t>
            </w:r>
          </w:p>
        </w:tc>
      </w:tr>
      <w:tr w:rsidR="00691934" w:rsidRPr="00E15C41" w:rsidTr="00012F90">
        <w:trPr>
          <w:jc w:val="center"/>
        </w:trPr>
        <w:tc>
          <w:tcPr>
            <w:tcW w:w="2940" w:type="dxa"/>
            <w:shd w:val="clear" w:color="auto" w:fill="FDE9D9" w:themeFill="accent6" w:themeFillTint="33"/>
          </w:tcPr>
          <w:p w:rsidR="00691934" w:rsidRPr="00E15C41" w:rsidRDefault="00691934" w:rsidP="00012F90">
            <w:pPr>
              <w:pStyle w:val="Default"/>
              <w:rPr>
                <w:rFonts w:ascii="Arial" w:hAnsi="Arial" w:cs="Arial"/>
                <w:color w:val="auto"/>
              </w:rPr>
            </w:pPr>
            <w:r w:rsidRPr="00E15C41">
              <w:rPr>
                <w:rFonts w:ascii="Arial" w:hAnsi="Arial" w:cs="Arial"/>
                <w:color w:val="auto"/>
              </w:rPr>
              <w:t>Alte substanțe organice</w:t>
            </w:r>
          </w:p>
        </w:tc>
        <w:tc>
          <w:tcPr>
            <w:tcW w:w="850" w:type="dxa"/>
            <w:shd w:val="clear" w:color="auto" w:fill="FDE9D9" w:themeFill="accent6" w:themeFillTint="33"/>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0,4</w:t>
            </w:r>
          </w:p>
        </w:tc>
        <w:tc>
          <w:tcPr>
            <w:tcW w:w="851" w:type="dxa"/>
            <w:shd w:val="clear" w:color="auto" w:fill="FDE9D9" w:themeFill="accent6" w:themeFillTint="33"/>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0,5</w:t>
            </w:r>
          </w:p>
        </w:tc>
        <w:tc>
          <w:tcPr>
            <w:tcW w:w="992" w:type="dxa"/>
            <w:shd w:val="clear" w:color="auto" w:fill="FDE9D9" w:themeFill="accent6" w:themeFillTint="33"/>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0,2</w:t>
            </w:r>
          </w:p>
        </w:tc>
        <w:tc>
          <w:tcPr>
            <w:tcW w:w="964" w:type="dxa"/>
            <w:shd w:val="clear" w:color="auto" w:fill="FDE9D9" w:themeFill="accent6" w:themeFillTint="33"/>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0,3</w:t>
            </w:r>
          </w:p>
        </w:tc>
        <w:tc>
          <w:tcPr>
            <w:tcW w:w="879" w:type="dxa"/>
            <w:shd w:val="clear" w:color="auto" w:fill="FDE9D9" w:themeFill="accent6" w:themeFillTint="33"/>
          </w:tcPr>
          <w:p w:rsidR="00691934" w:rsidRPr="00E15C41" w:rsidRDefault="00691934" w:rsidP="00012F90">
            <w:pPr>
              <w:pStyle w:val="Default"/>
              <w:jc w:val="center"/>
              <w:rPr>
                <w:rFonts w:ascii="Arial" w:hAnsi="Arial" w:cs="Arial"/>
                <w:color w:val="auto"/>
              </w:rPr>
            </w:pPr>
            <w:r w:rsidRPr="00E15C41">
              <w:rPr>
                <w:rFonts w:ascii="Arial" w:hAnsi="Arial" w:cs="Arial"/>
                <w:color w:val="auto"/>
              </w:rPr>
              <w:t>0,2</w:t>
            </w:r>
          </w:p>
        </w:tc>
      </w:tr>
    </w:tbl>
    <w:p w:rsidR="00691934" w:rsidRDefault="00691934" w:rsidP="00691934">
      <w:pPr>
        <w:pStyle w:val="Default"/>
        <w:rPr>
          <w:rFonts w:ascii="Arial" w:hAnsi="Arial" w:cs="Arial"/>
          <w:i/>
          <w:iCs/>
          <w:color w:val="auto"/>
        </w:rPr>
      </w:pPr>
    </w:p>
    <w:p w:rsidR="00691934" w:rsidRPr="00F132B6" w:rsidRDefault="00691934" w:rsidP="00691934">
      <w:pPr>
        <w:tabs>
          <w:tab w:val="left" w:pos="1620"/>
        </w:tabs>
        <w:jc w:val="center"/>
      </w:pPr>
      <w:r>
        <w:rPr>
          <w:noProof/>
          <w:lang w:val="ro-RO" w:eastAsia="ro-RO"/>
        </w:rPr>
        <w:lastRenderedPageBreak/>
        <w:drawing>
          <wp:inline distT="0" distB="0" distL="0" distR="0">
            <wp:extent cx="4791075" cy="2847975"/>
            <wp:effectExtent l="19050" t="0" r="9525" b="0"/>
            <wp:docPr id="55"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rsidR="00691934" w:rsidRPr="00593919" w:rsidRDefault="00691934" w:rsidP="00691934">
      <w:pPr>
        <w:pStyle w:val="Default"/>
        <w:rPr>
          <w:rFonts w:ascii="Arial" w:hAnsi="Arial" w:cs="Arial"/>
          <w:iCs/>
          <w:color w:val="auto"/>
        </w:rPr>
      </w:pPr>
    </w:p>
    <w:p w:rsidR="00691934" w:rsidRPr="00F13F48" w:rsidRDefault="00691934" w:rsidP="00691934">
      <w:pPr>
        <w:pStyle w:val="Default"/>
        <w:rPr>
          <w:rFonts w:ascii="Arial" w:hAnsi="Arial" w:cs="Arial"/>
          <w:color w:val="auto"/>
        </w:rPr>
      </w:pPr>
    </w:p>
    <w:p w:rsidR="00691934" w:rsidRDefault="00691934" w:rsidP="00691934">
      <w:pPr>
        <w:rPr>
          <w:rFonts w:ascii="Arial" w:hAnsi="Arial" w:cs="Arial"/>
          <w:b/>
          <w:bCs/>
          <w:u w:val="single"/>
        </w:rPr>
      </w:pPr>
      <w:r w:rsidRPr="00F13F48">
        <w:rPr>
          <w:rFonts w:ascii="Arial" w:hAnsi="Arial" w:cs="Arial"/>
          <w:b/>
          <w:bCs/>
          <w:u w:val="single"/>
        </w:rPr>
        <w:t xml:space="preserve">II.2.1.2. Calitatea apei lacurilor </w:t>
      </w:r>
    </w:p>
    <w:p w:rsidR="00691934" w:rsidRDefault="00691934" w:rsidP="00691934">
      <w:pPr>
        <w:rPr>
          <w:rFonts w:ascii="Arial" w:hAnsi="Arial" w:cs="Arial"/>
          <w:b/>
          <w:bCs/>
          <w:u w:val="single"/>
        </w:rPr>
      </w:pPr>
    </w:p>
    <w:p w:rsidR="00691934" w:rsidRPr="00F13F48" w:rsidRDefault="00691934" w:rsidP="00691934">
      <w:pPr>
        <w:rPr>
          <w:rFonts w:ascii="Arial" w:hAnsi="Arial" w:cs="Arial"/>
          <w:b/>
          <w:bCs/>
          <w:u w:val="single"/>
        </w:rPr>
      </w:pPr>
      <w:r>
        <w:rPr>
          <w:rFonts w:ascii="Arial" w:hAnsi="Arial" w:cs="Arial"/>
          <w:b/>
          <w:bCs/>
          <w:u w:val="single"/>
        </w:rPr>
        <w:t>Nutrienți în apă – indicator RO 20</w:t>
      </w:r>
    </w:p>
    <w:p w:rsidR="00691934" w:rsidRPr="00F13F48" w:rsidRDefault="00691934" w:rsidP="00691934">
      <w:pPr>
        <w:pStyle w:val="Default"/>
        <w:rPr>
          <w:rFonts w:ascii="Arial" w:hAnsi="Arial" w:cs="Arial"/>
          <w:color w:val="auto"/>
        </w:rPr>
      </w:pPr>
      <w:r w:rsidRPr="00F13F48">
        <w:rPr>
          <w:rFonts w:ascii="Arial" w:hAnsi="Arial" w:cs="Arial"/>
          <w:color w:val="auto"/>
        </w:rPr>
        <w:t xml:space="preserve"> </w:t>
      </w:r>
    </w:p>
    <w:p w:rsidR="00691934" w:rsidRPr="00F13F48" w:rsidRDefault="00691934" w:rsidP="00691934">
      <w:pPr>
        <w:pStyle w:val="Default"/>
        <w:rPr>
          <w:rFonts w:ascii="Arial" w:hAnsi="Arial" w:cs="Arial"/>
          <w:color w:val="auto"/>
        </w:rPr>
      </w:pPr>
      <w:r w:rsidRPr="00F13F48">
        <w:rPr>
          <w:rFonts w:ascii="Arial" w:hAnsi="Arial" w:cs="Arial"/>
          <w:color w:val="auto"/>
        </w:rPr>
        <w:t xml:space="preserve"> </w:t>
      </w:r>
    </w:p>
    <w:p w:rsidR="00691934" w:rsidRPr="0061566E" w:rsidRDefault="00691934" w:rsidP="00691934">
      <w:pPr>
        <w:pStyle w:val="Default"/>
        <w:rPr>
          <w:rFonts w:ascii="Arial" w:hAnsi="Arial" w:cs="Arial"/>
          <w:color w:val="auto"/>
        </w:rPr>
      </w:pPr>
      <w:r w:rsidRPr="0061566E">
        <w:rPr>
          <w:rFonts w:ascii="Arial" w:hAnsi="Arial" w:cs="Arial"/>
          <w:b/>
          <w:bCs/>
          <w:color w:val="auto"/>
        </w:rPr>
        <w:t>Tabel nr. II.2.1.2. – 1</w:t>
      </w:r>
      <w:r w:rsidRPr="0061566E">
        <w:rPr>
          <w:rFonts w:ascii="Arial" w:hAnsi="Arial" w:cs="Arial"/>
          <w:bCs/>
          <w:color w:val="auto"/>
          <w:u w:val="single"/>
        </w:rPr>
        <w:t xml:space="preserve"> </w:t>
      </w:r>
      <w:r w:rsidRPr="0061566E">
        <w:rPr>
          <w:rFonts w:ascii="Arial" w:hAnsi="Arial" w:cs="Arial"/>
          <w:color w:val="auto"/>
        </w:rPr>
        <w:t>-  Concentraţiile medii ale fosforului total (P</w:t>
      </w:r>
      <w:r w:rsidRPr="0061566E">
        <w:rPr>
          <w:rFonts w:ascii="Arial" w:hAnsi="Arial" w:cs="Arial"/>
          <w:color w:val="auto"/>
          <w:vertAlign w:val="subscript"/>
        </w:rPr>
        <w:t>T</w:t>
      </w:r>
      <w:r w:rsidRPr="0061566E">
        <w:rPr>
          <w:rFonts w:ascii="Arial" w:hAnsi="Arial" w:cs="Arial"/>
          <w:color w:val="auto"/>
        </w:rPr>
        <w:t>) și azotaților (NO</w:t>
      </w:r>
      <w:r w:rsidRPr="00D1770E">
        <w:rPr>
          <w:rFonts w:ascii="Arial" w:hAnsi="Arial" w:cs="Arial"/>
          <w:color w:val="auto"/>
          <w:vertAlign w:val="superscript"/>
        </w:rPr>
        <w:t>3-</w:t>
      </w:r>
      <w:r w:rsidRPr="0061566E">
        <w:rPr>
          <w:rFonts w:ascii="Arial" w:hAnsi="Arial" w:cs="Arial"/>
          <w:color w:val="auto"/>
        </w:rPr>
        <w:t xml:space="preserve">) determinate în lacurile din județul Brăila, în anul  2014 </w:t>
      </w:r>
    </w:p>
    <w:p w:rsidR="00691934" w:rsidRPr="00F13F48" w:rsidRDefault="00691934" w:rsidP="00691934">
      <w:pPr>
        <w:pStyle w:val="Default"/>
        <w:rPr>
          <w:rFonts w:ascii="Arial" w:hAnsi="Arial" w:cs="Arial"/>
          <w:i/>
          <w:iCs/>
          <w:color w:val="auto"/>
        </w:rPr>
      </w:pPr>
      <w:r w:rsidRPr="00F13F48">
        <w:rPr>
          <w:rFonts w:ascii="Arial" w:hAnsi="Arial" w:cs="Arial"/>
          <w:i/>
          <w:iCs/>
          <w:color w:val="auto"/>
        </w:rPr>
        <w:tab/>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1630"/>
        <w:gridCol w:w="3637"/>
        <w:gridCol w:w="2126"/>
        <w:gridCol w:w="2146"/>
      </w:tblGrid>
      <w:tr w:rsidR="00691934" w:rsidRPr="00F13F48" w:rsidTr="00012F90">
        <w:trPr>
          <w:trHeight w:val="572"/>
          <w:jc w:val="center"/>
        </w:trPr>
        <w:tc>
          <w:tcPr>
            <w:tcW w:w="1630"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Bazin/spațiu hidrografic</w:t>
            </w:r>
          </w:p>
        </w:tc>
        <w:tc>
          <w:tcPr>
            <w:tcW w:w="3637"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Secţiuni de control</w:t>
            </w:r>
          </w:p>
        </w:tc>
        <w:tc>
          <w:tcPr>
            <w:tcW w:w="2126"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P</w:t>
            </w:r>
            <w:r w:rsidRPr="00F13F48">
              <w:rPr>
                <w:rFonts w:ascii="Arial" w:hAnsi="Arial" w:cs="Arial"/>
                <w:b/>
                <w:bCs/>
                <w:color w:val="auto"/>
                <w:vertAlign w:val="subscript"/>
              </w:rPr>
              <w:t>T</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(mg P/L))</w:t>
            </w:r>
          </w:p>
        </w:tc>
        <w:tc>
          <w:tcPr>
            <w:tcW w:w="2146" w:type="dxa"/>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NO</w:t>
            </w:r>
            <w:r w:rsidRPr="00D1770E">
              <w:rPr>
                <w:rFonts w:ascii="Arial" w:hAnsi="Arial" w:cs="Arial"/>
                <w:b/>
                <w:bCs/>
                <w:color w:val="auto"/>
                <w:vertAlign w:val="superscript"/>
              </w:rPr>
              <w:t>3-</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(mg NO</w:t>
            </w:r>
            <w:r w:rsidRPr="00D1770E">
              <w:rPr>
                <w:rFonts w:ascii="Arial" w:hAnsi="Arial" w:cs="Arial"/>
                <w:b/>
                <w:bCs/>
                <w:color w:val="auto"/>
                <w:vertAlign w:val="superscript"/>
              </w:rPr>
              <w:t>3-</w:t>
            </w:r>
            <w:r w:rsidRPr="00F13F48">
              <w:rPr>
                <w:rFonts w:ascii="Arial" w:hAnsi="Arial" w:cs="Arial"/>
                <w:b/>
                <w:bCs/>
                <w:color w:val="auto"/>
              </w:rPr>
              <w:t>/L)</w:t>
            </w:r>
          </w:p>
        </w:tc>
      </w:tr>
      <w:tr w:rsidR="00691934" w:rsidRPr="00F13F48" w:rsidTr="00012F90">
        <w:trPr>
          <w:trHeight w:val="305"/>
          <w:jc w:val="center"/>
        </w:trPr>
        <w:tc>
          <w:tcPr>
            <w:tcW w:w="1630"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BUZ</w:t>
            </w:r>
            <w:r>
              <w:rPr>
                <w:rFonts w:ascii="Arial" w:hAnsi="Arial" w:cs="Arial"/>
                <w:color w:val="auto"/>
              </w:rPr>
              <w:t>Ă</w:t>
            </w:r>
            <w:r w:rsidRPr="00F13F48">
              <w:rPr>
                <w:rFonts w:ascii="Arial" w:hAnsi="Arial" w:cs="Arial"/>
                <w:color w:val="auto"/>
              </w:rPr>
              <w:t>U</w:t>
            </w:r>
          </w:p>
        </w:tc>
        <w:tc>
          <w:tcPr>
            <w:tcW w:w="3637" w:type="dxa"/>
            <w:shd w:val="clear" w:color="auto" w:fill="FDE9D9" w:themeFill="accent6" w:themeFillTint="33"/>
            <w:vAlign w:val="center"/>
          </w:tcPr>
          <w:p w:rsidR="00691934" w:rsidRPr="00F13F48" w:rsidRDefault="00691934" w:rsidP="00012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F13F48">
              <w:rPr>
                <w:rFonts w:ascii="Arial" w:hAnsi="Arial" w:cs="Arial"/>
              </w:rPr>
              <w:t>LAC JIRL</w:t>
            </w:r>
            <w:r>
              <w:rPr>
                <w:rFonts w:ascii="Arial" w:hAnsi="Arial" w:cs="Arial"/>
              </w:rPr>
              <w:t>Ă</w:t>
            </w:r>
            <w:r w:rsidRPr="00F13F48">
              <w:rPr>
                <w:rFonts w:ascii="Arial" w:hAnsi="Arial" w:cs="Arial"/>
              </w:rPr>
              <w:t>U</w:t>
            </w:r>
          </w:p>
        </w:tc>
        <w:tc>
          <w:tcPr>
            <w:tcW w:w="212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r>
              <w:rPr>
                <w:rFonts w:ascii="Arial" w:hAnsi="Arial" w:cs="Arial"/>
                <w:color w:val="auto"/>
              </w:rPr>
              <w:t>,</w:t>
            </w:r>
            <w:r w:rsidRPr="00F13F48">
              <w:rPr>
                <w:rFonts w:ascii="Arial" w:hAnsi="Arial" w:cs="Arial"/>
                <w:color w:val="auto"/>
              </w:rPr>
              <w:t>223</w:t>
            </w:r>
          </w:p>
        </w:tc>
        <w:tc>
          <w:tcPr>
            <w:tcW w:w="214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r>
              <w:rPr>
                <w:rFonts w:ascii="Arial" w:hAnsi="Arial" w:cs="Arial"/>
                <w:color w:val="auto"/>
              </w:rPr>
              <w:t>,</w:t>
            </w:r>
            <w:r w:rsidRPr="00F13F48">
              <w:rPr>
                <w:rFonts w:ascii="Arial" w:hAnsi="Arial" w:cs="Arial"/>
                <w:color w:val="auto"/>
              </w:rPr>
              <w:t>169</w:t>
            </w:r>
          </w:p>
        </w:tc>
      </w:tr>
      <w:tr w:rsidR="00691934" w:rsidRPr="00F13F48" w:rsidTr="00012F90">
        <w:trPr>
          <w:trHeight w:val="303"/>
          <w:jc w:val="center"/>
        </w:trPr>
        <w:tc>
          <w:tcPr>
            <w:tcW w:w="1630"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DUN</w:t>
            </w:r>
            <w:r>
              <w:rPr>
                <w:rFonts w:ascii="Arial" w:hAnsi="Arial" w:cs="Arial"/>
                <w:color w:val="auto"/>
              </w:rPr>
              <w:t>Ă</w:t>
            </w:r>
            <w:r w:rsidRPr="00F13F48">
              <w:rPr>
                <w:rFonts w:ascii="Arial" w:hAnsi="Arial" w:cs="Arial"/>
                <w:color w:val="auto"/>
              </w:rPr>
              <w:t>RE</w:t>
            </w:r>
          </w:p>
        </w:tc>
        <w:tc>
          <w:tcPr>
            <w:tcW w:w="3637" w:type="dxa"/>
            <w:shd w:val="clear" w:color="auto" w:fill="FDE9D9" w:themeFill="accent6" w:themeFillTint="33"/>
            <w:vAlign w:val="center"/>
          </w:tcPr>
          <w:p w:rsidR="00691934" w:rsidRPr="00F13F48" w:rsidRDefault="00691934" w:rsidP="00012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F13F48">
              <w:rPr>
                <w:rFonts w:ascii="Arial" w:hAnsi="Arial" w:cs="Arial"/>
              </w:rPr>
              <w:t>LAC S</w:t>
            </w:r>
            <w:r>
              <w:rPr>
                <w:rFonts w:ascii="Arial" w:hAnsi="Arial" w:cs="Arial"/>
              </w:rPr>
              <w:t>Ă</w:t>
            </w:r>
            <w:r w:rsidRPr="00F13F48">
              <w:rPr>
                <w:rFonts w:ascii="Arial" w:hAnsi="Arial" w:cs="Arial"/>
              </w:rPr>
              <w:t>RAT MOVILA MIRESII</w:t>
            </w:r>
          </w:p>
        </w:tc>
        <w:tc>
          <w:tcPr>
            <w:tcW w:w="212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w:t>
            </w:r>
            <w:r>
              <w:rPr>
                <w:rFonts w:ascii="Arial" w:hAnsi="Arial" w:cs="Arial"/>
                <w:color w:val="auto"/>
              </w:rPr>
              <w:t>,</w:t>
            </w:r>
            <w:r w:rsidRPr="00F13F48">
              <w:rPr>
                <w:rFonts w:ascii="Arial" w:hAnsi="Arial" w:cs="Arial"/>
                <w:color w:val="auto"/>
              </w:rPr>
              <w:t xml:space="preserve">416 </w:t>
            </w:r>
          </w:p>
        </w:tc>
        <w:tc>
          <w:tcPr>
            <w:tcW w:w="214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r>
              <w:rPr>
                <w:rFonts w:ascii="Arial" w:hAnsi="Arial" w:cs="Arial"/>
                <w:color w:val="auto"/>
              </w:rPr>
              <w:t>,</w:t>
            </w:r>
            <w:r w:rsidRPr="00F13F48">
              <w:rPr>
                <w:rFonts w:ascii="Arial" w:hAnsi="Arial" w:cs="Arial"/>
                <w:color w:val="auto"/>
              </w:rPr>
              <w:t>289</w:t>
            </w:r>
          </w:p>
        </w:tc>
      </w:tr>
      <w:tr w:rsidR="00691934" w:rsidRPr="00F13F48" w:rsidTr="00012F90">
        <w:trPr>
          <w:trHeight w:val="305"/>
          <w:jc w:val="center"/>
        </w:trPr>
        <w:tc>
          <w:tcPr>
            <w:tcW w:w="1630"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DUN</w:t>
            </w:r>
            <w:r>
              <w:rPr>
                <w:rFonts w:ascii="Arial" w:hAnsi="Arial" w:cs="Arial"/>
                <w:color w:val="auto"/>
              </w:rPr>
              <w:t>Ă</w:t>
            </w:r>
            <w:r w:rsidRPr="00F13F48">
              <w:rPr>
                <w:rFonts w:ascii="Arial" w:hAnsi="Arial" w:cs="Arial"/>
                <w:color w:val="auto"/>
              </w:rPr>
              <w:t>RE</w:t>
            </w:r>
          </w:p>
        </w:tc>
        <w:tc>
          <w:tcPr>
            <w:tcW w:w="3637" w:type="dxa"/>
            <w:shd w:val="clear" w:color="auto" w:fill="FDE9D9" w:themeFill="accent6" w:themeFillTint="33"/>
            <w:vAlign w:val="center"/>
          </w:tcPr>
          <w:p w:rsidR="00691934" w:rsidRPr="00F13F48" w:rsidRDefault="00691934" w:rsidP="00012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F13F48">
              <w:rPr>
                <w:rFonts w:ascii="Arial" w:hAnsi="Arial" w:cs="Arial"/>
              </w:rPr>
              <w:t>LAC S</w:t>
            </w:r>
            <w:r>
              <w:rPr>
                <w:rFonts w:ascii="Arial" w:hAnsi="Arial" w:cs="Arial"/>
              </w:rPr>
              <w:t>Ă</w:t>
            </w:r>
            <w:r w:rsidRPr="00F13F48">
              <w:rPr>
                <w:rFonts w:ascii="Arial" w:hAnsi="Arial" w:cs="Arial"/>
              </w:rPr>
              <w:t>RAT BR</w:t>
            </w:r>
            <w:r>
              <w:rPr>
                <w:rFonts w:ascii="Arial" w:hAnsi="Arial" w:cs="Arial"/>
              </w:rPr>
              <w:t>Ă</w:t>
            </w:r>
            <w:r w:rsidRPr="00F13F48">
              <w:rPr>
                <w:rFonts w:ascii="Arial" w:hAnsi="Arial" w:cs="Arial"/>
              </w:rPr>
              <w:t>ILA</w:t>
            </w:r>
          </w:p>
        </w:tc>
        <w:tc>
          <w:tcPr>
            <w:tcW w:w="212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r>
              <w:rPr>
                <w:rFonts w:ascii="Arial" w:hAnsi="Arial" w:cs="Arial"/>
                <w:color w:val="auto"/>
              </w:rPr>
              <w:t>,</w:t>
            </w:r>
            <w:r w:rsidRPr="00F13F48">
              <w:rPr>
                <w:rFonts w:ascii="Arial" w:hAnsi="Arial" w:cs="Arial"/>
                <w:color w:val="auto"/>
              </w:rPr>
              <w:t>556</w:t>
            </w:r>
          </w:p>
        </w:tc>
        <w:tc>
          <w:tcPr>
            <w:tcW w:w="214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1</w:t>
            </w:r>
            <w:r>
              <w:rPr>
                <w:rFonts w:ascii="Arial" w:hAnsi="Arial" w:cs="Arial"/>
                <w:color w:val="auto"/>
              </w:rPr>
              <w:t>,</w:t>
            </w:r>
            <w:r w:rsidRPr="00F13F48">
              <w:rPr>
                <w:rFonts w:ascii="Arial" w:hAnsi="Arial" w:cs="Arial"/>
                <w:color w:val="auto"/>
              </w:rPr>
              <w:t>085</w:t>
            </w:r>
          </w:p>
        </w:tc>
      </w:tr>
      <w:tr w:rsidR="00691934" w:rsidRPr="00F13F48" w:rsidTr="00012F90">
        <w:trPr>
          <w:trHeight w:val="315"/>
          <w:jc w:val="center"/>
        </w:trPr>
        <w:tc>
          <w:tcPr>
            <w:tcW w:w="1630"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DUN</w:t>
            </w:r>
            <w:r>
              <w:rPr>
                <w:rFonts w:ascii="Arial" w:hAnsi="Arial" w:cs="Arial"/>
                <w:color w:val="auto"/>
              </w:rPr>
              <w:t>Ă</w:t>
            </w:r>
            <w:r w:rsidRPr="00F13F48">
              <w:rPr>
                <w:rFonts w:ascii="Arial" w:hAnsi="Arial" w:cs="Arial"/>
                <w:color w:val="auto"/>
              </w:rPr>
              <w:t>RE</w:t>
            </w:r>
          </w:p>
        </w:tc>
        <w:tc>
          <w:tcPr>
            <w:tcW w:w="3637" w:type="dxa"/>
            <w:shd w:val="clear" w:color="auto" w:fill="FDE9D9" w:themeFill="accent6" w:themeFillTint="33"/>
            <w:vAlign w:val="center"/>
          </w:tcPr>
          <w:p w:rsidR="00691934" w:rsidRPr="00F13F48" w:rsidRDefault="00691934" w:rsidP="00012F90">
            <w:pPr>
              <w:tabs>
                <w:tab w:val="left" w:pos="720"/>
                <w:tab w:val="left" w:pos="1440"/>
                <w:tab w:val="left" w:pos="2160"/>
                <w:tab w:val="left" w:pos="2880"/>
                <w:tab w:val="left" w:pos="3600"/>
                <w:tab w:val="left" w:pos="4320"/>
                <w:tab w:val="left" w:pos="5040"/>
                <w:tab w:val="left" w:pos="5760"/>
                <w:tab w:val="left" w:pos="6480"/>
                <w:tab w:val="left" w:pos="7200"/>
                <w:tab w:val="left" w:pos="7920"/>
                <w:tab w:val="left" w:pos="8640"/>
              </w:tabs>
              <w:rPr>
                <w:rFonts w:ascii="Arial" w:hAnsi="Arial" w:cs="Arial"/>
              </w:rPr>
            </w:pPr>
            <w:r w:rsidRPr="00F13F48">
              <w:rPr>
                <w:rFonts w:ascii="Arial" w:hAnsi="Arial" w:cs="Arial"/>
              </w:rPr>
              <w:t>LAC SEACA MOVILA MIRESII</w:t>
            </w:r>
          </w:p>
        </w:tc>
        <w:tc>
          <w:tcPr>
            <w:tcW w:w="212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r>
              <w:rPr>
                <w:rFonts w:ascii="Arial" w:hAnsi="Arial" w:cs="Arial"/>
                <w:color w:val="auto"/>
              </w:rPr>
              <w:t>,</w:t>
            </w:r>
            <w:r w:rsidRPr="00F13F48">
              <w:rPr>
                <w:rFonts w:ascii="Arial" w:hAnsi="Arial" w:cs="Arial"/>
                <w:color w:val="auto"/>
              </w:rPr>
              <w:t xml:space="preserve">438 </w:t>
            </w:r>
          </w:p>
        </w:tc>
        <w:tc>
          <w:tcPr>
            <w:tcW w:w="2146"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r>
              <w:rPr>
                <w:rFonts w:ascii="Arial" w:hAnsi="Arial" w:cs="Arial"/>
                <w:color w:val="auto"/>
              </w:rPr>
              <w:t>,</w:t>
            </w:r>
            <w:r w:rsidRPr="00F13F48">
              <w:rPr>
                <w:rFonts w:ascii="Arial" w:hAnsi="Arial" w:cs="Arial"/>
                <w:color w:val="auto"/>
              </w:rPr>
              <w:t>346</w:t>
            </w:r>
          </w:p>
        </w:tc>
      </w:tr>
    </w:tbl>
    <w:p w:rsidR="00691934" w:rsidRDefault="00691934" w:rsidP="00691934">
      <w:pPr>
        <w:rPr>
          <w:rFonts w:ascii="Arial" w:hAnsi="Arial" w:cs="Arial"/>
          <w:b/>
          <w:bCs/>
        </w:rPr>
      </w:pPr>
    </w:p>
    <w:p w:rsidR="00691934" w:rsidRPr="00F13F48" w:rsidRDefault="00691934" w:rsidP="00691934">
      <w:pPr>
        <w:rPr>
          <w:rFonts w:ascii="Arial" w:hAnsi="Arial" w:cs="Arial"/>
        </w:rPr>
      </w:pPr>
      <w:r w:rsidRPr="00F13F48">
        <w:rPr>
          <w:rFonts w:ascii="Arial" w:hAnsi="Arial" w:cs="Arial"/>
          <w:b/>
          <w:bCs/>
        </w:rPr>
        <w:t>Tabel nr</w:t>
      </w:r>
      <w:r>
        <w:rPr>
          <w:rFonts w:ascii="Arial" w:hAnsi="Arial" w:cs="Arial"/>
          <w:b/>
          <w:bCs/>
        </w:rPr>
        <w:t>.</w:t>
      </w:r>
      <w:r w:rsidRPr="001E675A">
        <w:rPr>
          <w:rFonts w:ascii="Arial" w:hAnsi="Arial" w:cs="Arial"/>
          <w:b/>
          <w:bCs/>
        </w:rPr>
        <w:t xml:space="preserve"> </w:t>
      </w:r>
      <w:r w:rsidRPr="0061566E">
        <w:rPr>
          <w:rFonts w:ascii="Arial" w:hAnsi="Arial" w:cs="Arial"/>
          <w:b/>
          <w:bCs/>
        </w:rPr>
        <w:t xml:space="preserve">II.2.1.2. – </w:t>
      </w:r>
      <w:r>
        <w:rPr>
          <w:rFonts w:ascii="Arial" w:hAnsi="Arial" w:cs="Arial"/>
          <w:b/>
          <w:bCs/>
        </w:rPr>
        <w:t>2</w:t>
      </w:r>
      <w:r w:rsidRPr="0061566E">
        <w:rPr>
          <w:rFonts w:ascii="Arial" w:hAnsi="Arial" w:cs="Arial"/>
          <w:bCs/>
          <w:u w:val="single"/>
        </w:rPr>
        <w:t xml:space="preserve"> </w:t>
      </w:r>
      <w:r w:rsidRPr="00F13F48">
        <w:rPr>
          <w:rFonts w:ascii="Arial" w:hAnsi="Arial" w:cs="Arial"/>
        </w:rPr>
        <w:t xml:space="preserve">- </w:t>
      </w:r>
      <w:r w:rsidRPr="001E675A">
        <w:rPr>
          <w:rFonts w:ascii="Arial" w:hAnsi="Arial" w:cs="Arial"/>
        </w:rPr>
        <w:t>Informaţii generale privind monitorizarea substanţelor periculoase din lacuri la nivelul județului Brăila în anul 2014</w:t>
      </w:r>
      <w:r w:rsidRPr="00F13F48">
        <w:rPr>
          <w:rFonts w:ascii="Arial" w:hAnsi="Arial" w:cs="Arial"/>
        </w:rPr>
        <w:t xml:space="preserve"> </w:t>
      </w:r>
    </w:p>
    <w:tbl>
      <w:tblPr>
        <w:tblW w:w="0" w:type="auto"/>
        <w:jc w:val="center"/>
        <w:tblInd w:w="-87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08"/>
        <w:gridCol w:w="1119"/>
        <w:gridCol w:w="994"/>
        <w:gridCol w:w="1531"/>
        <w:gridCol w:w="1701"/>
        <w:gridCol w:w="1657"/>
      </w:tblGrid>
      <w:tr w:rsidR="00691934" w:rsidRPr="00F13F48" w:rsidTr="00012F90">
        <w:trPr>
          <w:trHeight w:val="660"/>
          <w:jc w:val="center"/>
        </w:trPr>
        <w:tc>
          <w:tcPr>
            <w:tcW w:w="2408" w:type="dxa"/>
            <w:vMerge w:val="restart"/>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Categorie</w:t>
            </w:r>
          </w:p>
        </w:tc>
        <w:tc>
          <w:tcPr>
            <w:tcW w:w="1119" w:type="dxa"/>
            <w:vMerge w:val="restart"/>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Număr corpuri de apă</w:t>
            </w:r>
          </w:p>
        </w:tc>
        <w:tc>
          <w:tcPr>
            <w:tcW w:w="2525" w:type="dxa"/>
            <w:gridSpan w:val="2"/>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Numărul substanţelor periculoase monitorizate</w:t>
            </w:r>
          </w:p>
        </w:tc>
        <w:tc>
          <w:tcPr>
            <w:tcW w:w="1701" w:type="dxa"/>
            <w:vMerge w:val="restart"/>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Numărul substanţelor prioritare monitorizate</w:t>
            </w:r>
          </w:p>
        </w:tc>
        <w:tc>
          <w:tcPr>
            <w:tcW w:w="1657" w:type="dxa"/>
            <w:vMerge w:val="restart"/>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Numărul punctelor de monitorizare</w:t>
            </w:r>
          </w:p>
        </w:tc>
      </w:tr>
      <w:tr w:rsidR="00691934" w:rsidRPr="00F13F48" w:rsidTr="00012F90">
        <w:trPr>
          <w:trHeight w:val="414"/>
          <w:jc w:val="center"/>
        </w:trPr>
        <w:tc>
          <w:tcPr>
            <w:tcW w:w="2408" w:type="dxa"/>
            <w:vMerge/>
          </w:tcPr>
          <w:p w:rsidR="00691934" w:rsidRPr="00F13F48" w:rsidRDefault="00691934" w:rsidP="00012F90">
            <w:pPr>
              <w:pStyle w:val="Default"/>
              <w:jc w:val="center"/>
              <w:rPr>
                <w:rFonts w:ascii="Arial" w:hAnsi="Arial" w:cs="Arial"/>
                <w:color w:val="auto"/>
              </w:rPr>
            </w:pPr>
          </w:p>
        </w:tc>
        <w:tc>
          <w:tcPr>
            <w:tcW w:w="1119" w:type="dxa"/>
            <w:vMerge/>
          </w:tcPr>
          <w:p w:rsidR="00691934" w:rsidRPr="00F13F48" w:rsidRDefault="00691934" w:rsidP="00012F90">
            <w:pPr>
              <w:pStyle w:val="Default"/>
              <w:jc w:val="center"/>
              <w:rPr>
                <w:rFonts w:ascii="Arial" w:hAnsi="Arial" w:cs="Arial"/>
                <w:color w:val="auto"/>
              </w:rPr>
            </w:pPr>
          </w:p>
        </w:tc>
        <w:tc>
          <w:tcPr>
            <w:tcW w:w="994" w:type="dxa"/>
            <w:shd w:val="clear" w:color="auto" w:fill="FDE9D9" w:themeFill="accent6" w:themeFillTint="33"/>
          </w:tcPr>
          <w:p w:rsidR="00691934" w:rsidRPr="002640E1" w:rsidRDefault="00691934" w:rsidP="00012F90">
            <w:pPr>
              <w:pStyle w:val="Default"/>
              <w:jc w:val="center"/>
              <w:rPr>
                <w:rFonts w:ascii="Arial" w:hAnsi="Arial" w:cs="Arial"/>
                <w:b/>
                <w:color w:val="auto"/>
              </w:rPr>
            </w:pPr>
            <w:r w:rsidRPr="002640E1">
              <w:rPr>
                <w:rFonts w:ascii="Arial" w:hAnsi="Arial" w:cs="Arial"/>
                <w:b/>
                <w:color w:val="auto"/>
              </w:rPr>
              <w:t>Metale grele</w:t>
            </w:r>
          </w:p>
        </w:tc>
        <w:tc>
          <w:tcPr>
            <w:tcW w:w="1531" w:type="dxa"/>
            <w:shd w:val="clear" w:color="auto" w:fill="FDE9D9" w:themeFill="accent6" w:themeFillTint="33"/>
          </w:tcPr>
          <w:p w:rsidR="00691934" w:rsidRPr="002640E1" w:rsidRDefault="00691934" w:rsidP="00012F90">
            <w:pPr>
              <w:pStyle w:val="Default"/>
              <w:jc w:val="center"/>
              <w:rPr>
                <w:rFonts w:ascii="Arial" w:hAnsi="Arial" w:cs="Arial"/>
                <w:b/>
                <w:color w:val="auto"/>
              </w:rPr>
            </w:pPr>
            <w:r w:rsidRPr="002640E1">
              <w:rPr>
                <w:rFonts w:ascii="Arial" w:hAnsi="Arial" w:cs="Arial"/>
                <w:b/>
                <w:color w:val="auto"/>
              </w:rPr>
              <w:t>Substanţe organice</w:t>
            </w:r>
          </w:p>
        </w:tc>
        <w:tc>
          <w:tcPr>
            <w:tcW w:w="1701" w:type="dxa"/>
            <w:vMerge/>
          </w:tcPr>
          <w:p w:rsidR="00691934" w:rsidRPr="00F13F48" w:rsidRDefault="00691934" w:rsidP="00012F90">
            <w:pPr>
              <w:pStyle w:val="Default"/>
              <w:jc w:val="center"/>
              <w:rPr>
                <w:rFonts w:ascii="Arial" w:hAnsi="Arial" w:cs="Arial"/>
                <w:color w:val="auto"/>
              </w:rPr>
            </w:pPr>
          </w:p>
        </w:tc>
        <w:tc>
          <w:tcPr>
            <w:tcW w:w="1657" w:type="dxa"/>
            <w:vMerge/>
          </w:tcPr>
          <w:p w:rsidR="00691934" w:rsidRPr="00F13F48" w:rsidRDefault="00691934" w:rsidP="00012F90">
            <w:pPr>
              <w:pStyle w:val="Default"/>
              <w:jc w:val="center"/>
              <w:rPr>
                <w:rFonts w:ascii="Arial" w:hAnsi="Arial" w:cs="Arial"/>
                <w:color w:val="auto"/>
              </w:rPr>
            </w:pPr>
          </w:p>
        </w:tc>
      </w:tr>
      <w:tr w:rsidR="00691934" w:rsidRPr="00F13F48" w:rsidTr="00012F90">
        <w:trPr>
          <w:trHeight w:val="303"/>
          <w:jc w:val="center"/>
        </w:trPr>
        <w:tc>
          <w:tcPr>
            <w:tcW w:w="2408"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Lacuri naturale</w:t>
            </w:r>
          </w:p>
        </w:tc>
        <w:tc>
          <w:tcPr>
            <w:tcW w:w="111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w:t>
            </w:r>
          </w:p>
        </w:tc>
        <w:tc>
          <w:tcPr>
            <w:tcW w:w="99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153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170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165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r>
      <w:tr w:rsidR="00691934" w:rsidRPr="00F13F48" w:rsidTr="00012F90">
        <w:trPr>
          <w:trHeight w:val="389"/>
          <w:jc w:val="center"/>
        </w:trPr>
        <w:tc>
          <w:tcPr>
            <w:tcW w:w="2408"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Lacuri de acumulare și artificiale </w:t>
            </w:r>
          </w:p>
        </w:tc>
        <w:tc>
          <w:tcPr>
            <w:tcW w:w="111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994" w:type="dxa"/>
            <w:shd w:val="clear" w:color="auto" w:fill="FDE9D9" w:themeFill="accent6" w:themeFillTint="33"/>
            <w:vAlign w:val="center"/>
          </w:tcPr>
          <w:p w:rsidR="00691934" w:rsidRPr="00F13F48" w:rsidRDefault="00691934" w:rsidP="00012F90">
            <w:pPr>
              <w:jc w:val="center"/>
              <w:rPr>
                <w:rFonts w:ascii="Arial" w:hAnsi="Arial" w:cs="Arial"/>
              </w:rPr>
            </w:pPr>
            <w:r w:rsidRPr="00F13F48">
              <w:rPr>
                <w:rFonts w:ascii="Arial" w:hAnsi="Arial" w:cs="Arial"/>
              </w:rPr>
              <w:t>-</w:t>
            </w:r>
          </w:p>
        </w:tc>
        <w:tc>
          <w:tcPr>
            <w:tcW w:w="1531" w:type="dxa"/>
            <w:shd w:val="clear" w:color="auto" w:fill="FDE9D9" w:themeFill="accent6" w:themeFillTint="33"/>
            <w:vAlign w:val="center"/>
          </w:tcPr>
          <w:p w:rsidR="00691934" w:rsidRPr="00F13F48" w:rsidRDefault="00691934" w:rsidP="00012F90">
            <w:pPr>
              <w:jc w:val="center"/>
              <w:rPr>
                <w:rFonts w:ascii="Arial" w:hAnsi="Arial" w:cs="Arial"/>
              </w:rPr>
            </w:pPr>
            <w:r w:rsidRPr="00F13F48">
              <w:rPr>
                <w:rFonts w:ascii="Arial" w:hAnsi="Arial" w:cs="Arial"/>
              </w:rPr>
              <w:t>-</w:t>
            </w:r>
          </w:p>
        </w:tc>
        <w:tc>
          <w:tcPr>
            <w:tcW w:w="1701" w:type="dxa"/>
            <w:shd w:val="clear" w:color="auto" w:fill="FDE9D9" w:themeFill="accent6" w:themeFillTint="33"/>
            <w:vAlign w:val="center"/>
          </w:tcPr>
          <w:p w:rsidR="00691934" w:rsidRPr="00F13F48" w:rsidRDefault="00691934" w:rsidP="00012F90">
            <w:pPr>
              <w:jc w:val="center"/>
              <w:rPr>
                <w:rFonts w:ascii="Arial" w:hAnsi="Arial" w:cs="Arial"/>
              </w:rPr>
            </w:pPr>
            <w:r w:rsidRPr="00F13F48">
              <w:rPr>
                <w:rFonts w:ascii="Arial" w:hAnsi="Arial" w:cs="Arial"/>
              </w:rPr>
              <w:t>-</w:t>
            </w:r>
          </w:p>
        </w:tc>
        <w:tc>
          <w:tcPr>
            <w:tcW w:w="1657" w:type="dxa"/>
            <w:shd w:val="clear" w:color="auto" w:fill="FDE9D9" w:themeFill="accent6" w:themeFillTint="33"/>
            <w:vAlign w:val="center"/>
          </w:tcPr>
          <w:p w:rsidR="00691934" w:rsidRPr="00F13F48" w:rsidRDefault="00691934" w:rsidP="00012F90">
            <w:pPr>
              <w:jc w:val="center"/>
              <w:rPr>
                <w:rFonts w:ascii="Arial" w:hAnsi="Arial" w:cs="Arial"/>
              </w:rPr>
            </w:pPr>
            <w:r w:rsidRPr="00F13F48">
              <w:rPr>
                <w:rFonts w:ascii="Arial" w:hAnsi="Arial" w:cs="Arial"/>
              </w:rPr>
              <w:t>-</w:t>
            </w:r>
          </w:p>
        </w:tc>
      </w:tr>
      <w:tr w:rsidR="00691934" w:rsidRPr="00F13F48" w:rsidTr="00012F90">
        <w:trPr>
          <w:trHeight w:val="315"/>
          <w:jc w:val="center"/>
        </w:trPr>
        <w:tc>
          <w:tcPr>
            <w:tcW w:w="2408" w:type="dxa"/>
            <w:shd w:val="clear" w:color="auto" w:fill="FDE9D9" w:themeFill="accent6" w:themeFillTint="33"/>
            <w:vAlign w:val="center"/>
          </w:tcPr>
          <w:p w:rsidR="00691934" w:rsidRPr="001E675A" w:rsidRDefault="00691934" w:rsidP="00012F90">
            <w:pPr>
              <w:pStyle w:val="Default"/>
              <w:rPr>
                <w:rFonts w:ascii="Arial" w:hAnsi="Arial" w:cs="Arial"/>
                <w:color w:val="auto"/>
              </w:rPr>
            </w:pPr>
            <w:r w:rsidRPr="001E675A">
              <w:rPr>
                <w:rFonts w:ascii="Arial" w:hAnsi="Arial" w:cs="Arial"/>
                <w:bCs/>
                <w:color w:val="auto"/>
              </w:rPr>
              <w:t>Total jud. Brăila</w:t>
            </w:r>
          </w:p>
        </w:tc>
        <w:tc>
          <w:tcPr>
            <w:tcW w:w="1119"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w:t>
            </w:r>
          </w:p>
        </w:tc>
        <w:tc>
          <w:tcPr>
            <w:tcW w:w="99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153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170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c>
          <w:tcPr>
            <w:tcW w:w="165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w:t>
            </w:r>
          </w:p>
        </w:tc>
      </w:tr>
    </w:tbl>
    <w:p w:rsidR="00691934" w:rsidRPr="00F13F48" w:rsidRDefault="00691934" w:rsidP="00691934">
      <w:pPr>
        <w:pStyle w:val="Default"/>
        <w:rPr>
          <w:rFonts w:ascii="Arial" w:hAnsi="Arial" w:cs="Arial"/>
          <w:color w:val="auto"/>
        </w:rPr>
      </w:pPr>
    </w:p>
    <w:p w:rsidR="00691934" w:rsidRDefault="00691934" w:rsidP="00691934">
      <w:pPr>
        <w:pStyle w:val="Default"/>
        <w:rPr>
          <w:rFonts w:ascii="Arial" w:hAnsi="Arial" w:cs="Arial"/>
          <w:b/>
          <w:bCs/>
          <w:color w:val="auto"/>
        </w:rPr>
      </w:pPr>
    </w:p>
    <w:p w:rsidR="00352BD2" w:rsidRDefault="00352BD2" w:rsidP="00691934">
      <w:pPr>
        <w:pStyle w:val="Default"/>
        <w:rPr>
          <w:rFonts w:ascii="Arial" w:hAnsi="Arial" w:cs="Arial"/>
          <w:b/>
          <w:bCs/>
          <w:color w:val="auto"/>
        </w:rPr>
      </w:pPr>
    </w:p>
    <w:p w:rsidR="00691934" w:rsidRPr="00F13F48" w:rsidRDefault="00691934" w:rsidP="00691934">
      <w:pPr>
        <w:pStyle w:val="Default"/>
        <w:rPr>
          <w:rFonts w:ascii="Arial" w:hAnsi="Arial" w:cs="Arial"/>
          <w:b/>
          <w:bCs/>
          <w:color w:val="auto"/>
        </w:rPr>
      </w:pPr>
      <w:r w:rsidRPr="00F13F48">
        <w:rPr>
          <w:rFonts w:ascii="Arial" w:hAnsi="Arial" w:cs="Arial"/>
          <w:b/>
          <w:bCs/>
          <w:color w:val="auto"/>
        </w:rPr>
        <w:lastRenderedPageBreak/>
        <w:t xml:space="preserve"> II.2.1.3. Calitatea apelor subterane </w:t>
      </w:r>
    </w:p>
    <w:p w:rsidR="00691934" w:rsidRDefault="00691934" w:rsidP="00691934">
      <w:pPr>
        <w:rPr>
          <w:rFonts w:ascii="Arial" w:hAnsi="Arial" w:cs="Arial"/>
          <w:b/>
          <w:bCs/>
        </w:rPr>
      </w:pPr>
    </w:p>
    <w:p w:rsidR="00691934" w:rsidRPr="00F13F48" w:rsidRDefault="00691934" w:rsidP="00691934">
      <w:pPr>
        <w:rPr>
          <w:rFonts w:ascii="Arial" w:hAnsi="Arial" w:cs="Arial"/>
        </w:rPr>
      </w:pPr>
      <w:r w:rsidRPr="00F13F48">
        <w:rPr>
          <w:rFonts w:ascii="Arial" w:hAnsi="Arial" w:cs="Arial"/>
          <w:b/>
          <w:bCs/>
        </w:rPr>
        <w:t xml:space="preserve">Tabel nr. II.2.1.3. </w:t>
      </w:r>
      <w:r>
        <w:rPr>
          <w:rFonts w:ascii="Arial" w:hAnsi="Arial" w:cs="Arial"/>
          <w:b/>
          <w:bCs/>
        </w:rPr>
        <w:t xml:space="preserve">– 1 </w:t>
      </w:r>
      <w:r w:rsidRPr="00F13F48">
        <w:rPr>
          <w:rFonts w:ascii="Arial" w:hAnsi="Arial" w:cs="Arial"/>
        </w:rPr>
        <w:t>-  Concentraţiile medii anuale ale azotaților (NO</w:t>
      </w:r>
      <w:r w:rsidRPr="001302A9">
        <w:rPr>
          <w:rFonts w:ascii="Arial" w:hAnsi="Arial" w:cs="Arial"/>
          <w:vertAlign w:val="superscript"/>
        </w:rPr>
        <w:t>3-</w:t>
      </w:r>
      <w:r w:rsidRPr="00F13F48">
        <w:rPr>
          <w:rFonts w:ascii="Arial" w:hAnsi="Arial" w:cs="Arial"/>
        </w:rPr>
        <w:t xml:space="preserve">) determinate în apele subterane din județul Brăila, în anul 2014 </w:t>
      </w:r>
    </w:p>
    <w:tbl>
      <w:tblPr>
        <w:tblW w:w="8580" w:type="dxa"/>
        <w:jc w:val="center"/>
        <w:tblInd w:w="-18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4388"/>
        <w:gridCol w:w="1731"/>
        <w:gridCol w:w="2461"/>
      </w:tblGrid>
      <w:tr w:rsidR="00691934" w:rsidRPr="00F13F48" w:rsidTr="00012F90">
        <w:trPr>
          <w:trHeight w:val="572"/>
          <w:jc w:val="center"/>
        </w:trPr>
        <w:tc>
          <w:tcPr>
            <w:tcW w:w="4388"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Administrația Bazinală de Apă (ABA)</w:t>
            </w:r>
          </w:p>
        </w:tc>
        <w:tc>
          <w:tcPr>
            <w:tcW w:w="173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Număr puncte de monitorizare</w:t>
            </w:r>
          </w:p>
        </w:tc>
        <w:tc>
          <w:tcPr>
            <w:tcW w:w="246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Concentraţii medii anuale NO</w:t>
            </w:r>
            <w:r w:rsidRPr="001302A9">
              <w:rPr>
                <w:rFonts w:ascii="Arial" w:hAnsi="Arial" w:cs="Arial"/>
                <w:b/>
                <w:bCs/>
                <w:color w:val="auto"/>
                <w:vertAlign w:val="superscript"/>
              </w:rPr>
              <w:t>3-</w:t>
            </w:r>
          </w:p>
          <w:p w:rsidR="00691934" w:rsidRPr="00F13F48" w:rsidRDefault="00691934" w:rsidP="00012F90">
            <w:pPr>
              <w:pStyle w:val="Default"/>
              <w:jc w:val="center"/>
              <w:rPr>
                <w:rFonts w:ascii="Arial" w:hAnsi="Arial" w:cs="Arial"/>
                <w:color w:val="auto"/>
              </w:rPr>
            </w:pPr>
            <w:r w:rsidRPr="00F13F48">
              <w:rPr>
                <w:rFonts w:ascii="Arial" w:hAnsi="Arial" w:cs="Arial"/>
                <w:b/>
                <w:bCs/>
                <w:color w:val="auto"/>
              </w:rPr>
              <w:t>(mg NO</w:t>
            </w:r>
            <w:r w:rsidRPr="001302A9">
              <w:rPr>
                <w:rFonts w:ascii="Arial" w:hAnsi="Arial" w:cs="Arial"/>
                <w:b/>
                <w:bCs/>
                <w:color w:val="auto"/>
                <w:vertAlign w:val="superscript"/>
              </w:rPr>
              <w:t>3-</w:t>
            </w:r>
            <w:r w:rsidRPr="00F13F48">
              <w:rPr>
                <w:rFonts w:ascii="Arial" w:hAnsi="Arial" w:cs="Arial"/>
                <w:b/>
                <w:bCs/>
                <w:color w:val="auto"/>
              </w:rPr>
              <w:t>/L)</w:t>
            </w:r>
          </w:p>
        </w:tc>
      </w:tr>
      <w:tr w:rsidR="00691934" w:rsidRPr="00F13F48" w:rsidTr="00012F90">
        <w:trPr>
          <w:trHeight w:val="248"/>
          <w:jc w:val="center"/>
        </w:trPr>
        <w:tc>
          <w:tcPr>
            <w:tcW w:w="4388" w:type="dxa"/>
            <w:shd w:val="clear" w:color="auto" w:fill="FDE9D9" w:themeFill="accent6" w:themeFillTint="33"/>
            <w:vAlign w:val="center"/>
          </w:tcPr>
          <w:p w:rsidR="00691934" w:rsidRPr="00F13F48" w:rsidRDefault="00691934" w:rsidP="00012F90">
            <w:pPr>
              <w:pStyle w:val="Default"/>
              <w:rPr>
                <w:rFonts w:ascii="Arial" w:hAnsi="Arial" w:cs="Arial"/>
                <w:color w:val="auto"/>
              </w:rPr>
            </w:pPr>
          </w:p>
        </w:tc>
        <w:tc>
          <w:tcPr>
            <w:tcW w:w="173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39</w:t>
            </w:r>
          </w:p>
        </w:tc>
        <w:tc>
          <w:tcPr>
            <w:tcW w:w="246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5.73</w:t>
            </w:r>
          </w:p>
        </w:tc>
      </w:tr>
      <w:tr w:rsidR="00691934" w:rsidRPr="00F13F48" w:rsidTr="00012F90">
        <w:trPr>
          <w:trHeight w:val="257"/>
          <w:jc w:val="center"/>
        </w:trPr>
        <w:tc>
          <w:tcPr>
            <w:tcW w:w="4388"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b/>
                <w:bCs/>
                <w:color w:val="auto"/>
              </w:rPr>
              <w:t xml:space="preserve">TOTAL JUDEȚ BRĂILA </w:t>
            </w:r>
          </w:p>
        </w:tc>
        <w:tc>
          <w:tcPr>
            <w:tcW w:w="173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39</w:t>
            </w:r>
          </w:p>
        </w:tc>
        <w:tc>
          <w:tcPr>
            <w:tcW w:w="246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5.73</w:t>
            </w:r>
          </w:p>
        </w:tc>
      </w:tr>
    </w:tbl>
    <w:p w:rsidR="00691934" w:rsidRPr="00F13F48" w:rsidRDefault="00691934" w:rsidP="00691934">
      <w:pPr>
        <w:rPr>
          <w:rFonts w:ascii="Arial" w:hAnsi="Arial" w:cs="Arial"/>
          <w:b/>
          <w:bCs/>
        </w:rPr>
      </w:pPr>
    </w:p>
    <w:p w:rsidR="00691934" w:rsidRPr="007E7F39" w:rsidRDefault="00691934" w:rsidP="00691934">
      <w:pPr>
        <w:jc w:val="both"/>
        <w:rPr>
          <w:rFonts w:ascii="Arial" w:hAnsi="Arial" w:cs="Arial"/>
          <w:b/>
          <w:color w:val="FF0000"/>
        </w:rPr>
      </w:pPr>
      <w:r w:rsidRPr="00F13F48">
        <w:rPr>
          <w:rFonts w:ascii="Arial" w:hAnsi="Arial" w:cs="Arial"/>
        </w:rPr>
        <w:t>- Evoluția indicatorului azotaţi în apele subterane, la nivelul județului Brăila, în perioada anilor 2010-</w:t>
      </w:r>
      <w:r>
        <w:rPr>
          <w:rFonts w:ascii="Arial" w:hAnsi="Arial" w:cs="Arial"/>
        </w:rPr>
        <w:t xml:space="preserve"> </w:t>
      </w:r>
      <w:r w:rsidRPr="00F13F48">
        <w:rPr>
          <w:rFonts w:ascii="Arial" w:hAnsi="Arial" w:cs="Arial"/>
        </w:rPr>
        <w:t xml:space="preserve">2014 </w:t>
      </w:r>
      <w:r>
        <w:rPr>
          <w:rFonts w:ascii="Arial" w:hAnsi="Arial" w:cs="Arial"/>
        </w:rPr>
        <w:t xml:space="preserve">-au prezentat valori sub </w:t>
      </w:r>
      <w:r w:rsidRPr="007E7F39">
        <w:rPr>
          <w:rFonts w:ascii="Arial" w:hAnsi="Arial" w:cs="Arial"/>
          <w:iCs/>
        </w:rPr>
        <w:t>Valoarea de prag pentru azotaţii (NO</w:t>
      </w:r>
      <w:r w:rsidRPr="005C4550">
        <w:rPr>
          <w:rFonts w:ascii="Arial" w:hAnsi="Arial" w:cs="Arial"/>
          <w:iCs/>
          <w:vertAlign w:val="superscript"/>
        </w:rPr>
        <w:t>3-</w:t>
      </w:r>
      <w:r w:rsidRPr="007E7F39">
        <w:rPr>
          <w:rFonts w:ascii="Arial" w:hAnsi="Arial" w:cs="Arial"/>
          <w:iCs/>
        </w:rPr>
        <w:t xml:space="preserve">) din apele subterane </w:t>
      </w:r>
      <w:r>
        <w:rPr>
          <w:rFonts w:ascii="Arial" w:hAnsi="Arial" w:cs="Arial"/>
          <w:iCs/>
        </w:rPr>
        <w:t xml:space="preserve">care </w:t>
      </w:r>
      <w:r w:rsidRPr="007E7F39">
        <w:rPr>
          <w:rFonts w:ascii="Arial" w:hAnsi="Arial" w:cs="Arial"/>
          <w:iCs/>
        </w:rPr>
        <w:t>este de 50 mg/L, conform H.G. nr. 53/2009 pentru aprobarea Planului Naţional de Protecţie a Apelor Subterane împotriva poluării şi deteriorării.</w:t>
      </w:r>
    </w:p>
    <w:p w:rsidR="00352BD2" w:rsidRDefault="00352BD2" w:rsidP="00691934">
      <w:pPr>
        <w:ind w:firstLine="720"/>
        <w:rPr>
          <w:rFonts w:ascii="Arial" w:hAnsi="Arial" w:cs="Arial"/>
          <w:b/>
          <w:bCs/>
        </w:rPr>
      </w:pPr>
    </w:p>
    <w:p w:rsidR="00691934" w:rsidRDefault="00691934" w:rsidP="00691934">
      <w:pPr>
        <w:ind w:firstLine="720"/>
        <w:rPr>
          <w:rFonts w:ascii="Arial" w:hAnsi="Arial" w:cs="Arial"/>
          <w:b/>
          <w:color w:val="FF0000"/>
        </w:rPr>
      </w:pPr>
      <w:r w:rsidRPr="00F13F48">
        <w:rPr>
          <w:rFonts w:ascii="Arial" w:hAnsi="Arial" w:cs="Arial"/>
          <w:b/>
          <w:bCs/>
        </w:rPr>
        <w:t>II.2.1.4. Calitatea apelor de îmbăiere</w:t>
      </w:r>
      <w:r>
        <w:rPr>
          <w:rFonts w:ascii="Arial" w:hAnsi="Arial" w:cs="Arial"/>
          <w:b/>
          <w:bCs/>
        </w:rPr>
        <w:t xml:space="preserve"> </w:t>
      </w:r>
    </w:p>
    <w:p w:rsidR="00691934" w:rsidRPr="00B21232" w:rsidRDefault="00691934" w:rsidP="00691934">
      <w:pPr>
        <w:jc w:val="both"/>
        <w:rPr>
          <w:rFonts w:ascii="Arial" w:hAnsi="Arial" w:cs="Arial"/>
        </w:rPr>
      </w:pPr>
      <w:r w:rsidRPr="00B21232">
        <w:rPr>
          <w:rFonts w:ascii="Arial" w:hAnsi="Arial" w:cs="Arial"/>
          <w:bCs/>
        </w:rPr>
        <w:t>În mod tradiţional se folosesc malurile Dunării în scop recreativ,  dar în judeţul Brăila nu există zone naturale de îmbăiere amenajate şi autorizate sanitar. În municipiu sunt câteva piscine autorizare sanitar, acestea fiind racordate la reţeaua de apă potabilă a municipiului Brăila. Calitatea apei din staţiunea Lacu - Sărat este monitorizată de către Institutul Naţional de Resurse Minerale şi de către Institutul Naţional de Balneologie.</w:t>
      </w:r>
    </w:p>
    <w:p w:rsidR="00691934" w:rsidRDefault="00691934" w:rsidP="00691934">
      <w:pPr>
        <w:pStyle w:val="Default"/>
        <w:rPr>
          <w:rFonts w:ascii="Arial" w:hAnsi="Arial" w:cs="Arial"/>
          <w:b/>
          <w:bCs/>
          <w:iCs/>
          <w:color w:val="auto"/>
        </w:rPr>
      </w:pPr>
    </w:p>
    <w:p w:rsidR="00691934" w:rsidRPr="00F13F48" w:rsidRDefault="00691934" w:rsidP="00691934">
      <w:pPr>
        <w:pStyle w:val="Default"/>
        <w:rPr>
          <w:rFonts w:ascii="Arial" w:hAnsi="Arial" w:cs="Arial"/>
          <w:b/>
          <w:bCs/>
          <w:i/>
          <w:iCs/>
          <w:color w:val="auto"/>
          <w:u w:val="single"/>
        </w:rPr>
      </w:pPr>
      <w:r w:rsidRPr="00911354">
        <w:rPr>
          <w:rFonts w:ascii="Arial" w:hAnsi="Arial" w:cs="Arial"/>
          <w:b/>
          <w:bCs/>
          <w:iCs/>
          <w:color w:val="auto"/>
        </w:rPr>
        <w:t>II.2.2. Factorii determinanţi şi presiunile care afectează starea de calitate</w:t>
      </w:r>
      <w:r w:rsidRPr="00911354">
        <w:rPr>
          <w:rFonts w:ascii="Arial" w:hAnsi="Arial" w:cs="Arial"/>
          <w:b/>
          <w:bCs/>
          <w:i/>
          <w:iCs/>
          <w:color w:val="auto"/>
        </w:rPr>
        <w:t xml:space="preserve"> a apelor</w:t>
      </w:r>
      <w:r w:rsidRPr="00F13F48">
        <w:rPr>
          <w:rFonts w:ascii="Arial" w:hAnsi="Arial" w:cs="Arial"/>
          <w:b/>
          <w:bCs/>
          <w:i/>
          <w:iCs/>
          <w:color w:val="auto"/>
          <w:u w:val="single"/>
        </w:rPr>
        <w:t xml:space="preserve"> </w:t>
      </w:r>
    </w:p>
    <w:p w:rsidR="00691934" w:rsidRPr="00F13F48" w:rsidRDefault="00691934" w:rsidP="00691934">
      <w:pPr>
        <w:rPr>
          <w:rFonts w:ascii="Arial" w:hAnsi="Arial" w:cs="Arial"/>
        </w:rPr>
      </w:pPr>
    </w:p>
    <w:p w:rsidR="00691934" w:rsidRPr="00F13F48" w:rsidRDefault="00691934" w:rsidP="00691934">
      <w:pPr>
        <w:pStyle w:val="Default"/>
        <w:ind w:firstLine="708"/>
        <w:rPr>
          <w:rFonts w:ascii="Arial" w:hAnsi="Arial" w:cs="Arial"/>
          <w:b/>
          <w:bCs/>
          <w:color w:val="auto"/>
        </w:rPr>
      </w:pPr>
      <w:r w:rsidRPr="00F13F48">
        <w:rPr>
          <w:rFonts w:ascii="Arial" w:hAnsi="Arial" w:cs="Arial"/>
          <w:b/>
          <w:bCs/>
          <w:color w:val="auto"/>
        </w:rPr>
        <w:t>II.2.2.1. Presiuni semnificative asupra resurselor de apă din județul Brăila</w:t>
      </w:r>
    </w:p>
    <w:p w:rsidR="00691934" w:rsidRPr="00F13F48" w:rsidRDefault="00691934" w:rsidP="00691934">
      <w:pPr>
        <w:rPr>
          <w:rFonts w:ascii="Arial" w:hAnsi="Arial" w:cs="Arial"/>
        </w:rPr>
      </w:pPr>
    </w:p>
    <w:p w:rsidR="00691934" w:rsidRDefault="00691934" w:rsidP="00691934">
      <w:pPr>
        <w:pStyle w:val="Default"/>
        <w:rPr>
          <w:rFonts w:ascii="Arial" w:hAnsi="Arial" w:cs="Arial"/>
          <w:color w:val="auto"/>
        </w:rPr>
      </w:pPr>
      <w:r w:rsidRPr="00F13F48">
        <w:rPr>
          <w:rFonts w:ascii="Arial" w:hAnsi="Arial" w:cs="Arial"/>
          <w:b/>
          <w:bCs/>
          <w:color w:val="auto"/>
        </w:rPr>
        <w:t xml:space="preserve">Tabel nr. II.2.2.1. </w:t>
      </w:r>
      <w:r>
        <w:rPr>
          <w:rFonts w:ascii="Arial" w:hAnsi="Arial" w:cs="Arial"/>
          <w:b/>
          <w:bCs/>
          <w:color w:val="auto"/>
        </w:rPr>
        <w:t>- 1</w:t>
      </w:r>
      <w:r w:rsidRPr="00F13F48">
        <w:rPr>
          <w:rFonts w:ascii="Arial" w:hAnsi="Arial" w:cs="Arial"/>
          <w:color w:val="auto"/>
        </w:rPr>
        <w:t xml:space="preserve">- Emisiile de azot și fosfor din diferite surse difuze de poluare la nivelul județului Brăila pentru anul 2014 </w:t>
      </w:r>
    </w:p>
    <w:p w:rsidR="00691934" w:rsidRPr="00F13F48" w:rsidRDefault="00691934" w:rsidP="00691934">
      <w:pPr>
        <w:pStyle w:val="Default"/>
        <w:rPr>
          <w:rFonts w:ascii="Arial" w:hAnsi="Arial" w:cs="Arial"/>
          <w:color w:val="auto"/>
        </w:rPr>
      </w:pPr>
    </w:p>
    <w:tbl>
      <w:tblPr>
        <w:tblW w:w="0" w:type="auto"/>
        <w:jc w:val="center"/>
        <w:tblInd w:w="-100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476"/>
        <w:gridCol w:w="1084"/>
        <w:gridCol w:w="1030"/>
        <w:gridCol w:w="1351"/>
        <w:gridCol w:w="897"/>
      </w:tblGrid>
      <w:tr w:rsidR="00691934" w:rsidRPr="00F13F48" w:rsidTr="00012F90">
        <w:trPr>
          <w:trHeight w:val="132"/>
          <w:jc w:val="center"/>
        </w:trPr>
        <w:tc>
          <w:tcPr>
            <w:tcW w:w="3476" w:type="dxa"/>
            <w:vMerge w:val="restart"/>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Surse difuze de poluare</w:t>
            </w:r>
          </w:p>
        </w:tc>
        <w:tc>
          <w:tcPr>
            <w:tcW w:w="2114" w:type="dxa"/>
            <w:gridSpan w:val="2"/>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Emisii de azot</w:t>
            </w:r>
          </w:p>
        </w:tc>
        <w:tc>
          <w:tcPr>
            <w:tcW w:w="2248" w:type="dxa"/>
            <w:gridSpan w:val="2"/>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Emisii de fosfor</w:t>
            </w:r>
          </w:p>
        </w:tc>
      </w:tr>
      <w:tr w:rsidR="00691934" w:rsidRPr="00F13F48" w:rsidTr="00012F90">
        <w:trPr>
          <w:trHeight w:val="248"/>
          <w:jc w:val="center"/>
        </w:trPr>
        <w:tc>
          <w:tcPr>
            <w:tcW w:w="3476" w:type="dxa"/>
            <w:vMerge/>
            <w:shd w:val="clear" w:color="auto" w:fill="FBD4B4" w:themeFill="accent6" w:themeFillTint="66"/>
            <w:vAlign w:val="center"/>
          </w:tcPr>
          <w:p w:rsidR="00691934" w:rsidRPr="00F13F48" w:rsidRDefault="00691934" w:rsidP="00012F90">
            <w:pPr>
              <w:pStyle w:val="Default"/>
              <w:jc w:val="center"/>
              <w:rPr>
                <w:rFonts w:ascii="Arial" w:hAnsi="Arial" w:cs="Arial"/>
                <w:color w:val="auto"/>
              </w:rPr>
            </w:pPr>
          </w:p>
        </w:tc>
        <w:tc>
          <w:tcPr>
            <w:tcW w:w="1084"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tone</w:t>
            </w:r>
          </w:p>
        </w:tc>
        <w:tc>
          <w:tcPr>
            <w:tcW w:w="1030"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c>
          <w:tcPr>
            <w:tcW w:w="1351"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tone</w:t>
            </w:r>
          </w:p>
        </w:tc>
        <w:tc>
          <w:tcPr>
            <w:tcW w:w="897" w:type="dxa"/>
            <w:shd w:val="clear" w:color="auto" w:fill="FBD4B4" w:themeFill="accent6" w:themeFillTint="66"/>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w:t>
            </w:r>
          </w:p>
        </w:tc>
      </w:tr>
      <w:tr w:rsidR="00691934" w:rsidRPr="00F13F48" w:rsidTr="00012F90">
        <w:trPr>
          <w:trHeight w:val="248"/>
          <w:jc w:val="center"/>
        </w:trPr>
        <w:tc>
          <w:tcPr>
            <w:tcW w:w="347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Agricultură </w:t>
            </w:r>
          </w:p>
        </w:tc>
        <w:tc>
          <w:tcPr>
            <w:tcW w:w="108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88.910</w:t>
            </w:r>
          </w:p>
        </w:tc>
        <w:tc>
          <w:tcPr>
            <w:tcW w:w="103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30,44%</w:t>
            </w:r>
          </w:p>
        </w:tc>
        <w:tc>
          <w:tcPr>
            <w:tcW w:w="135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9.155</w:t>
            </w:r>
          </w:p>
        </w:tc>
        <w:tc>
          <w:tcPr>
            <w:tcW w:w="89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26,4%</w:t>
            </w:r>
          </w:p>
        </w:tc>
      </w:tr>
      <w:tr w:rsidR="00691934" w:rsidRPr="00F13F48" w:rsidTr="00012F90">
        <w:trPr>
          <w:trHeight w:val="245"/>
          <w:jc w:val="center"/>
        </w:trPr>
        <w:tc>
          <w:tcPr>
            <w:tcW w:w="347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Aglomerări umane </w:t>
            </w:r>
          </w:p>
        </w:tc>
        <w:tc>
          <w:tcPr>
            <w:tcW w:w="108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200.293</w:t>
            </w:r>
          </w:p>
        </w:tc>
        <w:tc>
          <w:tcPr>
            <w:tcW w:w="103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68,6%</w:t>
            </w:r>
          </w:p>
        </w:tc>
        <w:tc>
          <w:tcPr>
            <w:tcW w:w="135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25.521</w:t>
            </w:r>
          </w:p>
        </w:tc>
        <w:tc>
          <w:tcPr>
            <w:tcW w:w="89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73,6%</w:t>
            </w:r>
          </w:p>
        </w:tc>
      </w:tr>
      <w:tr w:rsidR="00691934" w:rsidRPr="00F13F48" w:rsidTr="00012F90">
        <w:trPr>
          <w:trHeight w:val="248"/>
          <w:jc w:val="center"/>
        </w:trPr>
        <w:tc>
          <w:tcPr>
            <w:tcW w:w="347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Alte surse </w:t>
            </w:r>
          </w:p>
        </w:tc>
        <w:tc>
          <w:tcPr>
            <w:tcW w:w="108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2.809</w:t>
            </w:r>
          </w:p>
        </w:tc>
        <w:tc>
          <w:tcPr>
            <w:tcW w:w="103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0,96%</w:t>
            </w:r>
          </w:p>
        </w:tc>
        <w:tc>
          <w:tcPr>
            <w:tcW w:w="135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sidRPr="00F13F48">
              <w:rPr>
                <w:rFonts w:ascii="Arial" w:hAnsi="Arial" w:cs="Arial"/>
                <w:color w:val="auto"/>
              </w:rPr>
              <w:t>0.377</w:t>
            </w:r>
          </w:p>
        </w:tc>
        <w:tc>
          <w:tcPr>
            <w:tcW w:w="89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0,001</w:t>
            </w:r>
          </w:p>
        </w:tc>
      </w:tr>
      <w:tr w:rsidR="00691934" w:rsidRPr="00F13F48" w:rsidTr="00012F90">
        <w:trPr>
          <w:trHeight w:val="248"/>
          <w:jc w:val="center"/>
        </w:trPr>
        <w:tc>
          <w:tcPr>
            <w:tcW w:w="347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Fond natural </w:t>
            </w:r>
          </w:p>
        </w:tc>
        <w:tc>
          <w:tcPr>
            <w:tcW w:w="1084" w:type="dxa"/>
            <w:shd w:val="clear" w:color="auto" w:fill="FDE9D9" w:themeFill="accent6" w:themeFillTint="33"/>
            <w:vAlign w:val="center"/>
          </w:tcPr>
          <w:p w:rsidR="00691934" w:rsidRPr="00A34A69" w:rsidRDefault="00691934" w:rsidP="00012F90">
            <w:pPr>
              <w:pStyle w:val="Default"/>
              <w:jc w:val="center"/>
              <w:rPr>
                <w:rFonts w:ascii="Arial" w:hAnsi="Arial" w:cs="Arial"/>
                <w:b/>
                <w:color w:val="auto"/>
              </w:rPr>
            </w:pPr>
            <w:r w:rsidRPr="00A34A69">
              <w:rPr>
                <w:rFonts w:ascii="Arial" w:hAnsi="Arial" w:cs="Arial"/>
                <w:b/>
                <w:color w:val="auto"/>
              </w:rPr>
              <w:t>-</w:t>
            </w:r>
          </w:p>
        </w:tc>
        <w:tc>
          <w:tcPr>
            <w:tcW w:w="1030" w:type="dxa"/>
            <w:shd w:val="clear" w:color="auto" w:fill="FDE9D9" w:themeFill="accent6" w:themeFillTint="33"/>
            <w:vAlign w:val="center"/>
          </w:tcPr>
          <w:p w:rsidR="00691934" w:rsidRPr="00A34A69" w:rsidRDefault="00691934" w:rsidP="00012F90">
            <w:pPr>
              <w:pStyle w:val="Default"/>
              <w:jc w:val="center"/>
              <w:rPr>
                <w:rFonts w:ascii="Arial" w:hAnsi="Arial" w:cs="Arial"/>
                <w:b/>
                <w:color w:val="auto"/>
              </w:rPr>
            </w:pPr>
            <w:r w:rsidRPr="00A34A69">
              <w:rPr>
                <w:rFonts w:ascii="Arial" w:hAnsi="Arial" w:cs="Arial"/>
                <w:b/>
                <w:color w:val="auto"/>
              </w:rPr>
              <w:t>-</w:t>
            </w:r>
          </w:p>
        </w:tc>
        <w:tc>
          <w:tcPr>
            <w:tcW w:w="1351" w:type="dxa"/>
            <w:shd w:val="clear" w:color="auto" w:fill="FDE9D9" w:themeFill="accent6" w:themeFillTint="33"/>
            <w:vAlign w:val="center"/>
          </w:tcPr>
          <w:p w:rsidR="00691934" w:rsidRPr="00A34A69" w:rsidRDefault="00691934" w:rsidP="00012F90">
            <w:pPr>
              <w:pStyle w:val="Default"/>
              <w:jc w:val="center"/>
              <w:rPr>
                <w:rFonts w:ascii="Arial" w:hAnsi="Arial" w:cs="Arial"/>
                <w:b/>
                <w:color w:val="auto"/>
              </w:rPr>
            </w:pPr>
            <w:r w:rsidRPr="00A34A69">
              <w:rPr>
                <w:rFonts w:ascii="Arial" w:hAnsi="Arial" w:cs="Arial"/>
                <w:b/>
                <w:color w:val="auto"/>
              </w:rPr>
              <w:t>-</w:t>
            </w:r>
          </w:p>
        </w:tc>
        <w:tc>
          <w:tcPr>
            <w:tcW w:w="897" w:type="dxa"/>
            <w:shd w:val="clear" w:color="auto" w:fill="FDE9D9" w:themeFill="accent6" w:themeFillTint="33"/>
            <w:vAlign w:val="center"/>
          </w:tcPr>
          <w:p w:rsidR="00691934" w:rsidRPr="00A34A69" w:rsidRDefault="00691934" w:rsidP="00012F90">
            <w:pPr>
              <w:pStyle w:val="Default"/>
              <w:jc w:val="center"/>
              <w:rPr>
                <w:rFonts w:ascii="Arial" w:hAnsi="Arial" w:cs="Arial"/>
                <w:b/>
                <w:color w:val="auto"/>
              </w:rPr>
            </w:pPr>
            <w:r w:rsidRPr="00A34A69">
              <w:rPr>
                <w:rFonts w:ascii="Arial" w:hAnsi="Arial" w:cs="Arial"/>
                <w:b/>
                <w:color w:val="auto"/>
              </w:rPr>
              <w:t>-</w:t>
            </w:r>
          </w:p>
        </w:tc>
      </w:tr>
      <w:tr w:rsidR="00691934" w:rsidRPr="00F13F48" w:rsidTr="00012F90">
        <w:trPr>
          <w:trHeight w:val="248"/>
          <w:jc w:val="center"/>
        </w:trPr>
        <w:tc>
          <w:tcPr>
            <w:tcW w:w="3476" w:type="dxa"/>
            <w:shd w:val="clear" w:color="auto" w:fill="FDE9D9" w:themeFill="accent6" w:themeFillTint="33"/>
            <w:vAlign w:val="center"/>
          </w:tcPr>
          <w:p w:rsidR="00691934" w:rsidRPr="00F13F48" w:rsidRDefault="00691934" w:rsidP="00012F90">
            <w:pPr>
              <w:pStyle w:val="Default"/>
              <w:rPr>
                <w:rFonts w:ascii="Arial" w:hAnsi="Arial" w:cs="Arial"/>
                <w:color w:val="auto"/>
              </w:rPr>
            </w:pPr>
            <w:r w:rsidRPr="00F13F48">
              <w:rPr>
                <w:rFonts w:ascii="Arial" w:hAnsi="Arial" w:cs="Arial"/>
                <w:color w:val="auto"/>
              </w:rPr>
              <w:t xml:space="preserve">Total surse difuze </w:t>
            </w:r>
          </w:p>
        </w:tc>
        <w:tc>
          <w:tcPr>
            <w:tcW w:w="1084"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292.012</w:t>
            </w:r>
          </w:p>
        </w:tc>
        <w:tc>
          <w:tcPr>
            <w:tcW w:w="1030"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p>
        </w:tc>
        <w:tc>
          <w:tcPr>
            <w:tcW w:w="1351"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r>
              <w:rPr>
                <w:rFonts w:ascii="Arial" w:hAnsi="Arial" w:cs="Arial"/>
                <w:color w:val="auto"/>
              </w:rPr>
              <w:t>34676,377</w:t>
            </w:r>
          </w:p>
        </w:tc>
        <w:tc>
          <w:tcPr>
            <w:tcW w:w="897" w:type="dxa"/>
            <w:shd w:val="clear" w:color="auto" w:fill="FDE9D9" w:themeFill="accent6" w:themeFillTint="33"/>
            <w:vAlign w:val="center"/>
          </w:tcPr>
          <w:p w:rsidR="00691934" w:rsidRPr="00F13F48" w:rsidRDefault="00691934" w:rsidP="00012F90">
            <w:pPr>
              <w:pStyle w:val="Default"/>
              <w:jc w:val="center"/>
              <w:rPr>
                <w:rFonts w:ascii="Arial" w:hAnsi="Arial" w:cs="Arial"/>
                <w:color w:val="auto"/>
              </w:rPr>
            </w:pPr>
          </w:p>
        </w:tc>
      </w:tr>
    </w:tbl>
    <w:p w:rsidR="00691934" w:rsidRDefault="00691934" w:rsidP="00691934">
      <w:pPr>
        <w:tabs>
          <w:tab w:val="left" w:pos="2562"/>
        </w:tabs>
        <w:rPr>
          <w:rFonts w:ascii="Arial" w:hAnsi="Arial" w:cs="Arial"/>
          <w:b/>
          <w:bCs/>
        </w:rPr>
      </w:pPr>
    </w:p>
    <w:p w:rsidR="00691934" w:rsidRPr="007F08BC" w:rsidRDefault="00691934" w:rsidP="00691934">
      <w:pPr>
        <w:rPr>
          <w:rFonts w:ascii="Arial" w:hAnsi="Arial" w:cs="Arial"/>
        </w:rPr>
      </w:pPr>
      <w:r w:rsidRPr="007F08BC">
        <w:rPr>
          <w:rFonts w:ascii="Arial" w:hAnsi="Arial" w:cs="Arial"/>
          <w:b/>
          <w:bCs/>
        </w:rPr>
        <w:t xml:space="preserve">           II.2.2.2. </w:t>
      </w:r>
      <w:r w:rsidRPr="007F08BC">
        <w:rPr>
          <w:rFonts w:ascii="Arial" w:hAnsi="Arial" w:cs="Arial"/>
          <w:b/>
        </w:rPr>
        <w:t>Apele uzate şi reţelele de canalizare</w:t>
      </w:r>
      <w:r w:rsidRPr="007F08BC">
        <w:rPr>
          <w:rFonts w:ascii="Arial" w:hAnsi="Arial" w:cs="Arial"/>
        </w:rPr>
        <w:t xml:space="preserve"> </w:t>
      </w:r>
    </w:p>
    <w:p w:rsidR="00691934" w:rsidRPr="006262EF" w:rsidRDefault="00691934" w:rsidP="00691934">
      <w:pPr>
        <w:rPr>
          <w:rFonts w:ascii="Arial" w:hAnsi="Arial" w:cs="Arial"/>
          <w:color w:val="FF0000"/>
        </w:rPr>
      </w:pPr>
    </w:p>
    <w:p w:rsidR="00691934" w:rsidRPr="00F13F48" w:rsidRDefault="00691934" w:rsidP="00691934">
      <w:pPr>
        <w:rPr>
          <w:rFonts w:ascii="Arial" w:hAnsi="Arial" w:cs="Arial"/>
        </w:rPr>
      </w:pPr>
      <w:r>
        <w:rPr>
          <w:rFonts w:ascii="Arial" w:hAnsi="Arial" w:cs="Arial"/>
          <w:b/>
          <w:bCs/>
          <w:iCs/>
        </w:rPr>
        <w:t>Tabel nr.II. 2.2</w:t>
      </w:r>
      <w:r w:rsidRPr="006A72A4">
        <w:rPr>
          <w:rFonts w:ascii="Arial" w:hAnsi="Arial" w:cs="Arial"/>
          <w:b/>
          <w:bCs/>
          <w:iCs/>
        </w:rPr>
        <w:t xml:space="preserve">. </w:t>
      </w:r>
      <w:r>
        <w:rPr>
          <w:rFonts w:ascii="Arial" w:hAnsi="Arial" w:cs="Arial"/>
          <w:b/>
          <w:bCs/>
          <w:iCs/>
        </w:rPr>
        <w:t xml:space="preserve">– 1 </w:t>
      </w:r>
      <w:r w:rsidRPr="00F13F48">
        <w:rPr>
          <w:rFonts w:ascii="Arial" w:hAnsi="Arial" w:cs="Arial"/>
        </w:rPr>
        <w:t>Evoluţia gradului de racordare</w:t>
      </w:r>
      <w:r>
        <w:rPr>
          <w:rFonts w:ascii="Arial" w:hAnsi="Arial" w:cs="Arial"/>
        </w:rPr>
        <w:t>/racordare</w:t>
      </w:r>
      <w:r w:rsidRPr="00F13F48">
        <w:rPr>
          <w:rFonts w:ascii="Arial" w:hAnsi="Arial" w:cs="Arial"/>
        </w:rPr>
        <w:t xml:space="preserve"> al populaţiei la sistemele de colectare şi epurare a apelor uzate</w:t>
      </w:r>
      <w:r>
        <w:rPr>
          <w:rFonts w:ascii="Arial" w:hAnsi="Arial" w:cs="Arial"/>
        </w:rPr>
        <w:t xml:space="preserve"> în perioada 2010 – 2014 la nivelul jud. Brăila (%) – operator C.U.P.</w:t>
      </w:r>
    </w:p>
    <w:tbl>
      <w:tblPr>
        <w:tblW w:w="0" w:type="auto"/>
        <w:jc w:val="center"/>
        <w:tblInd w:w="55" w:type="dxa"/>
        <w:tblLayout w:type="fixed"/>
        <w:tblCellMar>
          <w:top w:w="55" w:type="dxa"/>
          <w:left w:w="55" w:type="dxa"/>
          <w:bottom w:w="55" w:type="dxa"/>
          <w:right w:w="55" w:type="dxa"/>
        </w:tblCellMar>
        <w:tblLook w:val="0000"/>
      </w:tblPr>
      <w:tblGrid>
        <w:gridCol w:w="4569"/>
        <w:gridCol w:w="1019"/>
        <w:gridCol w:w="1007"/>
        <w:gridCol w:w="1031"/>
        <w:gridCol w:w="1053"/>
        <w:gridCol w:w="963"/>
      </w:tblGrid>
      <w:tr w:rsidR="00691934" w:rsidTr="00012F90">
        <w:trPr>
          <w:jc w:val="center"/>
        </w:trPr>
        <w:tc>
          <w:tcPr>
            <w:tcW w:w="4569" w:type="dxa"/>
            <w:shd w:val="clear" w:color="auto" w:fill="FBD4B4" w:themeFill="accent6" w:themeFillTint="66"/>
          </w:tcPr>
          <w:p w:rsidR="00691934" w:rsidRPr="009E182F" w:rsidRDefault="00691934" w:rsidP="00012F90">
            <w:pPr>
              <w:rPr>
                <w:rFonts w:ascii="Arial" w:hAnsi="Arial" w:cs="Arial"/>
              </w:rPr>
            </w:pPr>
            <w:r>
              <w:rPr>
                <w:rFonts w:ascii="Arial" w:hAnsi="Arial" w:cs="Arial"/>
              </w:rPr>
              <w:t>Infrastructură</w:t>
            </w:r>
          </w:p>
        </w:tc>
        <w:tc>
          <w:tcPr>
            <w:tcW w:w="1019" w:type="dxa"/>
            <w:shd w:val="clear" w:color="auto" w:fill="FBD4B4" w:themeFill="accent6" w:themeFillTint="66"/>
          </w:tcPr>
          <w:p w:rsidR="00691934" w:rsidRPr="00D944E7" w:rsidRDefault="00691934" w:rsidP="00012F90">
            <w:pPr>
              <w:pStyle w:val="TableContents"/>
              <w:jc w:val="center"/>
              <w:rPr>
                <w:rFonts w:ascii="Arial" w:hAnsi="Arial" w:cs="Arial"/>
              </w:rPr>
            </w:pPr>
            <w:r w:rsidRPr="00D944E7">
              <w:rPr>
                <w:rFonts w:ascii="Arial" w:hAnsi="Arial" w:cs="Arial"/>
              </w:rPr>
              <w:t>2010</w:t>
            </w:r>
          </w:p>
        </w:tc>
        <w:tc>
          <w:tcPr>
            <w:tcW w:w="1007" w:type="dxa"/>
            <w:shd w:val="clear" w:color="auto" w:fill="FBD4B4" w:themeFill="accent6" w:themeFillTint="66"/>
          </w:tcPr>
          <w:p w:rsidR="00691934" w:rsidRPr="00D944E7" w:rsidRDefault="00691934" w:rsidP="00012F90">
            <w:pPr>
              <w:pStyle w:val="TableContents"/>
              <w:jc w:val="center"/>
              <w:rPr>
                <w:rFonts w:ascii="Arial" w:hAnsi="Arial" w:cs="Arial"/>
              </w:rPr>
            </w:pPr>
            <w:r w:rsidRPr="00D944E7">
              <w:rPr>
                <w:rFonts w:ascii="Arial" w:hAnsi="Arial" w:cs="Arial"/>
              </w:rPr>
              <w:t>2011</w:t>
            </w:r>
          </w:p>
        </w:tc>
        <w:tc>
          <w:tcPr>
            <w:tcW w:w="1031" w:type="dxa"/>
            <w:shd w:val="clear" w:color="auto" w:fill="FBD4B4" w:themeFill="accent6" w:themeFillTint="66"/>
          </w:tcPr>
          <w:p w:rsidR="00691934" w:rsidRPr="00D944E7" w:rsidRDefault="00691934" w:rsidP="00012F90">
            <w:pPr>
              <w:pStyle w:val="TableContents"/>
              <w:jc w:val="center"/>
              <w:rPr>
                <w:rFonts w:ascii="Arial" w:hAnsi="Arial" w:cs="Arial"/>
              </w:rPr>
            </w:pPr>
            <w:r w:rsidRPr="00D944E7">
              <w:rPr>
                <w:rFonts w:ascii="Arial" w:hAnsi="Arial" w:cs="Arial"/>
              </w:rPr>
              <w:t>2012</w:t>
            </w:r>
          </w:p>
        </w:tc>
        <w:tc>
          <w:tcPr>
            <w:tcW w:w="1053" w:type="dxa"/>
            <w:shd w:val="clear" w:color="auto" w:fill="FBD4B4" w:themeFill="accent6" w:themeFillTint="66"/>
          </w:tcPr>
          <w:p w:rsidR="00691934" w:rsidRPr="00D944E7" w:rsidRDefault="00691934" w:rsidP="00012F90">
            <w:pPr>
              <w:pStyle w:val="TableContents"/>
              <w:jc w:val="center"/>
              <w:rPr>
                <w:rFonts w:ascii="Arial" w:hAnsi="Arial" w:cs="Arial"/>
              </w:rPr>
            </w:pPr>
            <w:r w:rsidRPr="00D944E7">
              <w:rPr>
                <w:rFonts w:ascii="Arial" w:hAnsi="Arial" w:cs="Arial"/>
              </w:rPr>
              <w:t>2013</w:t>
            </w:r>
          </w:p>
        </w:tc>
        <w:tc>
          <w:tcPr>
            <w:tcW w:w="963" w:type="dxa"/>
            <w:shd w:val="clear" w:color="auto" w:fill="FBD4B4" w:themeFill="accent6" w:themeFillTint="66"/>
          </w:tcPr>
          <w:p w:rsidR="00691934" w:rsidRPr="00D944E7" w:rsidRDefault="00691934" w:rsidP="00012F90">
            <w:pPr>
              <w:pStyle w:val="TableContents"/>
              <w:jc w:val="center"/>
              <w:rPr>
                <w:rFonts w:ascii="Arial" w:hAnsi="Arial" w:cs="Arial"/>
              </w:rPr>
            </w:pPr>
            <w:r w:rsidRPr="00D944E7">
              <w:rPr>
                <w:rFonts w:ascii="Arial" w:hAnsi="Arial" w:cs="Arial"/>
              </w:rPr>
              <w:t>2014</w:t>
            </w:r>
          </w:p>
        </w:tc>
      </w:tr>
      <w:tr w:rsidR="00691934" w:rsidTr="00012F90">
        <w:trPr>
          <w:jc w:val="center"/>
        </w:trPr>
        <w:tc>
          <w:tcPr>
            <w:tcW w:w="4569" w:type="dxa"/>
            <w:shd w:val="clear" w:color="auto" w:fill="FDE9D9" w:themeFill="accent6" w:themeFillTint="33"/>
          </w:tcPr>
          <w:p w:rsidR="00691934" w:rsidRPr="00D944E7" w:rsidRDefault="00691934" w:rsidP="00012F90">
            <w:pPr>
              <w:pStyle w:val="TableContents"/>
              <w:shd w:val="clear" w:color="auto" w:fill="FDE9D9" w:themeFill="accent6" w:themeFillTint="33"/>
              <w:rPr>
                <w:rFonts w:ascii="Arial" w:hAnsi="Arial" w:cs="Arial"/>
              </w:rPr>
            </w:pPr>
            <w:r>
              <w:rPr>
                <w:rFonts w:ascii="Arial" w:hAnsi="Arial" w:cs="Arial"/>
              </w:rPr>
              <w:t>Colectare cu epurare terț</w:t>
            </w:r>
            <w:r w:rsidRPr="00D944E7">
              <w:rPr>
                <w:rFonts w:ascii="Arial" w:hAnsi="Arial" w:cs="Arial"/>
              </w:rPr>
              <w:t>iar</w:t>
            </w:r>
            <w:r>
              <w:rPr>
                <w:rFonts w:ascii="Arial" w:hAnsi="Arial" w:cs="Arial"/>
              </w:rPr>
              <w:t>ă</w:t>
            </w:r>
            <w:r w:rsidRPr="00D944E7">
              <w:rPr>
                <w:rFonts w:ascii="Arial" w:hAnsi="Arial" w:cs="Arial"/>
              </w:rPr>
              <w:t xml:space="preserve"> </w:t>
            </w:r>
            <w:r>
              <w:rPr>
                <w:rFonts w:ascii="Arial" w:hAnsi="Arial" w:cs="Arial"/>
              </w:rPr>
              <w:t>(%)</w:t>
            </w:r>
          </w:p>
        </w:tc>
        <w:tc>
          <w:tcPr>
            <w:tcW w:w="1019"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w:t>
            </w:r>
          </w:p>
        </w:tc>
        <w:tc>
          <w:tcPr>
            <w:tcW w:w="1007"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w:t>
            </w:r>
          </w:p>
        </w:tc>
        <w:tc>
          <w:tcPr>
            <w:tcW w:w="1031"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w:t>
            </w:r>
          </w:p>
        </w:tc>
        <w:tc>
          <w:tcPr>
            <w:tcW w:w="105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w:t>
            </w:r>
          </w:p>
        </w:tc>
        <w:tc>
          <w:tcPr>
            <w:tcW w:w="96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3,2</w:t>
            </w:r>
          </w:p>
        </w:tc>
      </w:tr>
      <w:tr w:rsidR="00691934" w:rsidTr="00012F90">
        <w:trPr>
          <w:jc w:val="center"/>
        </w:trPr>
        <w:tc>
          <w:tcPr>
            <w:tcW w:w="4569" w:type="dxa"/>
            <w:shd w:val="clear" w:color="auto" w:fill="FDE9D9" w:themeFill="accent6" w:themeFillTint="33"/>
          </w:tcPr>
          <w:p w:rsidR="00691934" w:rsidRPr="00D944E7" w:rsidRDefault="00691934" w:rsidP="00012F90">
            <w:pPr>
              <w:pStyle w:val="TableContents"/>
              <w:shd w:val="clear" w:color="auto" w:fill="FDE9D9" w:themeFill="accent6" w:themeFillTint="33"/>
              <w:rPr>
                <w:rFonts w:ascii="Arial" w:hAnsi="Arial" w:cs="Arial"/>
              </w:rPr>
            </w:pPr>
            <w:r>
              <w:rPr>
                <w:rFonts w:ascii="Arial" w:hAnsi="Arial" w:cs="Arial"/>
              </w:rPr>
              <w:t>Colectare cu epurare secundară (%)</w:t>
            </w:r>
          </w:p>
        </w:tc>
        <w:tc>
          <w:tcPr>
            <w:tcW w:w="1019"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1,3</w:t>
            </w:r>
          </w:p>
        </w:tc>
        <w:tc>
          <w:tcPr>
            <w:tcW w:w="1007"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1,3</w:t>
            </w:r>
          </w:p>
        </w:tc>
        <w:tc>
          <w:tcPr>
            <w:tcW w:w="1031"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99</w:t>
            </w:r>
          </w:p>
        </w:tc>
        <w:tc>
          <w:tcPr>
            <w:tcW w:w="105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99</w:t>
            </w:r>
          </w:p>
        </w:tc>
        <w:tc>
          <w:tcPr>
            <w:tcW w:w="96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95,8</w:t>
            </w:r>
          </w:p>
        </w:tc>
      </w:tr>
      <w:tr w:rsidR="00691934" w:rsidTr="00012F90">
        <w:trPr>
          <w:jc w:val="center"/>
        </w:trPr>
        <w:tc>
          <w:tcPr>
            <w:tcW w:w="4569" w:type="dxa"/>
            <w:shd w:val="clear" w:color="auto" w:fill="FDE9D9" w:themeFill="accent6" w:themeFillTint="33"/>
          </w:tcPr>
          <w:p w:rsidR="00691934" w:rsidRPr="00D944E7" w:rsidRDefault="00691934" w:rsidP="00012F90">
            <w:pPr>
              <w:pStyle w:val="TableContents"/>
              <w:shd w:val="clear" w:color="auto" w:fill="FDE9D9" w:themeFill="accent6" w:themeFillTint="33"/>
              <w:rPr>
                <w:rFonts w:ascii="Arial" w:hAnsi="Arial" w:cs="Arial"/>
              </w:rPr>
            </w:pPr>
            <w:r w:rsidRPr="00D944E7">
              <w:rPr>
                <w:rFonts w:ascii="Arial" w:hAnsi="Arial" w:cs="Arial"/>
              </w:rPr>
              <w:t>Colectare cu epurare primar</w:t>
            </w:r>
            <w:r>
              <w:rPr>
                <w:rFonts w:ascii="Arial" w:hAnsi="Arial" w:cs="Arial"/>
              </w:rPr>
              <w:t>ă (%)</w:t>
            </w:r>
          </w:p>
        </w:tc>
        <w:tc>
          <w:tcPr>
            <w:tcW w:w="1019"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1</w:t>
            </w:r>
          </w:p>
        </w:tc>
        <w:tc>
          <w:tcPr>
            <w:tcW w:w="1007"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1</w:t>
            </w:r>
          </w:p>
        </w:tc>
        <w:tc>
          <w:tcPr>
            <w:tcW w:w="1031"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0,87</w:t>
            </w:r>
          </w:p>
        </w:tc>
        <w:tc>
          <w:tcPr>
            <w:tcW w:w="105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0,87</w:t>
            </w:r>
          </w:p>
        </w:tc>
        <w:tc>
          <w:tcPr>
            <w:tcW w:w="96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0,87</w:t>
            </w:r>
          </w:p>
        </w:tc>
      </w:tr>
      <w:tr w:rsidR="00691934" w:rsidTr="00012F90">
        <w:trPr>
          <w:jc w:val="center"/>
        </w:trPr>
        <w:tc>
          <w:tcPr>
            <w:tcW w:w="4569" w:type="dxa"/>
            <w:shd w:val="clear" w:color="auto" w:fill="FDE9D9" w:themeFill="accent6" w:themeFillTint="33"/>
          </w:tcPr>
          <w:p w:rsidR="00691934" w:rsidRPr="00D944E7" w:rsidRDefault="00691934" w:rsidP="00012F90">
            <w:pPr>
              <w:pStyle w:val="TableContents"/>
              <w:shd w:val="clear" w:color="auto" w:fill="FDE9D9" w:themeFill="accent6" w:themeFillTint="33"/>
              <w:rPr>
                <w:rFonts w:ascii="Arial" w:hAnsi="Arial" w:cs="Arial"/>
              </w:rPr>
            </w:pPr>
            <w:r w:rsidRPr="00D944E7">
              <w:rPr>
                <w:rFonts w:ascii="Arial" w:hAnsi="Arial" w:cs="Arial"/>
              </w:rPr>
              <w:t>Colectare f</w:t>
            </w:r>
            <w:r>
              <w:rPr>
                <w:rFonts w:ascii="Arial" w:hAnsi="Arial" w:cs="Arial"/>
              </w:rPr>
              <w:t>ă</w:t>
            </w:r>
            <w:r w:rsidRPr="00D944E7">
              <w:rPr>
                <w:rFonts w:ascii="Arial" w:hAnsi="Arial" w:cs="Arial"/>
              </w:rPr>
              <w:t>r</w:t>
            </w:r>
            <w:r>
              <w:rPr>
                <w:rFonts w:ascii="Arial" w:hAnsi="Arial" w:cs="Arial"/>
              </w:rPr>
              <w:t>ă</w:t>
            </w:r>
            <w:r w:rsidRPr="00D944E7">
              <w:rPr>
                <w:rFonts w:ascii="Arial" w:hAnsi="Arial" w:cs="Arial"/>
              </w:rPr>
              <w:t xml:space="preserve"> epurare</w:t>
            </w:r>
            <w:r>
              <w:rPr>
                <w:rFonts w:ascii="Arial" w:hAnsi="Arial" w:cs="Arial"/>
              </w:rPr>
              <w:t xml:space="preserve"> (%)</w:t>
            </w:r>
          </w:p>
        </w:tc>
        <w:tc>
          <w:tcPr>
            <w:tcW w:w="1019"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97,7</w:t>
            </w:r>
          </w:p>
        </w:tc>
        <w:tc>
          <w:tcPr>
            <w:tcW w:w="1007"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97,7</w:t>
            </w:r>
          </w:p>
        </w:tc>
        <w:tc>
          <w:tcPr>
            <w:tcW w:w="1031"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0,13</w:t>
            </w:r>
          </w:p>
        </w:tc>
        <w:tc>
          <w:tcPr>
            <w:tcW w:w="105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0,13</w:t>
            </w:r>
          </w:p>
        </w:tc>
        <w:tc>
          <w:tcPr>
            <w:tcW w:w="963" w:type="dxa"/>
            <w:shd w:val="clear" w:color="auto" w:fill="FDE9D9" w:themeFill="accent6" w:themeFillTint="33"/>
          </w:tcPr>
          <w:p w:rsidR="00691934" w:rsidRPr="00D944E7" w:rsidRDefault="00691934" w:rsidP="00012F90">
            <w:pPr>
              <w:pStyle w:val="TableContents"/>
              <w:shd w:val="clear" w:color="auto" w:fill="FDE9D9" w:themeFill="accent6" w:themeFillTint="33"/>
              <w:jc w:val="center"/>
              <w:rPr>
                <w:rFonts w:ascii="Arial" w:hAnsi="Arial" w:cs="Arial"/>
              </w:rPr>
            </w:pPr>
            <w:r w:rsidRPr="00D944E7">
              <w:rPr>
                <w:rFonts w:ascii="Arial" w:hAnsi="Arial" w:cs="Arial"/>
              </w:rPr>
              <w:t>0,13</w:t>
            </w:r>
          </w:p>
        </w:tc>
      </w:tr>
    </w:tbl>
    <w:p w:rsidR="00691934" w:rsidRDefault="00691934" w:rsidP="00691934">
      <w:pPr>
        <w:rPr>
          <w:rFonts w:ascii="Arial" w:hAnsi="Arial" w:cs="Arial"/>
          <w:b/>
          <w:bCs/>
          <w:iCs/>
        </w:rPr>
      </w:pPr>
    </w:p>
    <w:p w:rsidR="00691934" w:rsidRPr="00E52F2E" w:rsidRDefault="00691934" w:rsidP="00691934">
      <w:pPr>
        <w:ind w:firstLine="708"/>
      </w:pPr>
      <w:r w:rsidRPr="002D0D90">
        <w:rPr>
          <w:noProof/>
          <w:shd w:val="clear" w:color="auto" w:fill="DAEEF3" w:themeFill="accent5" w:themeFillTint="33"/>
          <w:lang w:val="ro-RO" w:eastAsia="ro-RO"/>
        </w:rPr>
        <w:lastRenderedPageBreak/>
        <w:drawing>
          <wp:inline distT="0" distB="0" distL="0" distR="0">
            <wp:extent cx="5486400" cy="3200400"/>
            <wp:effectExtent l="19050" t="0" r="19050" b="0"/>
            <wp:docPr id="56"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rsidR="00691934" w:rsidRDefault="00691934" w:rsidP="00691934">
      <w:pPr>
        <w:jc w:val="center"/>
        <w:rPr>
          <w:rFonts w:ascii="Arial" w:hAnsi="Arial" w:cs="Arial"/>
        </w:rPr>
      </w:pPr>
      <w:r>
        <w:rPr>
          <w:rFonts w:ascii="Arial" w:hAnsi="Arial" w:cs="Arial"/>
          <w:b/>
          <w:bCs/>
          <w:iCs/>
        </w:rPr>
        <w:t xml:space="preserve">Figura </w:t>
      </w:r>
      <w:r w:rsidRPr="006A72A4">
        <w:rPr>
          <w:rFonts w:ascii="Arial" w:hAnsi="Arial" w:cs="Arial"/>
          <w:b/>
          <w:bCs/>
          <w:iCs/>
        </w:rPr>
        <w:t>II. 2.</w:t>
      </w:r>
      <w:r>
        <w:rPr>
          <w:rFonts w:ascii="Arial" w:hAnsi="Arial" w:cs="Arial"/>
          <w:b/>
          <w:bCs/>
          <w:iCs/>
        </w:rPr>
        <w:t>2</w:t>
      </w:r>
      <w:r w:rsidRPr="006A72A4">
        <w:rPr>
          <w:rFonts w:ascii="Arial" w:hAnsi="Arial" w:cs="Arial"/>
          <w:b/>
          <w:bCs/>
          <w:iCs/>
        </w:rPr>
        <w:t>.</w:t>
      </w:r>
      <w:r>
        <w:rPr>
          <w:rFonts w:ascii="Arial" w:hAnsi="Arial" w:cs="Arial"/>
          <w:b/>
          <w:bCs/>
          <w:iCs/>
        </w:rPr>
        <w:t xml:space="preserve">- 1 </w:t>
      </w:r>
      <w:r w:rsidRPr="00F13F48">
        <w:rPr>
          <w:rFonts w:ascii="Arial" w:hAnsi="Arial" w:cs="Arial"/>
        </w:rPr>
        <w:t>Evoluţia gradului de racordare</w:t>
      </w:r>
      <w:r>
        <w:rPr>
          <w:rFonts w:ascii="Arial" w:hAnsi="Arial" w:cs="Arial"/>
        </w:rPr>
        <w:t>/racordare</w:t>
      </w:r>
      <w:r w:rsidRPr="00F13F48">
        <w:rPr>
          <w:rFonts w:ascii="Arial" w:hAnsi="Arial" w:cs="Arial"/>
        </w:rPr>
        <w:t xml:space="preserve"> al populaţiei la sistemele de colectare şi epurare a apelor uzate</w:t>
      </w:r>
      <w:r>
        <w:rPr>
          <w:rFonts w:ascii="Arial" w:hAnsi="Arial" w:cs="Arial"/>
        </w:rPr>
        <w:t xml:space="preserve"> în perioada 2010 – 2014 la nivelul jud. Brăila (%) – operator C.U.P.</w:t>
      </w:r>
    </w:p>
    <w:p w:rsidR="00691934" w:rsidRDefault="00691934" w:rsidP="00691934">
      <w:pPr>
        <w:jc w:val="center"/>
        <w:rPr>
          <w:rFonts w:ascii="Arial" w:hAnsi="Arial" w:cs="Arial"/>
        </w:rPr>
      </w:pPr>
    </w:p>
    <w:p w:rsidR="00691934" w:rsidRPr="007F08BC" w:rsidRDefault="00691934" w:rsidP="00691934">
      <w:pPr>
        <w:pStyle w:val="Default"/>
        <w:rPr>
          <w:rFonts w:ascii="Arial" w:hAnsi="Arial" w:cs="Arial"/>
          <w:color w:val="auto"/>
        </w:rPr>
      </w:pPr>
      <w:r w:rsidRPr="007F08BC">
        <w:rPr>
          <w:rFonts w:ascii="Arial" w:hAnsi="Arial" w:cs="Arial"/>
          <w:b/>
          <w:bCs/>
          <w:iCs/>
          <w:color w:val="auto"/>
        </w:rPr>
        <w:t xml:space="preserve">II. 2.3. Tendinţe şi prognoze privind calitatea apei  </w:t>
      </w:r>
    </w:p>
    <w:p w:rsidR="00691934" w:rsidRPr="001B43E6" w:rsidRDefault="00691934" w:rsidP="00691934">
      <w:pPr>
        <w:rPr>
          <w:rFonts w:ascii="Arial" w:hAnsi="Arial" w:cs="Arial"/>
          <w:color w:val="FF0000"/>
        </w:rPr>
      </w:pPr>
    </w:p>
    <w:p w:rsidR="00691934" w:rsidRDefault="00691934" w:rsidP="00691934">
      <w:pPr>
        <w:spacing w:line="60" w:lineRule="atLeast"/>
        <w:jc w:val="center"/>
        <w:outlineLvl w:val="0"/>
        <w:rPr>
          <w:rFonts w:ascii="Arial" w:hAnsi="Arial" w:cs="Arial"/>
          <w:b/>
          <w:bCs/>
          <w:noProof/>
        </w:rPr>
      </w:pPr>
      <w:r>
        <w:rPr>
          <w:rFonts w:ascii="Arial" w:hAnsi="Arial" w:cs="Arial"/>
          <w:b/>
          <w:bCs/>
          <w:noProof/>
          <w:lang w:val="ro-RO" w:eastAsia="ro-RO"/>
        </w:rPr>
        <w:drawing>
          <wp:inline distT="0" distB="0" distL="0" distR="0">
            <wp:extent cx="5200650" cy="2762250"/>
            <wp:effectExtent l="19050" t="0" r="19050" b="0"/>
            <wp:docPr id="57"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rsidR="00691934" w:rsidRDefault="00691934" w:rsidP="00691934">
      <w:pPr>
        <w:jc w:val="center"/>
        <w:rPr>
          <w:rFonts w:ascii="Arial" w:hAnsi="Arial" w:cs="Arial"/>
          <w:b/>
          <w:bCs/>
          <w:noProof/>
        </w:rPr>
      </w:pPr>
      <w:r>
        <w:rPr>
          <w:rFonts w:ascii="Arial" w:hAnsi="Arial" w:cs="Arial"/>
          <w:b/>
          <w:bCs/>
          <w:iCs/>
        </w:rPr>
        <w:t xml:space="preserve">Figura </w:t>
      </w:r>
      <w:r w:rsidRPr="006A72A4">
        <w:rPr>
          <w:rFonts w:ascii="Arial" w:hAnsi="Arial" w:cs="Arial"/>
          <w:b/>
          <w:bCs/>
          <w:iCs/>
        </w:rPr>
        <w:t>II. 2.</w:t>
      </w:r>
      <w:r>
        <w:rPr>
          <w:rFonts w:ascii="Arial" w:hAnsi="Arial" w:cs="Arial"/>
          <w:b/>
          <w:bCs/>
          <w:iCs/>
        </w:rPr>
        <w:t>3</w:t>
      </w:r>
      <w:r w:rsidRPr="006A72A4">
        <w:rPr>
          <w:rFonts w:ascii="Arial" w:hAnsi="Arial" w:cs="Arial"/>
          <w:b/>
          <w:bCs/>
          <w:iCs/>
        </w:rPr>
        <w:t>.</w:t>
      </w:r>
      <w:r>
        <w:rPr>
          <w:rFonts w:ascii="Arial" w:hAnsi="Arial" w:cs="Arial"/>
          <w:b/>
          <w:bCs/>
          <w:iCs/>
        </w:rPr>
        <w:t xml:space="preserve">- 1 </w:t>
      </w:r>
      <w:r w:rsidRPr="00F13F48">
        <w:rPr>
          <w:rFonts w:ascii="Arial" w:hAnsi="Arial" w:cs="Arial"/>
        </w:rPr>
        <w:t xml:space="preserve">Evoluţia </w:t>
      </w:r>
      <w:r>
        <w:rPr>
          <w:rFonts w:ascii="Arial" w:hAnsi="Arial" w:cs="Arial"/>
        </w:rPr>
        <w:t>concentrațiilor de azotați și fosfați din fluviul Dunărea</w:t>
      </w:r>
    </w:p>
    <w:p w:rsidR="00691934" w:rsidRDefault="00691934" w:rsidP="00691934">
      <w:pPr>
        <w:spacing w:line="60" w:lineRule="atLeast"/>
        <w:jc w:val="both"/>
        <w:outlineLvl w:val="0"/>
        <w:rPr>
          <w:rFonts w:ascii="Arial" w:hAnsi="Arial" w:cs="Arial"/>
          <w:b/>
          <w:bCs/>
          <w:noProof/>
        </w:rPr>
      </w:pPr>
    </w:p>
    <w:p w:rsidR="00691934" w:rsidRDefault="00691934" w:rsidP="00691934">
      <w:pPr>
        <w:spacing w:line="60" w:lineRule="atLeast"/>
        <w:jc w:val="center"/>
        <w:outlineLvl w:val="0"/>
        <w:rPr>
          <w:rFonts w:ascii="Arial" w:hAnsi="Arial" w:cs="Arial"/>
          <w:b/>
          <w:bCs/>
          <w:noProof/>
        </w:rPr>
      </w:pPr>
      <w:r w:rsidRPr="00927A47">
        <w:rPr>
          <w:rFonts w:ascii="Arial" w:hAnsi="Arial" w:cs="Arial"/>
          <w:b/>
          <w:bCs/>
          <w:noProof/>
          <w:lang w:val="ro-RO" w:eastAsia="ro-RO"/>
        </w:rPr>
        <w:lastRenderedPageBreak/>
        <w:drawing>
          <wp:inline distT="0" distB="0" distL="0" distR="0">
            <wp:extent cx="5200650" cy="2762250"/>
            <wp:effectExtent l="19050" t="0" r="19050" b="0"/>
            <wp:docPr id="58" name="Diagramă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rsidR="00691934" w:rsidRDefault="00691934" w:rsidP="00691934">
      <w:pPr>
        <w:jc w:val="center"/>
        <w:rPr>
          <w:rFonts w:ascii="Arial" w:hAnsi="Arial" w:cs="Arial"/>
          <w:b/>
          <w:bCs/>
          <w:noProof/>
        </w:rPr>
      </w:pPr>
      <w:r>
        <w:rPr>
          <w:rFonts w:ascii="Arial" w:hAnsi="Arial" w:cs="Arial"/>
          <w:b/>
          <w:bCs/>
          <w:iCs/>
        </w:rPr>
        <w:t xml:space="preserve">Figura </w:t>
      </w:r>
      <w:r w:rsidRPr="006A72A4">
        <w:rPr>
          <w:rFonts w:ascii="Arial" w:hAnsi="Arial" w:cs="Arial"/>
          <w:b/>
          <w:bCs/>
          <w:iCs/>
        </w:rPr>
        <w:t>II. 2.</w:t>
      </w:r>
      <w:r>
        <w:rPr>
          <w:rFonts w:ascii="Arial" w:hAnsi="Arial" w:cs="Arial"/>
          <w:b/>
          <w:bCs/>
          <w:iCs/>
        </w:rPr>
        <w:t>3</w:t>
      </w:r>
      <w:r w:rsidRPr="006A72A4">
        <w:rPr>
          <w:rFonts w:ascii="Arial" w:hAnsi="Arial" w:cs="Arial"/>
          <w:b/>
          <w:bCs/>
          <w:iCs/>
        </w:rPr>
        <w:t>.</w:t>
      </w:r>
      <w:r>
        <w:rPr>
          <w:rFonts w:ascii="Arial" w:hAnsi="Arial" w:cs="Arial"/>
          <w:b/>
          <w:bCs/>
          <w:iCs/>
        </w:rPr>
        <w:t xml:space="preserve">- 1 </w:t>
      </w:r>
      <w:r w:rsidRPr="00F13F48">
        <w:rPr>
          <w:rFonts w:ascii="Arial" w:hAnsi="Arial" w:cs="Arial"/>
        </w:rPr>
        <w:t xml:space="preserve">Evoluţia </w:t>
      </w:r>
      <w:r>
        <w:rPr>
          <w:rFonts w:ascii="Arial" w:hAnsi="Arial" w:cs="Arial"/>
        </w:rPr>
        <w:t>concentrațiilor de azotați și fosfor total din Lacuri</w:t>
      </w:r>
    </w:p>
    <w:p w:rsidR="00691934" w:rsidRDefault="00691934" w:rsidP="00691934">
      <w:pPr>
        <w:spacing w:line="60" w:lineRule="atLeast"/>
        <w:jc w:val="both"/>
        <w:outlineLvl w:val="0"/>
        <w:rPr>
          <w:rFonts w:ascii="Arial" w:hAnsi="Arial" w:cs="Arial"/>
          <w:b/>
          <w:bCs/>
          <w:noProof/>
        </w:rPr>
      </w:pPr>
    </w:p>
    <w:p w:rsidR="00691934" w:rsidRPr="00F13F48" w:rsidRDefault="00691934" w:rsidP="00691934">
      <w:pPr>
        <w:pStyle w:val="Default"/>
        <w:rPr>
          <w:rFonts w:ascii="Arial" w:hAnsi="Arial" w:cs="Arial"/>
          <w:i/>
          <w:iCs/>
          <w:color w:val="auto"/>
          <w:u w:val="single"/>
        </w:rPr>
      </w:pPr>
      <w:r w:rsidRPr="00F13F48">
        <w:rPr>
          <w:rFonts w:ascii="Arial" w:hAnsi="Arial" w:cs="Arial"/>
          <w:b/>
          <w:bCs/>
          <w:i/>
          <w:iCs/>
          <w:color w:val="auto"/>
          <w:u w:val="single"/>
        </w:rPr>
        <w:t xml:space="preserve">II.2.4. Politici, acţiuni şi măsuri privind îmbunătăţirea stării de calitate a apelor </w:t>
      </w:r>
    </w:p>
    <w:p w:rsidR="00691934" w:rsidRPr="00246AFE" w:rsidRDefault="00691934" w:rsidP="005E6B2E">
      <w:pPr>
        <w:pStyle w:val="Default"/>
        <w:widowControl w:val="0"/>
        <w:numPr>
          <w:ilvl w:val="0"/>
          <w:numId w:val="22"/>
        </w:numPr>
        <w:rPr>
          <w:rFonts w:ascii="Arial" w:hAnsi="Arial" w:cs="Arial"/>
          <w:color w:val="auto"/>
        </w:rPr>
      </w:pPr>
    </w:p>
    <w:p w:rsidR="00691934" w:rsidRPr="00246AFE" w:rsidRDefault="00691934" w:rsidP="005E6B2E">
      <w:pPr>
        <w:pStyle w:val="Default"/>
        <w:widowControl w:val="0"/>
        <w:numPr>
          <w:ilvl w:val="0"/>
          <w:numId w:val="22"/>
        </w:numPr>
        <w:rPr>
          <w:rFonts w:ascii="Arial" w:hAnsi="Arial" w:cs="Arial"/>
          <w:color w:val="auto"/>
        </w:rPr>
      </w:pPr>
      <w:r w:rsidRPr="00E63F17">
        <w:rPr>
          <w:rFonts w:ascii="Arial" w:hAnsi="Arial" w:cs="Arial"/>
          <w:bCs/>
          <w:iCs/>
        </w:rPr>
        <w:t>În vederea</w:t>
      </w:r>
      <w:r>
        <w:rPr>
          <w:rFonts w:ascii="Arial" w:hAnsi="Arial" w:cs="Arial"/>
          <w:bCs/>
          <w:iCs/>
        </w:rPr>
        <w:t>:</w:t>
      </w:r>
    </w:p>
    <w:p w:rsidR="00691934" w:rsidRPr="00246AFE" w:rsidRDefault="00691934" w:rsidP="005E6B2E">
      <w:pPr>
        <w:pStyle w:val="Default"/>
        <w:widowControl w:val="0"/>
        <w:numPr>
          <w:ilvl w:val="0"/>
          <w:numId w:val="23"/>
        </w:numPr>
        <w:rPr>
          <w:rFonts w:ascii="Arial" w:hAnsi="Arial" w:cs="Arial"/>
          <w:color w:val="auto"/>
        </w:rPr>
      </w:pPr>
      <w:r w:rsidRPr="00E63F17">
        <w:rPr>
          <w:rFonts w:ascii="Arial" w:hAnsi="Arial" w:cs="Arial"/>
          <w:bCs/>
          <w:iCs/>
        </w:rPr>
        <w:t xml:space="preserve"> utilizării şi gestionării eficiente și durabile a resurselor de apă</w:t>
      </w:r>
    </w:p>
    <w:p w:rsidR="00691934" w:rsidRPr="00F13F48" w:rsidRDefault="00691934" w:rsidP="005E6B2E">
      <w:pPr>
        <w:pStyle w:val="Default"/>
        <w:widowControl w:val="0"/>
        <w:numPr>
          <w:ilvl w:val="0"/>
          <w:numId w:val="23"/>
        </w:numPr>
        <w:rPr>
          <w:rFonts w:ascii="Arial" w:hAnsi="Arial" w:cs="Arial"/>
          <w:color w:val="auto"/>
        </w:rPr>
      </w:pPr>
      <w:r w:rsidRPr="00E63F17">
        <w:rPr>
          <w:rFonts w:ascii="Arial" w:hAnsi="Arial" w:cs="Arial"/>
          <w:bCs/>
          <w:iCs/>
        </w:rPr>
        <w:t xml:space="preserve"> </w:t>
      </w:r>
      <w:r w:rsidRPr="00F13F48">
        <w:rPr>
          <w:rFonts w:ascii="Arial" w:hAnsi="Arial" w:cs="Arial"/>
          <w:color w:val="auto"/>
        </w:rPr>
        <w:t xml:space="preserve">protecţiei, îmbunătăţirii şi restaurării corpurilor de apă; </w:t>
      </w:r>
    </w:p>
    <w:p w:rsidR="00691934" w:rsidRPr="00F13F48" w:rsidRDefault="00691934" w:rsidP="005E6B2E">
      <w:pPr>
        <w:pStyle w:val="Default"/>
        <w:widowControl w:val="0"/>
        <w:numPr>
          <w:ilvl w:val="0"/>
          <w:numId w:val="23"/>
        </w:numPr>
        <w:rPr>
          <w:rFonts w:ascii="Arial" w:hAnsi="Arial" w:cs="Arial"/>
          <w:color w:val="auto"/>
        </w:rPr>
      </w:pPr>
      <w:r w:rsidRPr="00F13F48">
        <w:rPr>
          <w:rFonts w:ascii="Arial" w:hAnsi="Arial" w:cs="Arial"/>
          <w:color w:val="auto"/>
        </w:rPr>
        <w:t xml:space="preserve"> limitării evacuărilor de substanţe prioritare/prioritar periculoase în apele de suprafaţă; </w:t>
      </w:r>
    </w:p>
    <w:p w:rsidR="00691934" w:rsidRDefault="00691934" w:rsidP="005E6B2E">
      <w:pPr>
        <w:pStyle w:val="NormalWeb"/>
        <w:numPr>
          <w:ilvl w:val="0"/>
          <w:numId w:val="23"/>
        </w:numPr>
        <w:spacing w:before="0" w:beforeAutospacing="0"/>
        <w:jc w:val="left"/>
        <w:rPr>
          <w:rFonts w:ascii="Arial" w:hAnsi="Arial" w:cs="Arial"/>
          <w:bCs/>
          <w:iCs/>
        </w:rPr>
      </w:pPr>
      <w:r w:rsidRPr="00F13F48">
        <w:rPr>
          <w:rFonts w:ascii="Arial" w:hAnsi="Arial" w:cs="Arial"/>
        </w:rPr>
        <w:t xml:space="preserve"> atingerii standardelor de calitate şi obiectivelor specifice prevăzute de legislaţia europeană în domeniul apelor.</w:t>
      </w:r>
      <w:r w:rsidRPr="00E63F17">
        <w:rPr>
          <w:rFonts w:ascii="Arial" w:hAnsi="Arial" w:cs="Arial"/>
          <w:bCs/>
          <w:iCs/>
        </w:rPr>
        <w:t xml:space="preserve"> </w:t>
      </w:r>
    </w:p>
    <w:p w:rsidR="00691934" w:rsidRDefault="00691934" w:rsidP="00691934">
      <w:pPr>
        <w:pStyle w:val="NormalWeb"/>
        <w:spacing w:before="0" w:beforeAutospacing="0"/>
        <w:rPr>
          <w:rFonts w:ascii="Arial" w:hAnsi="Arial" w:cs="Arial"/>
          <w:bCs/>
          <w:iCs/>
        </w:rPr>
      </w:pPr>
    </w:p>
    <w:p w:rsidR="00691934" w:rsidRDefault="00691934" w:rsidP="00691934">
      <w:pPr>
        <w:pStyle w:val="NormalWeb"/>
        <w:spacing w:before="0" w:beforeAutospacing="0"/>
        <w:rPr>
          <w:rFonts w:ascii="Arial" w:hAnsi="Arial" w:cs="Arial"/>
        </w:rPr>
      </w:pPr>
      <w:r>
        <w:rPr>
          <w:rFonts w:ascii="Arial" w:hAnsi="Arial" w:cs="Arial"/>
          <w:bCs/>
          <w:iCs/>
        </w:rPr>
        <w:t>Î</w:t>
      </w:r>
      <w:r w:rsidRPr="00E63F17">
        <w:rPr>
          <w:rFonts w:ascii="Arial" w:hAnsi="Arial" w:cs="Arial"/>
          <w:bCs/>
          <w:iCs/>
        </w:rPr>
        <w:t xml:space="preserve">n județul Brăila se află în implementare </w:t>
      </w:r>
      <w:r w:rsidRPr="006546F0">
        <w:rPr>
          <w:rStyle w:val="Strong"/>
          <w:rFonts w:ascii="Arial" w:hAnsi="Arial" w:cs="Arial"/>
        </w:rPr>
        <w:t>Proiectul POS Mediu</w:t>
      </w:r>
      <w:r w:rsidRPr="00E63F17">
        <w:rPr>
          <w:rFonts w:ascii="Arial" w:hAnsi="Arial" w:cs="Arial"/>
        </w:rPr>
        <w:t xml:space="preserve">l: </w:t>
      </w:r>
      <w:r w:rsidRPr="00E63F17">
        <w:rPr>
          <w:rFonts w:ascii="Arial" w:hAnsi="Arial" w:cs="Arial"/>
          <w:b/>
        </w:rPr>
        <w:t>"Reabilitarea și modernizarea sistemelor de apă și ap</w:t>
      </w:r>
      <w:r>
        <w:rPr>
          <w:rFonts w:ascii="Arial" w:hAnsi="Arial" w:cs="Arial"/>
          <w:b/>
        </w:rPr>
        <w:t>ă</w:t>
      </w:r>
      <w:r w:rsidRPr="00E63F17">
        <w:rPr>
          <w:rFonts w:ascii="Arial" w:hAnsi="Arial" w:cs="Arial"/>
          <w:b/>
        </w:rPr>
        <w:t xml:space="preserve"> uzată în judetul Braila"</w:t>
      </w:r>
      <w:r>
        <w:rPr>
          <w:rFonts w:ascii="Arial" w:hAnsi="Arial" w:cs="Arial"/>
          <w:b/>
        </w:rPr>
        <w:t>.</w:t>
      </w:r>
      <w:r w:rsidRPr="00E63F17">
        <w:rPr>
          <w:rFonts w:ascii="Arial" w:hAnsi="Arial" w:cs="Arial"/>
        </w:rPr>
        <w:t xml:space="preserve">  </w:t>
      </w:r>
    </w:p>
    <w:p w:rsidR="00691934" w:rsidRDefault="00691934" w:rsidP="00691934">
      <w:pPr>
        <w:pStyle w:val="NormalWeb"/>
        <w:spacing w:before="0" w:beforeAutospacing="0"/>
        <w:rPr>
          <w:rFonts w:ascii="Arial" w:hAnsi="Arial" w:cs="Arial"/>
        </w:rPr>
      </w:pPr>
      <w:r w:rsidRPr="00E63F17">
        <w:rPr>
          <w:rFonts w:ascii="Arial" w:hAnsi="Arial" w:cs="Arial"/>
        </w:rPr>
        <w:t> Beneficiarul Proiectului: S.C.Compania de Utilitați Publice Dunarea Brăila S.A.</w:t>
      </w:r>
    </w:p>
    <w:p w:rsidR="00691934" w:rsidRDefault="00691934" w:rsidP="00691934">
      <w:pPr>
        <w:pStyle w:val="NormalWeb"/>
        <w:spacing w:before="0" w:beforeAutospacing="0"/>
        <w:rPr>
          <w:rFonts w:ascii="Arial" w:hAnsi="Arial" w:cs="Arial"/>
        </w:rPr>
      </w:pPr>
    </w:p>
    <w:p w:rsidR="00691934" w:rsidRPr="00E63F17" w:rsidRDefault="00691934" w:rsidP="00691934">
      <w:pPr>
        <w:pStyle w:val="NormalWeb"/>
        <w:spacing w:before="0" w:beforeAutospacing="0"/>
        <w:rPr>
          <w:rFonts w:ascii="Arial" w:hAnsi="Arial" w:cs="Arial"/>
        </w:rPr>
      </w:pPr>
      <w:r>
        <w:rPr>
          <w:rFonts w:ascii="Arial" w:hAnsi="Arial" w:cs="Arial"/>
        </w:rPr>
        <w:t xml:space="preserve"> Elementele definitorii și stadiul de realizare sunt prezentate în tabelul de mai jos:</w:t>
      </w:r>
    </w:p>
    <w:p w:rsidR="00691934" w:rsidRPr="00E63F17" w:rsidRDefault="00691934" w:rsidP="00691934">
      <w:pPr>
        <w:pStyle w:val="NormalWeb"/>
        <w:spacing w:before="0" w:beforeAutospacing="0"/>
        <w:rPr>
          <w:rFonts w:ascii="Arial" w:hAnsi="Arial" w:cs="Arial"/>
        </w:rPr>
      </w:pPr>
    </w:p>
    <w:p w:rsidR="00691934" w:rsidRPr="00246AFE" w:rsidRDefault="00691934" w:rsidP="00691934">
      <w:pPr>
        <w:spacing w:line="60" w:lineRule="atLeast"/>
        <w:jc w:val="both"/>
        <w:outlineLvl w:val="0"/>
        <w:rPr>
          <w:rFonts w:ascii="Arial" w:hAnsi="Arial" w:cs="Arial"/>
          <w:b/>
        </w:rPr>
      </w:pPr>
      <w:r w:rsidRPr="00246AFE">
        <w:rPr>
          <w:rFonts w:ascii="Arial" w:hAnsi="Arial" w:cs="Arial"/>
          <w:b/>
        </w:rPr>
        <w:t xml:space="preserve">Tabel </w:t>
      </w:r>
      <w:r w:rsidRPr="00246AFE">
        <w:rPr>
          <w:rFonts w:ascii="Arial" w:hAnsi="Arial" w:cs="Arial"/>
          <w:b/>
          <w:bCs/>
          <w:iCs/>
        </w:rPr>
        <w:t>II.2.4. - 1</w:t>
      </w:r>
    </w:p>
    <w:tbl>
      <w:tblPr>
        <w:tblStyle w:val="TableGrid"/>
        <w:tblW w:w="9606" w:type="dxa"/>
        <w:tblLook w:val="04A0"/>
      </w:tblPr>
      <w:tblGrid>
        <w:gridCol w:w="857"/>
        <w:gridCol w:w="6197"/>
        <w:gridCol w:w="2552"/>
      </w:tblGrid>
      <w:tr w:rsidR="00691934" w:rsidRPr="006546F0" w:rsidTr="00012F90">
        <w:tc>
          <w:tcPr>
            <w:tcW w:w="857" w:type="dxa"/>
            <w:shd w:val="clear" w:color="auto" w:fill="CCC0D9" w:themeFill="accent4" w:themeFillTint="66"/>
            <w:vAlign w:val="center"/>
          </w:tcPr>
          <w:p w:rsidR="00691934" w:rsidRPr="006546F0" w:rsidRDefault="00691934" w:rsidP="00012F90">
            <w:pPr>
              <w:jc w:val="center"/>
              <w:rPr>
                <w:rFonts w:ascii="Arial" w:hAnsi="Arial" w:cs="Arial"/>
              </w:rPr>
            </w:pPr>
            <w:r w:rsidRPr="006546F0">
              <w:rPr>
                <w:rStyle w:val="Strong"/>
                <w:rFonts w:ascii="Arial" w:hAnsi="Arial" w:cs="Arial"/>
              </w:rPr>
              <w:t>Nr.crt</w:t>
            </w:r>
          </w:p>
        </w:tc>
        <w:tc>
          <w:tcPr>
            <w:tcW w:w="6197" w:type="dxa"/>
            <w:shd w:val="clear" w:color="auto" w:fill="CCC0D9" w:themeFill="accent4" w:themeFillTint="66"/>
            <w:vAlign w:val="center"/>
          </w:tcPr>
          <w:p w:rsidR="00691934" w:rsidRPr="006546F0" w:rsidRDefault="00691934" w:rsidP="00012F90">
            <w:pPr>
              <w:pStyle w:val="x95"/>
              <w:spacing w:before="0" w:beforeAutospacing="0" w:after="0" w:afterAutospacing="0"/>
              <w:jc w:val="center"/>
              <w:rPr>
                <w:rFonts w:ascii="Arial" w:hAnsi="Arial" w:cs="Arial"/>
              </w:rPr>
            </w:pPr>
            <w:r w:rsidRPr="006546F0">
              <w:rPr>
                <w:rStyle w:val="Strong"/>
                <w:rFonts w:ascii="Arial" w:hAnsi="Arial" w:cs="Arial"/>
              </w:rPr>
              <w:t>Descrierea lucr</w:t>
            </w:r>
            <w:r>
              <w:rPr>
                <w:rStyle w:val="Strong"/>
                <w:rFonts w:ascii="Arial" w:hAnsi="Arial" w:cs="Arial"/>
              </w:rPr>
              <w:t>ă</w:t>
            </w:r>
            <w:r w:rsidRPr="006546F0">
              <w:rPr>
                <w:rStyle w:val="Strong"/>
                <w:rFonts w:ascii="Arial" w:hAnsi="Arial" w:cs="Arial"/>
              </w:rPr>
              <w:t xml:space="preserve">rilor </w:t>
            </w:r>
            <w:r>
              <w:rPr>
                <w:rStyle w:val="Strong"/>
                <w:rFonts w:ascii="Arial" w:hAnsi="Arial" w:cs="Arial"/>
              </w:rPr>
              <w:t>ș</w:t>
            </w:r>
            <w:r w:rsidRPr="006546F0">
              <w:rPr>
                <w:rStyle w:val="Strong"/>
                <w:rFonts w:ascii="Arial" w:hAnsi="Arial" w:cs="Arial"/>
              </w:rPr>
              <w:t>i a serviciilor care fac obiectul Proiectului POS Mediu</w:t>
            </w:r>
          </w:p>
        </w:tc>
        <w:tc>
          <w:tcPr>
            <w:tcW w:w="2552" w:type="dxa"/>
            <w:shd w:val="clear" w:color="auto" w:fill="CCC0D9" w:themeFill="accent4" w:themeFillTint="66"/>
            <w:vAlign w:val="center"/>
          </w:tcPr>
          <w:p w:rsidR="00691934" w:rsidRDefault="00691934" w:rsidP="00012F90">
            <w:pPr>
              <w:pStyle w:val="x95"/>
              <w:spacing w:before="0" w:beforeAutospacing="0" w:after="0" w:afterAutospacing="0"/>
              <w:jc w:val="center"/>
              <w:rPr>
                <w:rStyle w:val="Strong"/>
                <w:rFonts w:ascii="Arial" w:hAnsi="Arial" w:cs="Arial"/>
              </w:rPr>
            </w:pPr>
            <w:r w:rsidRPr="006546F0">
              <w:rPr>
                <w:rStyle w:val="Strong"/>
                <w:rFonts w:ascii="Arial" w:hAnsi="Arial" w:cs="Arial"/>
              </w:rPr>
              <w:t xml:space="preserve">Stadiul contractelor la data de </w:t>
            </w:r>
          </w:p>
          <w:p w:rsidR="00691934" w:rsidRPr="006546F0" w:rsidRDefault="00691934" w:rsidP="00012F90">
            <w:pPr>
              <w:pStyle w:val="x95"/>
              <w:spacing w:before="0" w:beforeAutospacing="0" w:after="0" w:afterAutospacing="0"/>
              <w:jc w:val="center"/>
              <w:rPr>
                <w:rFonts w:ascii="Arial" w:hAnsi="Arial" w:cs="Arial"/>
              </w:rPr>
            </w:pPr>
            <w:r w:rsidRPr="006546F0">
              <w:rPr>
                <w:rStyle w:val="Strong"/>
                <w:rFonts w:ascii="Arial" w:hAnsi="Arial" w:cs="Arial"/>
              </w:rPr>
              <w:t>31.12.2014</w:t>
            </w:r>
          </w:p>
        </w:tc>
      </w:tr>
      <w:tr w:rsidR="00691934" w:rsidRPr="006546F0" w:rsidTr="00012F90">
        <w:trPr>
          <w:trHeight w:val="702"/>
        </w:trPr>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1</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Style w:val="Strong"/>
                <w:rFonts w:ascii="Arial" w:hAnsi="Arial" w:cs="Arial"/>
              </w:rPr>
              <w:t xml:space="preserve">Proiect: Reabilitarea </w:t>
            </w:r>
            <w:r>
              <w:rPr>
                <w:rStyle w:val="Strong"/>
                <w:rFonts w:ascii="Arial" w:hAnsi="Arial" w:cs="Arial"/>
              </w:rPr>
              <w:t>ș</w:t>
            </w:r>
            <w:r w:rsidRPr="006546F0">
              <w:rPr>
                <w:rStyle w:val="Strong"/>
                <w:rFonts w:ascii="Arial" w:hAnsi="Arial" w:cs="Arial"/>
              </w:rPr>
              <w:t>i modernizarea sistemelor de ap</w:t>
            </w:r>
            <w:r>
              <w:rPr>
                <w:rStyle w:val="Strong"/>
                <w:rFonts w:ascii="Arial" w:hAnsi="Arial" w:cs="Arial"/>
              </w:rPr>
              <w:t>ă</w:t>
            </w:r>
            <w:r w:rsidRPr="006546F0">
              <w:rPr>
                <w:rStyle w:val="Strong"/>
                <w:rFonts w:ascii="Arial" w:hAnsi="Arial" w:cs="Arial"/>
              </w:rPr>
              <w:t xml:space="preserve"> </w:t>
            </w:r>
            <w:r>
              <w:rPr>
                <w:rStyle w:val="Strong"/>
                <w:rFonts w:ascii="Arial" w:hAnsi="Arial" w:cs="Arial"/>
              </w:rPr>
              <w:t>ș</w:t>
            </w:r>
            <w:r w:rsidRPr="006546F0">
              <w:rPr>
                <w:rStyle w:val="Strong"/>
                <w:rFonts w:ascii="Arial" w:hAnsi="Arial" w:cs="Arial"/>
              </w:rPr>
              <w:t>i ap</w:t>
            </w:r>
            <w:r>
              <w:rPr>
                <w:rStyle w:val="Strong"/>
                <w:rFonts w:ascii="Arial" w:hAnsi="Arial" w:cs="Arial"/>
              </w:rPr>
              <w:t>ă</w:t>
            </w:r>
            <w:r w:rsidRPr="006546F0">
              <w:rPr>
                <w:rStyle w:val="Strong"/>
                <w:rFonts w:ascii="Arial" w:hAnsi="Arial" w:cs="Arial"/>
              </w:rPr>
              <w:t xml:space="preserve"> uzat</w:t>
            </w:r>
            <w:r>
              <w:rPr>
                <w:rStyle w:val="Strong"/>
                <w:rFonts w:ascii="Arial" w:hAnsi="Arial" w:cs="Arial"/>
              </w:rPr>
              <w:t>ă</w:t>
            </w:r>
            <w:r w:rsidRPr="006546F0">
              <w:rPr>
                <w:rStyle w:val="Strong"/>
                <w:rFonts w:ascii="Arial" w:hAnsi="Arial" w:cs="Arial"/>
              </w:rPr>
              <w:t xml:space="preserve"> </w:t>
            </w:r>
            <w:r>
              <w:rPr>
                <w:rStyle w:val="Strong"/>
                <w:rFonts w:ascii="Arial" w:hAnsi="Arial" w:cs="Arial"/>
              </w:rPr>
              <w:t>î</w:t>
            </w:r>
            <w:r w:rsidRPr="006546F0">
              <w:rPr>
                <w:rStyle w:val="Strong"/>
                <w:rFonts w:ascii="Arial" w:hAnsi="Arial" w:cs="Arial"/>
              </w:rPr>
              <w:t>n jude</w:t>
            </w:r>
            <w:r>
              <w:rPr>
                <w:rStyle w:val="Strong"/>
                <w:rFonts w:ascii="Arial" w:hAnsi="Arial" w:cs="Arial"/>
              </w:rPr>
              <w:t>ț</w:t>
            </w:r>
            <w:r w:rsidRPr="006546F0">
              <w:rPr>
                <w:rStyle w:val="Strong"/>
                <w:rFonts w:ascii="Arial" w:hAnsi="Arial" w:cs="Arial"/>
              </w:rPr>
              <w:t>ul Br</w:t>
            </w:r>
            <w:r>
              <w:rPr>
                <w:rStyle w:val="Strong"/>
                <w:rFonts w:ascii="Arial" w:hAnsi="Arial" w:cs="Arial"/>
              </w:rPr>
              <w:t>ă</w:t>
            </w:r>
            <w:r w:rsidRPr="006546F0">
              <w:rPr>
                <w:rStyle w:val="Strong"/>
                <w:rFonts w:ascii="Arial" w:hAnsi="Arial" w:cs="Arial"/>
              </w:rPr>
              <w:t>ila</w:t>
            </w:r>
          </w:p>
        </w:tc>
        <w:tc>
          <w:tcPr>
            <w:tcW w:w="2552" w:type="dxa"/>
            <w:shd w:val="clear" w:color="auto" w:fill="E5DFEC" w:themeFill="accent4" w:themeFillTint="33"/>
            <w:vAlign w:val="center"/>
          </w:tcPr>
          <w:p w:rsidR="00691934" w:rsidRPr="004113A7" w:rsidRDefault="00691934" w:rsidP="00012F90">
            <w:pPr>
              <w:pStyle w:val="x95"/>
              <w:spacing w:before="0" w:beforeAutospacing="0" w:after="0" w:afterAutospacing="0"/>
              <w:jc w:val="center"/>
              <w:rPr>
                <w:rFonts w:ascii="Arial" w:hAnsi="Arial" w:cs="Arial"/>
              </w:rPr>
            </w:pPr>
            <w:r>
              <w:rPr>
                <w:rStyle w:val="Strong"/>
                <w:rFonts w:ascii="Arial" w:hAnsi="Arial" w:cs="Arial"/>
              </w:rPr>
              <w:t>Î</w:t>
            </w:r>
            <w:r w:rsidRPr="004113A7">
              <w:rPr>
                <w:rStyle w:val="Strong"/>
                <w:rFonts w:ascii="Arial" w:hAnsi="Arial" w:cs="Arial"/>
              </w:rPr>
              <w:t>n derulare</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2</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Fonts w:ascii="Arial" w:hAnsi="Arial" w:cs="Arial"/>
              </w:rPr>
              <w:t>Asisten</w:t>
            </w:r>
            <w:r>
              <w:rPr>
                <w:rFonts w:ascii="Arial" w:hAnsi="Arial" w:cs="Arial"/>
              </w:rPr>
              <w:t>ț</w:t>
            </w:r>
            <w:r w:rsidRPr="006546F0">
              <w:rPr>
                <w:rFonts w:ascii="Arial" w:hAnsi="Arial" w:cs="Arial"/>
              </w:rPr>
              <w:t>a tehnic</w:t>
            </w:r>
            <w:r>
              <w:rPr>
                <w:rFonts w:ascii="Arial" w:hAnsi="Arial" w:cs="Arial"/>
              </w:rPr>
              <w:t>ă</w:t>
            </w:r>
            <w:r w:rsidRPr="006546F0">
              <w:rPr>
                <w:rFonts w:ascii="Arial" w:hAnsi="Arial" w:cs="Arial"/>
              </w:rPr>
              <w:t xml:space="preserve"> pentru Managementul Proiectului </w:t>
            </w:r>
            <w:r>
              <w:rPr>
                <w:rFonts w:ascii="Arial" w:hAnsi="Arial" w:cs="Arial"/>
              </w:rPr>
              <w:t>ș</w:t>
            </w:r>
            <w:r w:rsidRPr="006546F0">
              <w:rPr>
                <w:rFonts w:ascii="Arial" w:hAnsi="Arial" w:cs="Arial"/>
              </w:rPr>
              <w:t>i Publicitate</w:t>
            </w:r>
          </w:p>
        </w:tc>
        <w:tc>
          <w:tcPr>
            <w:tcW w:w="2552" w:type="dxa"/>
            <w:shd w:val="clear" w:color="auto" w:fill="E5DFEC" w:themeFill="accent4" w:themeFillTint="33"/>
            <w:vAlign w:val="center"/>
          </w:tcPr>
          <w:p w:rsidR="00691934" w:rsidRPr="004113A7" w:rsidRDefault="00691934" w:rsidP="00012F90">
            <w:pPr>
              <w:pStyle w:val="x95"/>
              <w:spacing w:before="0" w:beforeAutospacing="0" w:after="0" w:afterAutospacing="0"/>
              <w:jc w:val="center"/>
              <w:rPr>
                <w:rFonts w:ascii="Arial" w:hAnsi="Arial" w:cs="Arial"/>
              </w:rPr>
            </w:pPr>
            <w:r>
              <w:rPr>
                <w:rStyle w:val="Strong"/>
                <w:rFonts w:ascii="Arial" w:hAnsi="Arial" w:cs="Arial"/>
              </w:rPr>
              <w:t>Î</w:t>
            </w:r>
            <w:r w:rsidRPr="004113A7">
              <w:rPr>
                <w:rStyle w:val="Strong"/>
                <w:rFonts w:ascii="Arial" w:hAnsi="Arial" w:cs="Arial"/>
              </w:rPr>
              <w:t>n derulare</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3</w:t>
            </w:r>
          </w:p>
        </w:tc>
        <w:tc>
          <w:tcPr>
            <w:tcW w:w="6197" w:type="dxa"/>
            <w:shd w:val="clear" w:color="auto" w:fill="E5DFEC" w:themeFill="accent4" w:themeFillTint="33"/>
            <w:vAlign w:val="center"/>
          </w:tcPr>
          <w:p w:rsidR="00691934" w:rsidRPr="006546F0" w:rsidRDefault="00691934" w:rsidP="00012F90">
            <w:pPr>
              <w:rPr>
                <w:rFonts w:ascii="Arial" w:hAnsi="Arial" w:cs="Arial"/>
              </w:rPr>
            </w:pPr>
            <w:r w:rsidRPr="006546F0">
              <w:rPr>
                <w:rFonts w:ascii="Arial" w:hAnsi="Arial" w:cs="Arial"/>
              </w:rPr>
              <w:t>Reabilitare captare Chiscani, sta</w:t>
            </w:r>
            <w:r>
              <w:rPr>
                <w:rFonts w:ascii="Arial" w:hAnsi="Arial" w:cs="Arial"/>
              </w:rPr>
              <w:t>ț</w:t>
            </w:r>
            <w:r w:rsidRPr="006546F0">
              <w:rPr>
                <w:rFonts w:ascii="Arial" w:hAnsi="Arial" w:cs="Arial"/>
              </w:rPr>
              <w:t>ie tratare Chiscani, sta</w:t>
            </w:r>
            <w:r>
              <w:rPr>
                <w:rFonts w:ascii="Arial" w:hAnsi="Arial" w:cs="Arial"/>
              </w:rPr>
              <w:t>ț</w:t>
            </w:r>
            <w:r w:rsidRPr="006546F0">
              <w:rPr>
                <w:rFonts w:ascii="Arial" w:hAnsi="Arial" w:cs="Arial"/>
              </w:rPr>
              <w:t xml:space="preserve">ii de pompare </w:t>
            </w:r>
            <w:r>
              <w:rPr>
                <w:rFonts w:ascii="Arial" w:hAnsi="Arial" w:cs="Arial"/>
              </w:rPr>
              <w:t>ș</w:t>
            </w:r>
            <w:r w:rsidRPr="006546F0">
              <w:rPr>
                <w:rFonts w:ascii="Arial" w:hAnsi="Arial" w:cs="Arial"/>
              </w:rPr>
              <w:t xml:space="preserve">i de clorinare, reabilitare </w:t>
            </w:r>
            <w:r>
              <w:rPr>
                <w:rFonts w:ascii="Arial" w:hAnsi="Arial" w:cs="Arial"/>
              </w:rPr>
              <w:t>ș</w:t>
            </w:r>
            <w:r w:rsidRPr="006546F0">
              <w:rPr>
                <w:rFonts w:ascii="Arial" w:hAnsi="Arial" w:cs="Arial"/>
              </w:rPr>
              <w:t>i extindere re</w:t>
            </w:r>
            <w:r>
              <w:rPr>
                <w:rFonts w:ascii="Arial" w:hAnsi="Arial" w:cs="Arial"/>
              </w:rPr>
              <w:t>ț</w:t>
            </w:r>
            <w:r w:rsidRPr="006546F0">
              <w:rPr>
                <w:rFonts w:ascii="Arial" w:hAnsi="Arial" w:cs="Arial"/>
              </w:rPr>
              <w:t>ele de ap</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canalizare pe str</w:t>
            </w:r>
            <w:r>
              <w:rPr>
                <w:rFonts w:ascii="Arial" w:hAnsi="Arial" w:cs="Arial"/>
              </w:rPr>
              <w:t>ă</w:t>
            </w:r>
            <w:r w:rsidRPr="006546F0">
              <w:rPr>
                <w:rFonts w:ascii="Arial" w:hAnsi="Arial" w:cs="Arial"/>
              </w:rPr>
              <w:t xml:space="preserve">zi comune- </w:t>
            </w:r>
            <w:r w:rsidRPr="006546F0">
              <w:rPr>
                <w:rStyle w:val="Strong"/>
                <w:rFonts w:ascii="Arial" w:hAnsi="Arial" w:cs="Arial"/>
              </w:rPr>
              <w:t>Aglomerarea Br</w:t>
            </w:r>
            <w:r>
              <w:rPr>
                <w:rStyle w:val="Strong"/>
                <w:rFonts w:ascii="Arial" w:hAnsi="Arial" w:cs="Arial"/>
              </w:rPr>
              <w:t>ă</w:t>
            </w:r>
            <w:r w:rsidRPr="006546F0">
              <w:rPr>
                <w:rStyle w:val="Strong"/>
                <w:rFonts w:ascii="Arial" w:hAnsi="Arial" w:cs="Arial"/>
              </w:rPr>
              <w:t>ila</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Pr>
                <w:rStyle w:val="Strong"/>
                <w:rFonts w:ascii="Arial" w:hAnsi="Arial" w:cs="Arial"/>
              </w:rPr>
              <w:t>Î</w:t>
            </w:r>
            <w:r w:rsidRPr="004113A7">
              <w:rPr>
                <w:rStyle w:val="Strong"/>
                <w:rFonts w:ascii="Arial" w:hAnsi="Arial" w:cs="Arial"/>
              </w:rPr>
              <w:t>n derulare</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4</w:t>
            </w:r>
          </w:p>
        </w:tc>
        <w:tc>
          <w:tcPr>
            <w:tcW w:w="6197" w:type="dxa"/>
            <w:shd w:val="clear" w:color="auto" w:fill="E5DFEC" w:themeFill="accent4" w:themeFillTint="33"/>
            <w:vAlign w:val="center"/>
          </w:tcPr>
          <w:p w:rsidR="00691934" w:rsidRPr="009E182F" w:rsidRDefault="00691934" w:rsidP="00012F90">
            <w:pPr>
              <w:pStyle w:val="x95"/>
              <w:spacing w:before="0" w:beforeAutospacing="0" w:after="0" w:afterAutospacing="0"/>
              <w:rPr>
                <w:rFonts w:ascii="Arial" w:hAnsi="Arial" w:cs="Arial"/>
                <w:b/>
                <w:bCs/>
              </w:rPr>
            </w:pPr>
            <w:r w:rsidRPr="006546F0">
              <w:rPr>
                <w:rFonts w:ascii="Arial" w:hAnsi="Arial" w:cs="Arial"/>
              </w:rPr>
              <w:t xml:space="preserve">Reabilitare captare Gropeni </w:t>
            </w:r>
            <w:r>
              <w:rPr>
                <w:rFonts w:ascii="Arial" w:hAnsi="Arial" w:cs="Arial"/>
              </w:rPr>
              <w:t>ș</w:t>
            </w:r>
            <w:r w:rsidRPr="006546F0">
              <w:rPr>
                <w:rFonts w:ascii="Arial" w:hAnsi="Arial" w:cs="Arial"/>
              </w:rPr>
              <w:t>i sta</w:t>
            </w:r>
            <w:r>
              <w:rPr>
                <w:rFonts w:ascii="Arial" w:hAnsi="Arial" w:cs="Arial"/>
              </w:rPr>
              <w:t>ț</w:t>
            </w:r>
            <w:r w:rsidRPr="006546F0">
              <w:rPr>
                <w:rFonts w:ascii="Arial" w:hAnsi="Arial" w:cs="Arial"/>
              </w:rPr>
              <w:t>ie nou</w:t>
            </w:r>
            <w:r>
              <w:rPr>
                <w:rFonts w:ascii="Arial" w:hAnsi="Arial" w:cs="Arial"/>
              </w:rPr>
              <w:t>ă</w:t>
            </w:r>
            <w:r w:rsidRPr="006546F0">
              <w:rPr>
                <w:rFonts w:ascii="Arial" w:hAnsi="Arial" w:cs="Arial"/>
              </w:rPr>
              <w:t xml:space="preserve"> tratare, sta</w:t>
            </w:r>
            <w:r>
              <w:rPr>
                <w:rFonts w:ascii="Arial" w:hAnsi="Arial" w:cs="Arial"/>
              </w:rPr>
              <w:t>ț</w:t>
            </w:r>
            <w:r w:rsidRPr="006546F0">
              <w:rPr>
                <w:rFonts w:ascii="Arial" w:hAnsi="Arial" w:cs="Arial"/>
              </w:rPr>
              <w:t>ii pompare ap</w:t>
            </w:r>
            <w:r>
              <w:rPr>
                <w:rFonts w:ascii="Arial" w:hAnsi="Arial" w:cs="Arial"/>
              </w:rPr>
              <w:t>ă</w:t>
            </w:r>
            <w:r w:rsidRPr="006546F0">
              <w:rPr>
                <w:rFonts w:ascii="Arial" w:hAnsi="Arial" w:cs="Arial"/>
              </w:rPr>
              <w:t xml:space="preserve"> brut</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potabil</w:t>
            </w:r>
            <w:r>
              <w:rPr>
                <w:rFonts w:ascii="Arial" w:hAnsi="Arial" w:cs="Arial"/>
              </w:rPr>
              <w:t>ă</w:t>
            </w:r>
            <w:r w:rsidRPr="006546F0">
              <w:rPr>
                <w:rFonts w:ascii="Arial" w:hAnsi="Arial" w:cs="Arial"/>
              </w:rPr>
              <w:t>, conducte principale ap</w:t>
            </w:r>
            <w:r>
              <w:rPr>
                <w:rFonts w:ascii="Arial" w:hAnsi="Arial" w:cs="Arial"/>
              </w:rPr>
              <w:t>ă</w:t>
            </w:r>
            <w:r w:rsidRPr="006546F0">
              <w:rPr>
                <w:rFonts w:ascii="Arial" w:hAnsi="Arial" w:cs="Arial"/>
              </w:rPr>
              <w:t xml:space="preserve"> brut</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potabil</w:t>
            </w:r>
            <w:r>
              <w:rPr>
                <w:rFonts w:ascii="Arial" w:hAnsi="Arial" w:cs="Arial"/>
              </w:rPr>
              <w:t>ă</w:t>
            </w:r>
            <w:r w:rsidRPr="006546F0">
              <w:rPr>
                <w:rFonts w:ascii="Arial" w:hAnsi="Arial" w:cs="Arial"/>
              </w:rPr>
              <w:t xml:space="preserve">- </w:t>
            </w:r>
            <w:r w:rsidRPr="006546F0">
              <w:rPr>
                <w:rStyle w:val="Strong"/>
                <w:rFonts w:ascii="Arial" w:hAnsi="Arial" w:cs="Arial"/>
              </w:rPr>
              <w:t>Sistem Regional</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Pr>
                <w:rStyle w:val="Strong"/>
                <w:rFonts w:ascii="Arial" w:hAnsi="Arial" w:cs="Arial"/>
              </w:rPr>
              <w:t>Î</w:t>
            </w:r>
            <w:r w:rsidRPr="004113A7">
              <w:rPr>
                <w:rStyle w:val="Strong"/>
                <w:rFonts w:ascii="Arial" w:hAnsi="Arial" w:cs="Arial"/>
              </w:rPr>
              <w:t>n derulare</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5</w:t>
            </w:r>
          </w:p>
        </w:tc>
        <w:tc>
          <w:tcPr>
            <w:tcW w:w="6197" w:type="dxa"/>
            <w:shd w:val="clear" w:color="auto" w:fill="E5DFEC" w:themeFill="accent4" w:themeFillTint="33"/>
            <w:vAlign w:val="center"/>
          </w:tcPr>
          <w:p w:rsidR="00691934" w:rsidRPr="006546F0" w:rsidRDefault="00691934" w:rsidP="00012F90">
            <w:pPr>
              <w:rPr>
                <w:rFonts w:ascii="Arial" w:hAnsi="Arial" w:cs="Arial"/>
              </w:rPr>
            </w:pPr>
            <w:r>
              <w:rPr>
                <w:rFonts w:ascii="Arial" w:hAnsi="Arial" w:cs="Arial"/>
              </w:rPr>
              <w:t>Reabilitare ș</w:t>
            </w:r>
            <w:r w:rsidRPr="006546F0">
              <w:rPr>
                <w:rFonts w:ascii="Arial" w:hAnsi="Arial" w:cs="Arial"/>
              </w:rPr>
              <w:t>i extindere re</w:t>
            </w:r>
            <w:r>
              <w:rPr>
                <w:rFonts w:ascii="Arial" w:hAnsi="Arial" w:cs="Arial"/>
              </w:rPr>
              <w:t>ț</w:t>
            </w:r>
            <w:r w:rsidRPr="006546F0">
              <w:rPr>
                <w:rFonts w:ascii="Arial" w:hAnsi="Arial" w:cs="Arial"/>
              </w:rPr>
              <w:t>ele de ap</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canalizare pe str</w:t>
            </w:r>
            <w:r>
              <w:rPr>
                <w:rFonts w:ascii="Arial" w:hAnsi="Arial" w:cs="Arial"/>
              </w:rPr>
              <w:t>ă</w:t>
            </w:r>
            <w:r w:rsidRPr="006546F0">
              <w:rPr>
                <w:rFonts w:ascii="Arial" w:hAnsi="Arial" w:cs="Arial"/>
              </w:rPr>
              <w:t xml:space="preserve">zi separate- </w:t>
            </w:r>
            <w:r w:rsidRPr="006546F0">
              <w:rPr>
                <w:rStyle w:val="Strong"/>
                <w:rFonts w:ascii="Arial" w:hAnsi="Arial" w:cs="Arial"/>
              </w:rPr>
              <w:t>Aglomerarea Br</w:t>
            </w:r>
            <w:r>
              <w:rPr>
                <w:rStyle w:val="Strong"/>
                <w:rFonts w:ascii="Arial" w:hAnsi="Arial" w:cs="Arial"/>
              </w:rPr>
              <w:t>ă</w:t>
            </w:r>
            <w:r w:rsidRPr="006546F0">
              <w:rPr>
                <w:rStyle w:val="Strong"/>
                <w:rFonts w:ascii="Arial" w:hAnsi="Arial" w:cs="Arial"/>
              </w:rPr>
              <w:t>ila</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sidRPr="004113A7">
              <w:rPr>
                <w:rStyle w:val="Strong"/>
                <w:rFonts w:ascii="Arial" w:hAnsi="Arial" w:cs="Arial"/>
              </w:rPr>
              <w:t>Recep</w:t>
            </w:r>
            <w:r>
              <w:rPr>
                <w:rStyle w:val="Strong"/>
                <w:rFonts w:ascii="Arial" w:hAnsi="Arial" w:cs="Arial"/>
              </w:rPr>
              <w:t>ț</w:t>
            </w:r>
            <w:r w:rsidRPr="004113A7">
              <w:rPr>
                <w:rStyle w:val="Strong"/>
                <w:rFonts w:ascii="Arial" w:hAnsi="Arial" w:cs="Arial"/>
              </w:rPr>
              <w:t>ie la terminarea lucr</w:t>
            </w:r>
            <w:r>
              <w:rPr>
                <w:rStyle w:val="Strong"/>
                <w:rFonts w:ascii="Arial" w:hAnsi="Arial" w:cs="Arial"/>
              </w:rPr>
              <w:t>ă</w:t>
            </w:r>
            <w:r w:rsidRPr="004113A7">
              <w:rPr>
                <w:rStyle w:val="Strong"/>
                <w:rFonts w:ascii="Arial" w:hAnsi="Arial" w:cs="Arial"/>
              </w:rPr>
              <w:t>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6</w:t>
            </w:r>
          </w:p>
        </w:tc>
        <w:tc>
          <w:tcPr>
            <w:tcW w:w="6197" w:type="dxa"/>
            <w:shd w:val="clear" w:color="auto" w:fill="E5DFEC" w:themeFill="accent4" w:themeFillTint="33"/>
            <w:vAlign w:val="center"/>
          </w:tcPr>
          <w:p w:rsidR="00691934" w:rsidRDefault="00691934" w:rsidP="00012F90">
            <w:pPr>
              <w:rPr>
                <w:rFonts w:ascii="Arial" w:hAnsi="Arial" w:cs="Arial"/>
              </w:rPr>
            </w:pPr>
            <w:r w:rsidRPr="006546F0">
              <w:rPr>
                <w:rFonts w:ascii="Arial" w:hAnsi="Arial" w:cs="Arial"/>
              </w:rPr>
              <w:t xml:space="preserve">Reabilitare </w:t>
            </w:r>
            <w:r>
              <w:rPr>
                <w:rFonts w:ascii="Arial" w:hAnsi="Arial" w:cs="Arial"/>
              </w:rPr>
              <w:t>ș</w:t>
            </w:r>
            <w:r w:rsidRPr="006546F0">
              <w:rPr>
                <w:rFonts w:ascii="Arial" w:hAnsi="Arial" w:cs="Arial"/>
              </w:rPr>
              <w:t>i extindere sta</w:t>
            </w:r>
            <w:r>
              <w:rPr>
                <w:rFonts w:ascii="Arial" w:hAnsi="Arial" w:cs="Arial"/>
              </w:rPr>
              <w:t>ț</w:t>
            </w:r>
            <w:r w:rsidRPr="006546F0">
              <w:rPr>
                <w:rFonts w:ascii="Arial" w:hAnsi="Arial" w:cs="Arial"/>
              </w:rPr>
              <w:t>ie de epurare</w:t>
            </w:r>
            <w:r>
              <w:rPr>
                <w:rFonts w:ascii="Arial" w:hAnsi="Arial" w:cs="Arial"/>
              </w:rPr>
              <w:t xml:space="preserve"> –</w:t>
            </w:r>
            <w:r w:rsidRPr="006546F0">
              <w:rPr>
                <w:rFonts w:ascii="Arial" w:hAnsi="Arial" w:cs="Arial"/>
              </w:rPr>
              <w:t xml:space="preserve"> </w:t>
            </w:r>
          </w:p>
          <w:p w:rsidR="00691934" w:rsidRPr="006546F0" w:rsidRDefault="00691934" w:rsidP="00012F90">
            <w:pPr>
              <w:rPr>
                <w:rFonts w:ascii="Arial" w:hAnsi="Arial" w:cs="Arial"/>
              </w:rPr>
            </w:pPr>
            <w:r w:rsidRPr="008B71C9">
              <w:rPr>
                <w:rFonts w:ascii="Arial" w:hAnsi="Arial" w:cs="Arial"/>
                <w:b/>
              </w:rPr>
              <w:lastRenderedPageBreak/>
              <w:t>oraș</w:t>
            </w:r>
            <w:r>
              <w:rPr>
                <w:rFonts w:ascii="Arial" w:hAnsi="Arial" w:cs="Arial"/>
              </w:rPr>
              <w:t xml:space="preserve"> </w:t>
            </w:r>
            <w:r w:rsidRPr="006546F0">
              <w:rPr>
                <w:rStyle w:val="Strong"/>
                <w:rFonts w:ascii="Arial" w:hAnsi="Arial" w:cs="Arial"/>
              </w:rPr>
              <w:t>Faurei</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sidRPr="004113A7">
              <w:rPr>
                <w:rStyle w:val="Strong"/>
                <w:rFonts w:ascii="Arial" w:hAnsi="Arial" w:cs="Arial"/>
              </w:rPr>
              <w:lastRenderedPageBreak/>
              <w:t>Recep</w:t>
            </w:r>
            <w:r>
              <w:rPr>
                <w:rStyle w:val="Strong"/>
                <w:rFonts w:ascii="Arial" w:hAnsi="Arial" w:cs="Arial"/>
              </w:rPr>
              <w:t>ț</w:t>
            </w:r>
            <w:r w:rsidRPr="004113A7">
              <w:rPr>
                <w:rStyle w:val="Strong"/>
                <w:rFonts w:ascii="Arial" w:hAnsi="Arial" w:cs="Arial"/>
              </w:rPr>
              <w:t xml:space="preserve">ie la </w:t>
            </w:r>
            <w:r w:rsidRPr="004113A7">
              <w:rPr>
                <w:rStyle w:val="Strong"/>
                <w:rFonts w:ascii="Arial" w:hAnsi="Arial" w:cs="Arial"/>
              </w:rPr>
              <w:lastRenderedPageBreak/>
              <w:t>terminarea lucr</w:t>
            </w:r>
            <w:r>
              <w:rPr>
                <w:rStyle w:val="Strong"/>
                <w:rFonts w:ascii="Arial" w:hAnsi="Arial" w:cs="Arial"/>
              </w:rPr>
              <w:t>ă</w:t>
            </w:r>
            <w:r w:rsidRPr="004113A7">
              <w:rPr>
                <w:rStyle w:val="Strong"/>
                <w:rFonts w:ascii="Arial" w:hAnsi="Arial" w:cs="Arial"/>
              </w:rPr>
              <w:t>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lastRenderedPageBreak/>
              <w:t>7</w:t>
            </w:r>
          </w:p>
        </w:tc>
        <w:tc>
          <w:tcPr>
            <w:tcW w:w="6197" w:type="dxa"/>
            <w:shd w:val="clear" w:color="auto" w:fill="E5DFEC" w:themeFill="accent4" w:themeFillTint="33"/>
            <w:vAlign w:val="center"/>
          </w:tcPr>
          <w:p w:rsidR="00691934" w:rsidRDefault="00691934" w:rsidP="00012F90">
            <w:pPr>
              <w:pStyle w:val="x95"/>
              <w:spacing w:before="0" w:beforeAutospacing="0" w:after="0" w:afterAutospacing="0"/>
              <w:rPr>
                <w:rFonts w:ascii="Arial" w:hAnsi="Arial" w:cs="Arial"/>
              </w:rPr>
            </w:pPr>
            <w:r w:rsidRPr="006546F0">
              <w:rPr>
                <w:rFonts w:ascii="Arial" w:hAnsi="Arial" w:cs="Arial"/>
              </w:rPr>
              <w:t xml:space="preserve">Reabilitare </w:t>
            </w:r>
            <w:r>
              <w:rPr>
                <w:rFonts w:ascii="Arial" w:hAnsi="Arial" w:cs="Arial"/>
              </w:rPr>
              <w:t>ș</w:t>
            </w:r>
            <w:r w:rsidRPr="006546F0">
              <w:rPr>
                <w:rFonts w:ascii="Arial" w:hAnsi="Arial" w:cs="Arial"/>
              </w:rPr>
              <w:t>i extindere sta</w:t>
            </w:r>
            <w:r>
              <w:rPr>
                <w:rFonts w:ascii="Arial" w:hAnsi="Arial" w:cs="Arial"/>
              </w:rPr>
              <w:t>ț</w:t>
            </w:r>
            <w:r w:rsidRPr="006546F0">
              <w:rPr>
                <w:rFonts w:ascii="Arial" w:hAnsi="Arial" w:cs="Arial"/>
              </w:rPr>
              <w:t>ie de epurare</w:t>
            </w:r>
            <w:r>
              <w:rPr>
                <w:rFonts w:ascii="Arial" w:hAnsi="Arial" w:cs="Arial"/>
              </w:rPr>
              <w:t xml:space="preserve"> – </w:t>
            </w:r>
          </w:p>
          <w:p w:rsidR="00691934" w:rsidRPr="006546F0" w:rsidRDefault="00691934" w:rsidP="00012F90">
            <w:pPr>
              <w:pStyle w:val="x95"/>
              <w:spacing w:before="0" w:beforeAutospacing="0" w:after="0" w:afterAutospacing="0"/>
              <w:rPr>
                <w:rFonts w:ascii="Arial" w:hAnsi="Arial" w:cs="Arial"/>
              </w:rPr>
            </w:pPr>
            <w:r w:rsidRPr="008B71C9">
              <w:rPr>
                <w:rFonts w:ascii="Arial" w:hAnsi="Arial" w:cs="Arial"/>
                <w:b/>
              </w:rPr>
              <w:t>oraș</w:t>
            </w:r>
            <w:r w:rsidRPr="006546F0">
              <w:rPr>
                <w:rFonts w:ascii="Arial" w:hAnsi="Arial" w:cs="Arial"/>
              </w:rPr>
              <w:t xml:space="preserve"> </w:t>
            </w:r>
            <w:r w:rsidRPr="006546F0">
              <w:rPr>
                <w:rStyle w:val="Strong"/>
                <w:rFonts w:ascii="Arial" w:hAnsi="Arial" w:cs="Arial"/>
              </w:rPr>
              <w:t>Insur</w:t>
            </w:r>
            <w:r>
              <w:rPr>
                <w:rStyle w:val="Strong"/>
                <w:rFonts w:ascii="Arial" w:hAnsi="Arial" w:cs="Arial"/>
              </w:rPr>
              <w:t>ă</w:t>
            </w:r>
            <w:r w:rsidRPr="006546F0">
              <w:rPr>
                <w:rStyle w:val="Strong"/>
                <w:rFonts w:ascii="Arial" w:hAnsi="Arial" w:cs="Arial"/>
              </w:rPr>
              <w:t>tei</w:t>
            </w:r>
          </w:p>
        </w:tc>
        <w:tc>
          <w:tcPr>
            <w:tcW w:w="2552" w:type="dxa"/>
            <w:shd w:val="clear" w:color="auto" w:fill="E5DFEC" w:themeFill="accent4" w:themeFillTint="33"/>
            <w:vAlign w:val="center"/>
          </w:tcPr>
          <w:p w:rsidR="00691934" w:rsidRPr="00FD582E" w:rsidRDefault="00691934" w:rsidP="00012F90">
            <w:pPr>
              <w:pStyle w:val="x95"/>
              <w:spacing w:before="0" w:beforeAutospacing="0" w:after="0" w:afterAutospacing="0"/>
              <w:jc w:val="center"/>
              <w:rPr>
                <w:rFonts w:ascii="Arial" w:hAnsi="Arial" w:cs="Arial"/>
                <w:bCs/>
              </w:rPr>
            </w:pPr>
            <w:r w:rsidRPr="004113A7">
              <w:rPr>
                <w:rStyle w:val="Strong"/>
                <w:rFonts w:ascii="Arial" w:hAnsi="Arial" w:cs="Arial"/>
              </w:rPr>
              <w:t>Receptie la terminarea lucrarilor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8</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Fonts w:ascii="Arial" w:hAnsi="Arial" w:cs="Arial"/>
              </w:rPr>
              <w:t>Reabilitare re</w:t>
            </w:r>
            <w:r>
              <w:rPr>
                <w:rFonts w:ascii="Arial" w:hAnsi="Arial" w:cs="Arial"/>
              </w:rPr>
              <w:t>ț</w:t>
            </w:r>
            <w:r w:rsidRPr="006546F0">
              <w:rPr>
                <w:rFonts w:ascii="Arial" w:hAnsi="Arial" w:cs="Arial"/>
              </w:rPr>
              <w:t>ele ap</w:t>
            </w:r>
            <w:r>
              <w:rPr>
                <w:rFonts w:ascii="Arial" w:hAnsi="Arial" w:cs="Arial"/>
              </w:rPr>
              <w:t>ă</w:t>
            </w:r>
            <w:r w:rsidRPr="006546F0">
              <w:rPr>
                <w:rFonts w:ascii="Arial" w:hAnsi="Arial" w:cs="Arial"/>
              </w:rPr>
              <w:t>, reabilitare rezervor ap</w:t>
            </w:r>
            <w:r>
              <w:rPr>
                <w:rFonts w:ascii="Arial" w:hAnsi="Arial" w:cs="Arial"/>
              </w:rPr>
              <w:t>ă</w:t>
            </w:r>
            <w:r w:rsidRPr="006546F0">
              <w:rPr>
                <w:rFonts w:ascii="Arial" w:hAnsi="Arial" w:cs="Arial"/>
              </w:rPr>
              <w:t>, sta</w:t>
            </w:r>
            <w:r>
              <w:rPr>
                <w:rFonts w:ascii="Arial" w:hAnsi="Arial" w:cs="Arial"/>
              </w:rPr>
              <w:t>ț</w:t>
            </w:r>
            <w:r w:rsidRPr="006546F0">
              <w:rPr>
                <w:rFonts w:ascii="Arial" w:hAnsi="Arial" w:cs="Arial"/>
              </w:rPr>
              <w:t>ie pompare ap</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sta</w:t>
            </w:r>
            <w:r>
              <w:rPr>
                <w:rFonts w:ascii="Arial" w:hAnsi="Arial" w:cs="Arial"/>
              </w:rPr>
              <w:t>ț</w:t>
            </w:r>
            <w:r w:rsidRPr="006546F0">
              <w:rPr>
                <w:rFonts w:ascii="Arial" w:hAnsi="Arial" w:cs="Arial"/>
              </w:rPr>
              <w:t xml:space="preserve">ie clorinare, reabilitare </w:t>
            </w:r>
            <w:r>
              <w:rPr>
                <w:rFonts w:ascii="Arial" w:hAnsi="Arial" w:cs="Arial"/>
              </w:rPr>
              <w:t>ș</w:t>
            </w:r>
            <w:r w:rsidRPr="006546F0">
              <w:rPr>
                <w:rFonts w:ascii="Arial" w:hAnsi="Arial" w:cs="Arial"/>
              </w:rPr>
              <w:t>i extindere re</w:t>
            </w:r>
            <w:r>
              <w:rPr>
                <w:rFonts w:ascii="Arial" w:hAnsi="Arial" w:cs="Arial"/>
              </w:rPr>
              <w:t>ț</w:t>
            </w:r>
            <w:r w:rsidRPr="006546F0">
              <w:rPr>
                <w:rFonts w:ascii="Arial" w:hAnsi="Arial" w:cs="Arial"/>
              </w:rPr>
              <w:t>ele de canalizare, sta</w:t>
            </w:r>
            <w:r>
              <w:rPr>
                <w:rFonts w:ascii="Arial" w:hAnsi="Arial" w:cs="Arial"/>
              </w:rPr>
              <w:t>ț</w:t>
            </w:r>
            <w:r w:rsidRPr="006546F0">
              <w:rPr>
                <w:rFonts w:ascii="Arial" w:hAnsi="Arial" w:cs="Arial"/>
              </w:rPr>
              <w:t>ii pompare ape uzate</w:t>
            </w:r>
            <w:r>
              <w:rPr>
                <w:rFonts w:ascii="Arial" w:hAnsi="Arial" w:cs="Arial"/>
              </w:rPr>
              <w:t xml:space="preserve"> </w:t>
            </w:r>
            <w:r w:rsidRPr="006546F0">
              <w:rPr>
                <w:rFonts w:ascii="Arial" w:hAnsi="Arial" w:cs="Arial"/>
              </w:rPr>
              <w:t xml:space="preserve">- </w:t>
            </w:r>
            <w:r w:rsidRPr="006546F0">
              <w:rPr>
                <w:rStyle w:val="Strong"/>
                <w:rFonts w:ascii="Arial" w:hAnsi="Arial" w:cs="Arial"/>
              </w:rPr>
              <w:t>Aglomerarea F</w:t>
            </w:r>
            <w:r>
              <w:rPr>
                <w:rStyle w:val="Strong"/>
                <w:rFonts w:ascii="Arial" w:hAnsi="Arial" w:cs="Arial"/>
              </w:rPr>
              <w:t>ă</w:t>
            </w:r>
            <w:r w:rsidRPr="006546F0">
              <w:rPr>
                <w:rStyle w:val="Strong"/>
                <w:rFonts w:ascii="Arial" w:hAnsi="Arial" w:cs="Arial"/>
              </w:rPr>
              <w:t>urei</w:t>
            </w:r>
            <w:r w:rsidRPr="006546F0">
              <w:rPr>
                <w:rFonts w:ascii="Arial" w:hAnsi="Arial" w:cs="Arial"/>
              </w:rPr>
              <w:t xml:space="preserve"> -</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sidRPr="004113A7">
              <w:rPr>
                <w:rStyle w:val="Strong"/>
                <w:rFonts w:ascii="Arial" w:hAnsi="Arial" w:cs="Arial"/>
              </w:rPr>
              <w:t>Recep</w:t>
            </w:r>
            <w:r>
              <w:rPr>
                <w:rStyle w:val="Strong"/>
                <w:rFonts w:ascii="Arial" w:hAnsi="Arial" w:cs="Arial"/>
              </w:rPr>
              <w:t>ț</w:t>
            </w:r>
            <w:r w:rsidRPr="004113A7">
              <w:rPr>
                <w:rStyle w:val="Strong"/>
                <w:rFonts w:ascii="Arial" w:hAnsi="Arial" w:cs="Arial"/>
              </w:rPr>
              <w:t>ie la terminarea lucr</w:t>
            </w:r>
            <w:r>
              <w:rPr>
                <w:rStyle w:val="Strong"/>
                <w:rFonts w:ascii="Arial" w:hAnsi="Arial" w:cs="Arial"/>
              </w:rPr>
              <w:t>ă</w:t>
            </w:r>
            <w:r w:rsidRPr="004113A7">
              <w:rPr>
                <w:rStyle w:val="Strong"/>
                <w:rFonts w:ascii="Arial" w:hAnsi="Arial" w:cs="Arial"/>
              </w:rPr>
              <w:t>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9</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Fonts w:ascii="Arial" w:hAnsi="Arial" w:cs="Arial"/>
              </w:rPr>
              <w:t xml:space="preserve">Reabilitare </w:t>
            </w:r>
            <w:r>
              <w:rPr>
                <w:rFonts w:ascii="Arial" w:hAnsi="Arial" w:cs="Arial"/>
              </w:rPr>
              <w:t>ș</w:t>
            </w:r>
            <w:r w:rsidRPr="006546F0">
              <w:rPr>
                <w:rFonts w:ascii="Arial" w:hAnsi="Arial" w:cs="Arial"/>
              </w:rPr>
              <w:t>i extindere re</w:t>
            </w:r>
            <w:r>
              <w:rPr>
                <w:rFonts w:ascii="Arial" w:hAnsi="Arial" w:cs="Arial"/>
              </w:rPr>
              <w:t>ț</w:t>
            </w:r>
            <w:r w:rsidRPr="006546F0">
              <w:rPr>
                <w:rFonts w:ascii="Arial" w:hAnsi="Arial" w:cs="Arial"/>
              </w:rPr>
              <w:t>ele apa, reabilitare foraje, rezervor apa, sta</w:t>
            </w:r>
            <w:r>
              <w:rPr>
                <w:rFonts w:ascii="Arial" w:hAnsi="Arial" w:cs="Arial"/>
              </w:rPr>
              <w:t>ț</w:t>
            </w:r>
            <w:r w:rsidRPr="006546F0">
              <w:rPr>
                <w:rFonts w:ascii="Arial" w:hAnsi="Arial" w:cs="Arial"/>
              </w:rPr>
              <w:t>ie pompare ap</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sta</w:t>
            </w:r>
            <w:r>
              <w:rPr>
                <w:rFonts w:ascii="Arial" w:hAnsi="Arial" w:cs="Arial"/>
              </w:rPr>
              <w:t>ț</w:t>
            </w:r>
            <w:r w:rsidRPr="006546F0">
              <w:rPr>
                <w:rFonts w:ascii="Arial" w:hAnsi="Arial" w:cs="Arial"/>
              </w:rPr>
              <w:t xml:space="preserve">ie clorinare, reabilitare </w:t>
            </w:r>
            <w:r>
              <w:rPr>
                <w:rFonts w:ascii="Arial" w:hAnsi="Arial" w:cs="Arial"/>
              </w:rPr>
              <w:t>ș</w:t>
            </w:r>
            <w:r w:rsidRPr="006546F0">
              <w:rPr>
                <w:rFonts w:ascii="Arial" w:hAnsi="Arial" w:cs="Arial"/>
              </w:rPr>
              <w:t>i extindere re</w:t>
            </w:r>
            <w:r>
              <w:rPr>
                <w:rFonts w:ascii="Arial" w:hAnsi="Arial" w:cs="Arial"/>
              </w:rPr>
              <w:t>ț</w:t>
            </w:r>
            <w:r w:rsidRPr="006546F0">
              <w:rPr>
                <w:rFonts w:ascii="Arial" w:hAnsi="Arial" w:cs="Arial"/>
              </w:rPr>
              <w:t>ele de canalizare, sta</w:t>
            </w:r>
            <w:r>
              <w:rPr>
                <w:rFonts w:ascii="Arial" w:hAnsi="Arial" w:cs="Arial"/>
              </w:rPr>
              <w:t>ț</w:t>
            </w:r>
            <w:r w:rsidRPr="006546F0">
              <w:rPr>
                <w:rFonts w:ascii="Arial" w:hAnsi="Arial" w:cs="Arial"/>
              </w:rPr>
              <w:t>ie de pompare ape uzate</w:t>
            </w:r>
            <w:r>
              <w:rPr>
                <w:rFonts w:ascii="Arial" w:hAnsi="Arial" w:cs="Arial"/>
              </w:rPr>
              <w:t xml:space="preserve"> </w:t>
            </w:r>
            <w:r w:rsidRPr="006546F0">
              <w:rPr>
                <w:rFonts w:ascii="Arial" w:hAnsi="Arial" w:cs="Arial"/>
              </w:rPr>
              <w:t xml:space="preserve">- </w:t>
            </w:r>
            <w:r w:rsidRPr="006546F0">
              <w:rPr>
                <w:rStyle w:val="Strong"/>
                <w:rFonts w:ascii="Arial" w:hAnsi="Arial" w:cs="Arial"/>
              </w:rPr>
              <w:t>Aglomerarea Insur</w:t>
            </w:r>
            <w:r>
              <w:rPr>
                <w:rStyle w:val="Strong"/>
                <w:rFonts w:ascii="Arial" w:hAnsi="Arial" w:cs="Arial"/>
              </w:rPr>
              <w:t>ăț</w:t>
            </w:r>
            <w:r w:rsidRPr="006546F0">
              <w:rPr>
                <w:rStyle w:val="Strong"/>
                <w:rFonts w:ascii="Arial" w:hAnsi="Arial" w:cs="Arial"/>
              </w:rPr>
              <w:t>ei</w:t>
            </w:r>
            <w:r w:rsidRPr="006546F0">
              <w:rPr>
                <w:rFonts w:ascii="Arial" w:hAnsi="Arial" w:cs="Arial"/>
              </w:rPr>
              <w:t xml:space="preserve"> </w:t>
            </w:r>
          </w:p>
        </w:tc>
        <w:tc>
          <w:tcPr>
            <w:tcW w:w="2552" w:type="dxa"/>
            <w:shd w:val="clear" w:color="auto" w:fill="E5DFEC" w:themeFill="accent4" w:themeFillTint="33"/>
            <w:vAlign w:val="center"/>
          </w:tcPr>
          <w:p w:rsidR="00691934" w:rsidRPr="004113A7" w:rsidRDefault="00691934" w:rsidP="00012F90">
            <w:pPr>
              <w:pStyle w:val="x95"/>
              <w:spacing w:before="0" w:beforeAutospacing="0" w:after="0" w:afterAutospacing="0"/>
              <w:jc w:val="center"/>
              <w:rPr>
                <w:rFonts w:ascii="Arial" w:hAnsi="Arial" w:cs="Arial"/>
              </w:rPr>
            </w:pPr>
            <w:r w:rsidRPr="004113A7">
              <w:rPr>
                <w:rStyle w:val="Strong"/>
                <w:rFonts w:ascii="Arial" w:hAnsi="Arial" w:cs="Arial"/>
              </w:rPr>
              <w:t>Recep</w:t>
            </w:r>
            <w:r>
              <w:rPr>
                <w:rStyle w:val="Strong"/>
                <w:rFonts w:ascii="Arial" w:hAnsi="Arial" w:cs="Arial"/>
              </w:rPr>
              <w:t>ț</w:t>
            </w:r>
            <w:r w:rsidRPr="004113A7">
              <w:rPr>
                <w:rStyle w:val="Strong"/>
                <w:rFonts w:ascii="Arial" w:hAnsi="Arial" w:cs="Arial"/>
              </w:rPr>
              <w:t>ie la terminarea lucrarilor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10</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Fonts w:ascii="Arial" w:hAnsi="Arial" w:cs="Arial"/>
              </w:rPr>
              <w:t xml:space="preserve">Reabilitare </w:t>
            </w:r>
            <w:r>
              <w:rPr>
                <w:rFonts w:ascii="Arial" w:hAnsi="Arial" w:cs="Arial"/>
              </w:rPr>
              <w:t>ș</w:t>
            </w:r>
            <w:r w:rsidRPr="006546F0">
              <w:rPr>
                <w:rFonts w:ascii="Arial" w:hAnsi="Arial" w:cs="Arial"/>
              </w:rPr>
              <w:t>i extindere re</w:t>
            </w:r>
            <w:r>
              <w:rPr>
                <w:rFonts w:ascii="Arial" w:hAnsi="Arial" w:cs="Arial"/>
              </w:rPr>
              <w:t>ț</w:t>
            </w:r>
            <w:r w:rsidRPr="006546F0">
              <w:rPr>
                <w:rFonts w:ascii="Arial" w:hAnsi="Arial" w:cs="Arial"/>
              </w:rPr>
              <w:t>ele ap</w:t>
            </w:r>
            <w:r>
              <w:rPr>
                <w:rFonts w:ascii="Arial" w:hAnsi="Arial" w:cs="Arial"/>
              </w:rPr>
              <w:t>ă</w:t>
            </w:r>
            <w:r w:rsidRPr="006546F0">
              <w:rPr>
                <w:rFonts w:ascii="Arial" w:hAnsi="Arial" w:cs="Arial"/>
              </w:rPr>
              <w:t>, reabilitare rezervor ap</w:t>
            </w:r>
            <w:r>
              <w:rPr>
                <w:rFonts w:ascii="Arial" w:hAnsi="Arial" w:cs="Arial"/>
              </w:rPr>
              <w:t>ă</w:t>
            </w:r>
            <w:r w:rsidRPr="006546F0">
              <w:rPr>
                <w:rFonts w:ascii="Arial" w:hAnsi="Arial" w:cs="Arial"/>
              </w:rPr>
              <w:t>, sta</w:t>
            </w:r>
            <w:r>
              <w:rPr>
                <w:rFonts w:ascii="Arial" w:hAnsi="Arial" w:cs="Arial"/>
              </w:rPr>
              <w:t>ț</w:t>
            </w:r>
            <w:r w:rsidRPr="006546F0">
              <w:rPr>
                <w:rFonts w:ascii="Arial" w:hAnsi="Arial" w:cs="Arial"/>
              </w:rPr>
              <w:t>ie pompare ap</w:t>
            </w:r>
            <w:r>
              <w:rPr>
                <w:rFonts w:ascii="Arial" w:hAnsi="Arial" w:cs="Arial"/>
              </w:rPr>
              <w:t>ă</w:t>
            </w:r>
            <w:r w:rsidRPr="006546F0">
              <w:rPr>
                <w:rFonts w:ascii="Arial" w:hAnsi="Arial" w:cs="Arial"/>
              </w:rPr>
              <w:t xml:space="preserve"> </w:t>
            </w:r>
            <w:r>
              <w:rPr>
                <w:rFonts w:ascii="Arial" w:hAnsi="Arial" w:cs="Arial"/>
              </w:rPr>
              <w:t>ș</w:t>
            </w:r>
            <w:r w:rsidRPr="006546F0">
              <w:rPr>
                <w:rFonts w:ascii="Arial" w:hAnsi="Arial" w:cs="Arial"/>
              </w:rPr>
              <w:t>i sta</w:t>
            </w:r>
            <w:r>
              <w:rPr>
                <w:rFonts w:ascii="Arial" w:hAnsi="Arial" w:cs="Arial"/>
              </w:rPr>
              <w:t>ț</w:t>
            </w:r>
            <w:r w:rsidRPr="006546F0">
              <w:rPr>
                <w:rFonts w:ascii="Arial" w:hAnsi="Arial" w:cs="Arial"/>
              </w:rPr>
              <w:t xml:space="preserve">ie clorinare, reabilitare </w:t>
            </w:r>
            <w:r>
              <w:rPr>
                <w:rFonts w:ascii="Arial" w:hAnsi="Arial" w:cs="Arial"/>
              </w:rPr>
              <w:t>ș</w:t>
            </w:r>
            <w:r w:rsidRPr="006546F0">
              <w:rPr>
                <w:rFonts w:ascii="Arial" w:hAnsi="Arial" w:cs="Arial"/>
              </w:rPr>
              <w:t>i extindere re</w:t>
            </w:r>
            <w:r>
              <w:rPr>
                <w:rFonts w:ascii="Arial" w:hAnsi="Arial" w:cs="Arial"/>
              </w:rPr>
              <w:t>ț</w:t>
            </w:r>
            <w:r w:rsidRPr="006546F0">
              <w:rPr>
                <w:rFonts w:ascii="Arial" w:hAnsi="Arial" w:cs="Arial"/>
              </w:rPr>
              <w:t>ele de canalizare, sta</w:t>
            </w:r>
            <w:r>
              <w:rPr>
                <w:rFonts w:ascii="Arial" w:hAnsi="Arial" w:cs="Arial"/>
              </w:rPr>
              <w:t>ț</w:t>
            </w:r>
            <w:r w:rsidRPr="006546F0">
              <w:rPr>
                <w:rFonts w:ascii="Arial" w:hAnsi="Arial" w:cs="Arial"/>
              </w:rPr>
              <w:t xml:space="preserve">ie de pompare ape uzate- </w:t>
            </w:r>
            <w:r w:rsidRPr="006546F0">
              <w:rPr>
                <w:rStyle w:val="Strong"/>
                <w:rFonts w:ascii="Arial" w:hAnsi="Arial" w:cs="Arial"/>
              </w:rPr>
              <w:t>Aglomerarea Ianca</w:t>
            </w:r>
            <w:r w:rsidRPr="006546F0">
              <w:rPr>
                <w:rFonts w:ascii="Arial" w:hAnsi="Arial" w:cs="Arial"/>
              </w:rPr>
              <w:t xml:space="preserve"> -</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sidRPr="004113A7">
              <w:rPr>
                <w:rStyle w:val="Strong"/>
                <w:rFonts w:ascii="Arial" w:hAnsi="Arial" w:cs="Arial"/>
              </w:rPr>
              <w:t>Recep</w:t>
            </w:r>
            <w:r>
              <w:rPr>
                <w:rStyle w:val="Strong"/>
                <w:rFonts w:ascii="Arial" w:hAnsi="Arial" w:cs="Arial"/>
              </w:rPr>
              <w:t>ț</w:t>
            </w:r>
            <w:r w:rsidRPr="004113A7">
              <w:rPr>
                <w:rStyle w:val="Strong"/>
                <w:rFonts w:ascii="Arial" w:hAnsi="Arial" w:cs="Arial"/>
              </w:rPr>
              <w:t>ie la terminarea lucrarilor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11</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Fonts w:ascii="Arial" w:hAnsi="Arial" w:cs="Arial"/>
              </w:rPr>
              <w:t>Extindere re</w:t>
            </w:r>
            <w:r>
              <w:rPr>
                <w:rFonts w:ascii="Arial" w:hAnsi="Arial" w:cs="Arial"/>
              </w:rPr>
              <w:t>ț</w:t>
            </w:r>
            <w:r w:rsidRPr="006546F0">
              <w:rPr>
                <w:rFonts w:ascii="Arial" w:hAnsi="Arial" w:cs="Arial"/>
              </w:rPr>
              <w:t>ele ap</w:t>
            </w:r>
            <w:r>
              <w:rPr>
                <w:rFonts w:ascii="Arial" w:hAnsi="Arial" w:cs="Arial"/>
              </w:rPr>
              <w:t>ă</w:t>
            </w:r>
            <w:r w:rsidRPr="006546F0">
              <w:rPr>
                <w:rFonts w:ascii="Arial" w:hAnsi="Arial" w:cs="Arial"/>
              </w:rPr>
              <w:t>, rezervor nou, re</w:t>
            </w:r>
            <w:r>
              <w:rPr>
                <w:rFonts w:ascii="Arial" w:hAnsi="Arial" w:cs="Arial"/>
              </w:rPr>
              <w:t>ț</w:t>
            </w:r>
            <w:r w:rsidRPr="006546F0">
              <w:rPr>
                <w:rFonts w:ascii="Arial" w:hAnsi="Arial" w:cs="Arial"/>
              </w:rPr>
              <w:t>ele de canalizare, sta</w:t>
            </w:r>
            <w:r>
              <w:rPr>
                <w:rFonts w:ascii="Arial" w:hAnsi="Arial" w:cs="Arial"/>
              </w:rPr>
              <w:t>ț</w:t>
            </w:r>
            <w:r w:rsidRPr="006546F0">
              <w:rPr>
                <w:rFonts w:ascii="Arial" w:hAnsi="Arial" w:cs="Arial"/>
              </w:rPr>
              <w:t xml:space="preserve">ie pompare ape uzate- </w:t>
            </w:r>
            <w:r w:rsidRPr="006546F0">
              <w:rPr>
                <w:rStyle w:val="Strong"/>
                <w:rFonts w:ascii="Arial" w:hAnsi="Arial" w:cs="Arial"/>
              </w:rPr>
              <w:t>Aglomerarea Viziru</w:t>
            </w:r>
            <w:r w:rsidRPr="006546F0">
              <w:rPr>
                <w:rFonts w:ascii="Arial" w:hAnsi="Arial" w:cs="Arial"/>
              </w:rPr>
              <w:t xml:space="preserve"> -</w:t>
            </w:r>
          </w:p>
        </w:tc>
        <w:tc>
          <w:tcPr>
            <w:tcW w:w="2552" w:type="dxa"/>
            <w:shd w:val="clear" w:color="auto" w:fill="E5DFEC" w:themeFill="accent4" w:themeFillTint="33"/>
            <w:vAlign w:val="center"/>
          </w:tcPr>
          <w:p w:rsidR="00691934" w:rsidRPr="009E182F" w:rsidRDefault="00691934" w:rsidP="00012F90">
            <w:pPr>
              <w:pStyle w:val="x95"/>
              <w:spacing w:before="0" w:beforeAutospacing="0" w:after="0" w:afterAutospacing="0"/>
              <w:jc w:val="center"/>
              <w:rPr>
                <w:rFonts w:ascii="Arial" w:hAnsi="Arial" w:cs="Arial"/>
                <w:bCs/>
              </w:rPr>
            </w:pPr>
            <w:r w:rsidRPr="004113A7">
              <w:rPr>
                <w:rStyle w:val="Strong"/>
                <w:rFonts w:ascii="Arial" w:hAnsi="Arial" w:cs="Arial"/>
              </w:rPr>
              <w:t>Recep</w:t>
            </w:r>
            <w:r>
              <w:rPr>
                <w:rStyle w:val="Strong"/>
                <w:rFonts w:ascii="Arial" w:hAnsi="Arial" w:cs="Arial"/>
              </w:rPr>
              <w:t>ț</w:t>
            </w:r>
            <w:r w:rsidRPr="004113A7">
              <w:rPr>
                <w:rStyle w:val="Strong"/>
                <w:rFonts w:ascii="Arial" w:hAnsi="Arial" w:cs="Arial"/>
              </w:rPr>
              <w:t>ie la terminarea lucrarilor</w:t>
            </w:r>
          </w:p>
        </w:tc>
      </w:tr>
      <w:tr w:rsidR="00691934" w:rsidRPr="006546F0" w:rsidTr="00012F90">
        <w:tc>
          <w:tcPr>
            <w:tcW w:w="857" w:type="dxa"/>
            <w:shd w:val="clear" w:color="auto" w:fill="E5DFEC" w:themeFill="accent4" w:themeFillTint="33"/>
            <w:vAlign w:val="center"/>
          </w:tcPr>
          <w:p w:rsidR="00691934" w:rsidRPr="006546F0" w:rsidRDefault="00691934" w:rsidP="00012F90">
            <w:pPr>
              <w:jc w:val="center"/>
              <w:rPr>
                <w:rFonts w:ascii="Arial" w:hAnsi="Arial" w:cs="Arial"/>
              </w:rPr>
            </w:pPr>
            <w:r w:rsidRPr="006546F0">
              <w:rPr>
                <w:rFonts w:ascii="Arial" w:hAnsi="Arial" w:cs="Arial"/>
              </w:rPr>
              <w:t>12</w:t>
            </w:r>
          </w:p>
        </w:tc>
        <w:tc>
          <w:tcPr>
            <w:tcW w:w="6197" w:type="dxa"/>
            <w:shd w:val="clear" w:color="auto" w:fill="E5DFEC" w:themeFill="accent4" w:themeFillTint="33"/>
            <w:vAlign w:val="center"/>
          </w:tcPr>
          <w:p w:rsidR="00691934" w:rsidRPr="006546F0" w:rsidRDefault="00691934" w:rsidP="00012F90">
            <w:pPr>
              <w:pStyle w:val="x95"/>
              <w:spacing w:before="0" w:beforeAutospacing="0" w:after="0" w:afterAutospacing="0"/>
              <w:rPr>
                <w:rFonts w:ascii="Arial" w:hAnsi="Arial" w:cs="Arial"/>
              </w:rPr>
            </w:pPr>
            <w:r w:rsidRPr="006546F0">
              <w:rPr>
                <w:rFonts w:ascii="Arial" w:hAnsi="Arial" w:cs="Arial"/>
              </w:rPr>
              <w:t>Re</w:t>
            </w:r>
            <w:r>
              <w:rPr>
                <w:rFonts w:ascii="Arial" w:hAnsi="Arial" w:cs="Arial"/>
              </w:rPr>
              <w:t>ț</w:t>
            </w:r>
            <w:r w:rsidRPr="006546F0">
              <w:rPr>
                <w:rFonts w:ascii="Arial" w:hAnsi="Arial" w:cs="Arial"/>
              </w:rPr>
              <w:t>ele de canalizare, sta</w:t>
            </w:r>
            <w:r>
              <w:rPr>
                <w:rFonts w:ascii="Arial" w:hAnsi="Arial" w:cs="Arial"/>
              </w:rPr>
              <w:t>ț</w:t>
            </w:r>
            <w:r w:rsidRPr="006546F0">
              <w:rPr>
                <w:rFonts w:ascii="Arial" w:hAnsi="Arial" w:cs="Arial"/>
              </w:rPr>
              <w:t xml:space="preserve">ii pompare ape uzate- </w:t>
            </w:r>
            <w:r w:rsidRPr="006546F0">
              <w:rPr>
                <w:rStyle w:val="Strong"/>
                <w:rFonts w:ascii="Arial" w:hAnsi="Arial" w:cs="Arial"/>
              </w:rPr>
              <w:t>Aglomerarea Tufesti</w:t>
            </w:r>
            <w:r w:rsidRPr="006546F0">
              <w:rPr>
                <w:rFonts w:ascii="Arial" w:hAnsi="Arial" w:cs="Arial"/>
              </w:rPr>
              <w:t xml:space="preserve"> -</w:t>
            </w:r>
          </w:p>
        </w:tc>
        <w:tc>
          <w:tcPr>
            <w:tcW w:w="2552" w:type="dxa"/>
            <w:shd w:val="clear" w:color="auto" w:fill="E5DFEC" w:themeFill="accent4" w:themeFillTint="33"/>
            <w:vAlign w:val="center"/>
          </w:tcPr>
          <w:p w:rsidR="00691934" w:rsidRPr="004113A7" w:rsidRDefault="00691934" w:rsidP="00012F90">
            <w:pPr>
              <w:pStyle w:val="x95"/>
              <w:spacing w:before="0" w:beforeAutospacing="0" w:after="0" w:afterAutospacing="0"/>
              <w:jc w:val="center"/>
              <w:rPr>
                <w:rFonts w:ascii="Arial" w:hAnsi="Arial" w:cs="Arial"/>
              </w:rPr>
            </w:pPr>
            <w:r>
              <w:rPr>
                <w:rStyle w:val="Strong"/>
                <w:rFonts w:ascii="Arial" w:hAnsi="Arial" w:cs="Arial"/>
              </w:rPr>
              <w:t>Î</w:t>
            </w:r>
            <w:r w:rsidRPr="004113A7">
              <w:rPr>
                <w:rStyle w:val="Strong"/>
                <w:rFonts w:ascii="Arial" w:hAnsi="Arial" w:cs="Arial"/>
              </w:rPr>
              <w:t>n derulare</w:t>
            </w:r>
          </w:p>
        </w:tc>
      </w:tr>
    </w:tbl>
    <w:p w:rsidR="00691934" w:rsidRPr="00F13F48" w:rsidRDefault="00691934" w:rsidP="00691934">
      <w:pPr>
        <w:spacing w:line="60" w:lineRule="atLeast"/>
        <w:jc w:val="both"/>
        <w:outlineLvl w:val="0"/>
        <w:rPr>
          <w:rFonts w:ascii="Arial" w:hAnsi="Arial" w:cs="Arial"/>
          <w:b/>
          <w:bCs/>
        </w:rPr>
      </w:pPr>
    </w:p>
    <w:p w:rsidR="00691934" w:rsidRPr="00F13F48" w:rsidRDefault="00691934" w:rsidP="00691934">
      <w:pPr>
        <w:rPr>
          <w:rFonts w:ascii="Arial" w:hAnsi="Arial" w:cs="Arial"/>
        </w:rPr>
      </w:pPr>
    </w:p>
    <w:p w:rsidR="00D07F84" w:rsidRDefault="00D07F84" w:rsidP="00D07F84"/>
    <w:p w:rsidR="00D07F84" w:rsidRDefault="00D07F84" w:rsidP="00D07F84">
      <w:pPr>
        <w:rPr>
          <w:rFonts w:ascii="Arial" w:hAnsi="Arial" w:cs="Arial"/>
          <w:b/>
        </w:rPr>
      </w:pPr>
      <w:r>
        <w:rPr>
          <w:rFonts w:ascii="Arial" w:hAnsi="Arial" w:cs="Arial"/>
          <w:b/>
        </w:rPr>
        <w:t>III. SOLUL</w:t>
      </w:r>
    </w:p>
    <w:p w:rsidR="00D07F84" w:rsidRPr="00CD4D6C" w:rsidRDefault="00D07F84" w:rsidP="00D07F84">
      <w:pPr>
        <w:ind w:left="284"/>
        <w:jc w:val="center"/>
        <w:rPr>
          <w:rFonts w:ascii="Arial" w:hAnsi="Arial" w:cs="Arial"/>
          <w:b/>
          <w:lang w:val="ro-RO"/>
        </w:rPr>
      </w:pPr>
    </w:p>
    <w:p w:rsidR="00D07F84" w:rsidRPr="00B14198" w:rsidRDefault="00D07F84" w:rsidP="00D07F84">
      <w:pPr>
        <w:tabs>
          <w:tab w:val="left" w:pos="2160"/>
          <w:tab w:val="left" w:leader="dot" w:pos="8640"/>
        </w:tabs>
        <w:ind w:right="-38"/>
        <w:jc w:val="both"/>
        <w:rPr>
          <w:rFonts w:ascii="Arial" w:hAnsi="Arial" w:cs="Arial"/>
          <w:lang w:val="ro-RO"/>
        </w:rPr>
      </w:pPr>
      <w:r w:rsidRPr="00B14198">
        <w:rPr>
          <w:rFonts w:ascii="Arial" w:hAnsi="Arial" w:cs="Arial"/>
          <w:lang w:val="ro-RO"/>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D07F84" w:rsidRDefault="00D07F84" w:rsidP="00D07F84">
      <w:pPr>
        <w:tabs>
          <w:tab w:val="left" w:pos="2160"/>
          <w:tab w:val="left" w:leader="dot" w:pos="8640"/>
        </w:tabs>
        <w:ind w:right="-38"/>
        <w:jc w:val="both"/>
        <w:rPr>
          <w:rFonts w:ascii="Arial" w:hAnsi="Arial" w:cs="Arial"/>
          <w:b/>
          <w:color w:val="000000"/>
          <w:lang w:val="ro-RO"/>
        </w:rPr>
      </w:pPr>
      <w:r w:rsidRPr="00B14198">
        <w:rPr>
          <w:rFonts w:ascii="Arial" w:hAnsi="Arial" w:cs="Arial"/>
          <w:lang w:val="ro-RO"/>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D07F84" w:rsidRDefault="00D07F84" w:rsidP="00D07F84">
      <w:pPr>
        <w:pStyle w:val="BodyTextIndent"/>
        <w:tabs>
          <w:tab w:val="left" w:pos="2478"/>
        </w:tabs>
        <w:spacing w:after="0" w:line="240" w:lineRule="auto"/>
        <w:ind w:left="0"/>
        <w:jc w:val="both"/>
        <w:rPr>
          <w:rFonts w:ascii="Arial" w:hAnsi="Arial" w:cs="Arial"/>
          <w:b/>
          <w:color w:val="000000"/>
          <w:sz w:val="24"/>
          <w:szCs w:val="24"/>
          <w:lang w:val="ro-RO"/>
        </w:rPr>
      </w:pPr>
    </w:p>
    <w:p w:rsidR="00D07F84" w:rsidRDefault="00D07F84" w:rsidP="00D07F84">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III.1.Calitatea solurilor: stare și tendințe</w:t>
      </w:r>
    </w:p>
    <w:p w:rsidR="00D07F84" w:rsidRDefault="00D07F84" w:rsidP="00D07F84">
      <w:pPr>
        <w:pStyle w:val="BodyTextIndent"/>
        <w:spacing w:after="0" w:line="240" w:lineRule="auto"/>
        <w:ind w:left="0" w:firstLine="709"/>
        <w:jc w:val="both"/>
        <w:rPr>
          <w:rFonts w:ascii="Arial" w:hAnsi="Arial" w:cs="Arial"/>
          <w:b/>
          <w:color w:val="000000"/>
          <w:sz w:val="24"/>
          <w:szCs w:val="24"/>
          <w:lang w:val="ro-RO"/>
        </w:rPr>
      </w:pPr>
      <w:r>
        <w:rPr>
          <w:rFonts w:ascii="Arial" w:hAnsi="Arial" w:cs="Arial"/>
          <w:b/>
          <w:color w:val="000000"/>
          <w:sz w:val="24"/>
          <w:szCs w:val="24"/>
          <w:lang w:val="ro-RO"/>
        </w:rPr>
        <w:t xml:space="preserve">III.1.1. Repartiția terenurilor pe clase de calitate </w:t>
      </w:r>
    </w:p>
    <w:p w:rsidR="00D07F84" w:rsidRDefault="00D07F84" w:rsidP="00D07F84">
      <w:pPr>
        <w:tabs>
          <w:tab w:val="left" w:pos="2160"/>
          <w:tab w:val="left" w:leader="dot" w:pos="8640"/>
        </w:tabs>
        <w:ind w:right="-38"/>
        <w:jc w:val="both"/>
        <w:rPr>
          <w:rFonts w:ascii="Arial" w:eastAsia="Times New Roman" w:hAnsi="Arial" w:cs="Arial"/>
          <w:b/>
          <w:color w:val="000000"/>
          <w:lang w:val="ro-RO"/>
        </w:rPr>
      </w:pPr>
    </w:p>
    <w:p w:rsidR="00D07F84" w:rsidRPr="00CC1F72" w:rsidRDefault="00D07F84" w:rsidP="00D07F84">
      <w:pPr>
        <w:tabs>
          <w:tab w:val="left" w:pos="2160"/>
          <w:tab w:val="left" w:leader="dot" w:pos="8640"/>
        </w:tabs>
        <w:ind w:right="-38"/>
        <w:jc w:val="both"/>
        <w:rPr>
          <w:rFonts w:ascii="Arial" w:hAnsi="Arial" w:cs="Arial"/>
          <w:lang w:val="ro-RO"/>
        </w:rPr>
      </w:pPr>
      <w:r w:rsidRPr="00CC1F72">
        <w:rPr>
          <w:rFonts w:ascii="Arial" w:hAnsi="Arial" w:cs="Arial"/>
          <w:lang w:val="ro-RO"/>
        </w:rPr>
        <w:t>Condiţiile pedoclimatice din judeţul Brăila au determinat apariţia şi evoluţia unei cuverturi de soluri, diversă, dominată de solurile zonale de tip cernoziom, soluri azonale, soluri aluvionare, coluviale, neevoluate, psamosoluri, lăcovişti etc.</w:t>
      </w:r>
    </w:p>
    <w:p w:rsidR="00D07F84" w:rsidRPr="00A509B5" w:rsidRDefault="00D07F84" w:rsidP="00D07F84">
      <w:pPr>
        <w:pStyle w:val="BodyTextIndent"/>
        <w:spacing w:after="0" w:line="240" w:lineRule="auto"/>
        <w:ind w:left="0"/>
        <w:jc w:val="both"/>
        <w:rPr>
          <w:rFonts w:ascii="Arial" w:eastAsia="SimSun" w:hAnsi="Arial" w:cs="Arial"/>
          <w:sz w:val="24"/>
          <w:szCs w:val="24"/>
          <w:lang w:val="ro-RO"/>
        </w:rPr>
      </w:pPr>
      <w:r w:rsidRPr="00A509B5">
        <w:rPr>
          <w:rFonts w:ascii="Arial" w:eastAsia="SimSun" w:hAnsi="Arial" w:cs="Arial"/>
          <w:sz w:val="24"/>
          <w:szCs w:val="24"/>
          <w:lang w:val="ro-RO"/>
        </w:rPr>
        <w:t xml:space="preserve">Tipurile de sol caracteristice judeţului Brăila sunt </w:t>
      </w:r>
      <w:r>
        <w:rPr>
          <w:rFonts w:ascii="Arial" w:eastAsia="SimSun" w:hAnsi="Arial" w:cs="Arial"/>
          <w:sz w:val="24"/>
          <w:szCs w:val="24"/>
          <w:lang w:val="ro-RO"/>
        </w:rPr>
        <w:t>prezentate în tabelul de mai jos:</w:t>
      </w:r>
    </w:p>
    <w:p w:rsidR="00D07F84" w:rsidRDefault="00D07F84" w:rsidP="00D07F84">
      <w:pPr>
        <w:jc w:val="both"/>
        <w:rPr>
          <w:rFonts w:ascii="Arial" w:hAnsi="Arial" w:cs="Arial"/>
          <w:b/>
        </w:rPr>
      </w:pPr>
      <w:r>
        <w:rPr>
          <w:rFonts w:ascii="Arial" w:hAnsi="Arial" w:cs="Arial"/>
          <w:b/>
        </w:rPr>
        <w:t xml:space="preserve">               </w:t>
      </w:r>
    </w:p>
    <w:p w:rsidR="00D07F84" w:rsidRDefault="00D07F84" w:rsidP="00D07F84">
      <w:pPr>
        <w:jc w:val="both"/>
        <w:rPr>
          <w:rFonts w:ascii="Arial" w:hAnsi="Arial" w:cs="Arial"/>
          <w:b/>
        </w:rPr>
      </w:pPr>
      <w:r>
        <w:rPr>
          <w:rFonts w:ascii="Arial" w:hAnsi="Arial" w:cs="Arial"/>
          <w:b/>
        </w:rPr>
        <w:t xml:space="preserve">               </w:t>
      </w:r>
      <w:r w:rsidRPr="001A6B20">
        <w:rPr>
          <w:rFonts w:ascii="Arial" w:hAnsi="Arial" w:cs="Arial"/>
          <w:b/>
        </w:rPr>
        <w:t xml:space="preserve">Tabelul </w:t>
      </w:r>
      <w:r>
        <w:rPr>
          <w:rFonts w:ascii="Arial" w:hAnsi="Arial" w:cs="Arial"/>
          <w:b/>
        </w:rPr>
        <w:t>III.1.1-</w:t>
      </w:r>
      <w:r w:rsidRPr="001A6B20">
        <w:rPr>
          <w:rFonts w:ascii="Arial" w:hAnsi="Arial" w:cs="Arial"/>
          <w:b/>
        </w:rPr>
        <w:t>1.</w:t>
      </w:r>
    </w:p>
    <w:p w:rsidR="00D07F84" w:rsidRPr="001A6B20" w:rsidRDefault="00D07F84" w:rsidP="00D07F84">
      <w:pPr>
        <w:jc w:val="both"/>
        <w:rPr>
          <w:rFonts w:ascii="Arial" w:hAnsi="Arial" w:cs="Arial"/>
          <w:b/>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950"/>
        <w:gridCol w:w="1964"/>
        <w:gridCol w:w="2030"/>
      </w:tblGrid>
      <w:tr w:rsidR="00D07F84" w:rsidTr="00012F90">
        <w:trPr>
          <w:trHeight w:val="567"/>
          <w:jc w:val="center"/>
        </w:trPr>
        <w:tc>
          <w:tcPr>
            <w:tcW w:w="29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pStyle w:val="Heading4"/>
              <w:spacing w:before="0" w:after="0"/>
              <w:jc w:val="both"/>
              <w:rPr>
                <w:rFonts w:ascii="Arial" w:hAnsi="Arial" w:cs="Arial"/>
                <w:bCs w:val="0"/>
                <w:color w:val="000000"/>
                <w:sz w:val="24"/>
                <w:szCs w:val="24"/>
              </w:rPr>
            </w:pPr>
            <w:r>
              <w:rPr>
                <w:rFonts w:ascii="Arial" w:hAnsi="Arial" w:cs="Arial"/>
                <w:bCs w:val="0"/>
                <w:color w:val="000000"/>
                <w:sz w:val="24"/>
                <w:szCs w:val="24"/>
              </w:rPr>
              <w:t>Tipuri de  sol</w:t>
            </w:r>
          </w:p>
        </w:tc>
        <w:tc>
          <w:tcPr>
            <w:tcW w:w="1964"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both"/>
              <w:rPr>
                <w:rFonts w:ascii="Arial" w:hAnsi="Arial" w:cs="Arial"/>
                <w:b/>
                <w:color w:val="000000"/>
              </w:rPr>
            </w:pPr>
            <w:r>
              <w:rPr>
                <w:rFonts w:ascii="Arial" w:hAnsi="Arial" w:cs="Arial"/>
                <w:b/>
                <w:color w:val="000000"/>
              </w:rPr>
              <w:t>Suprafaţa (ha)</w:t>
            </w:r>
          </w:p>
        </w:tc>
        <w:tc>
          <w:tcPr>
            <w:tcW w:w="203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both"/>
              <w:rPr>
                <w:rFonts w:ascii="Arial" w:hAnsi="Arial" w:cs="Arial"/>
                <w:b/>
                <w:color w:val="000000"/>
              </w:rPr>
            </w:pPr>
            <w:r>
              <w:rPr>
                <w:rFonts w:ascii="Arial" w:hAnsi="Arial" w:cs="Arial"/>
                <w:b/>
                <w:color w:val="000000"/>
              </w:rPr>
              <w:t>Procentual (%)</w:t>
            </w:r>
          </w:p>
        </w:tc>
      </w:tr>
      <w:tr w:rsidR="00D07F84" w:rsidTr="00012F90">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07F84" w:rsidRDefault="00D07F84" w:rsidP="00012F90">
            <w:pPr>
              <w:jc w:val="both"/>
              <w:rPr>
                <w:rFonts w:ascii="Arial" w:hAnsi="Arial" w:cs="Arial"/>
                <w:color w:val="000000"/>
              </w:rPr>
            </w:pPr>
            <w:r>
              <w:rPr>
                <w:rFonts w:ascii="Arial" w:hAnsi="Arial" w:cs="Arial"/>
                <w:color w:val="000000"/>
              </w:rPr>
              <w:t>Protisoluri</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132.339</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34,13</w:t>
            </w:r>
          </w:p>
        </w:tc>
      </w:tr>
      <w:tr w:rsidR="00D07F84" w:rsidTr="00012F90">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07F84" w:rsidRDefault="00D07F84" w:rsidP="00012F90">
            <w:pPr>
              <w:jc w:val="both"/>
              <w:rPr>
                <w:rFonts w:ascii="Arial" w:hAnsi="Arial" w:cs="Arial"/>
                <w:color w:val="000000"/>
              </w:rPr>
            </w:pPr>
            <w:r>
              <w:rPr>
                <w:rFonts w:ascii="Arial" w:hAnsi="Arial" w:cs="Arial"/>
                <w:color w:val="000000"/>
              </w:rPr>
              <w:t xml:space="preserve">Cernisoluri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202.871</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52,32</w:t>
            </w:r>
          </w:p>
        </w:tc>
      </w:tr>
      <w:tr w:rsidR="00D07F84" w:rsidTr="00012F90">
        <w:trPr>
          <w:trHeight w:val="245"/>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07F84" w:rsidRDefault="00D07F84" w:rsidP="00012F90">
            <w:pPr>
              <w:jc w:val="both"/>
              <w:rPr>
                <w:rFonts w:ascii="Arial" w:hAnsi="Arial" w:cs="Arial"/>
                <w:color w:val="000000"/>
              </w:rPr>
            </w:pPr>
            <w:r>
              <w:rPr>
                <w:rFonts w:ascii="Arial" w:hAnsi="Arial" w:cs="Arial"/>
                <w:color w:val="000000"/>
              </w:rPr>
              <w:t xml:space="preserve">Hidrisoluri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36.681</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9,46</w:t>
            </w:r>
          </w:p>
        </w:tc>
      </w:tr>
      <w:tr w:rsidR="00D07F84" w:rsidTr="00012F90">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07F84" w:rsidRDefault="00D07F84" w:rsidP="00012F90">
            <w:pPr>
              <w:jc w:val="both"/>
              <w:rPr>
                <w:rFonts w:ascii="Arial" w:hAnsi="Arial" w:cs="Arial"/>
                <w:color w:val="000000"/>
              </w:rPr>
            </w:pPr>
            <w:r>
              <w:rPr>
                <w:rFonts w:ascii="Arial" w:hAnsi="Arial" w:cs="Arial"/>
                <w:color w:val="000000"/>
              </w:rPr>
              <w:t xml:space="preserve">Salsodisoluri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15.859</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4,09</w:t>
            </w:r>
          </w:p>
        </w:tc>
      </w:tr>
      <w:tr w:rsidR="00D07F84" w:rsidTr="00012F90">
        <w:trPr>
          <w:trHeight w:val="226"/>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07F84" w:rsidRDefault="00D07F84" w:rsidP="00012F90">
            <w:pPr>
              <w:jc w:val="both"/>
              <w:rPr>
                <w:rFonts w:ascii="Arial" w:hAnsi="Arial" w:cs="Arial"/>
                <w:color w:val="000000"/>
              </w:rPr>
            </w:pPr>
            <w:r>
              <w:rPr>
                <w:rFonts w:ascii="Arial" w:hAnsi="Arial" w:cs="Arial"/>
                <w:color w:val="000000"/>
              </w:rPr>
              <w:lastRenderedPageBreak/>
              <w:t xml:space="preserve">Antrisoluri </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color w:val="000000"/>
              </w:rPr>
            </w:pPr>
            <w:r>
              <w:rPr>
                <w:rFonts w:ascii="Arial" w:hAnsi="Arial" w:cs="Arial"/>
                <w:color w:val="000000"/>
              </w:rPr>
              <w:t>-</w:t>
            </w:r>
          </w:p>
        </w:tc>
      </w:tr>
      <w:tr w:rsidR="00D07F84" w:rsidTr="00012F90">
        <w:trPr>
          <w:trHeight w:val="287"/>
          <w:jc w:val="center"/>
        </w:trPr>
        <w:tc>
          <w:tcPr>
            <w:tcW w:w="295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D07F84" w:rsidRDefault="00D07F84" w:rsidP="00012F90">
            <w:pPr>
              <w:rPr>
                <w:rFonts w:ascii="Arial" w:hAnsi="Arial" w:cs="Arial"/>
                <w:color w:val="000000"/>
              </w:rPr>
            </w:pPr>
            <w:r>
              <w:rPr>
                <w:rFonts w:ascii="Arial" w:hAnsi="Arial" w:cs="Arial"/>
                <w:color w:val="000000"/>
              </w:rPr>
              <w:t xml:space="preserve"> TOTAL JUDEŢ BRĂILA</w:t>
            </w:r>
          </w:p>
        </w:tc>
        <w:tc>
          <w:tcPr>
            <w:tcW w:w="1964"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b/>
                <w:color w:val="000000"/>
              </w:rPr>
            </w:pPr>
            <w:r>
              <w:rPr>
                <w:rFonts w:ascii="Arial" w:hAnsi="Arial" w:cs="Arial"/>
                <w:b/>
                <w:color w:val="000000"/>
              </w:rPr>
              <w:t>387.750</w:t>
            </w:r>
          </w:p>
        </w:tc>
        <w:tc>
          <w:tcPr>
            <w:tcW w:w="203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D07F84" w:rsidRDefault="00D07F84" w:rsidP="00012F90">
            <w:pPr>
              <w:jc w:val="center"/>
              <w:rPr>
                <w:rFonts w:ascii="Arial" w:hAnsi="Arial" w:cs="Arial"/>
                <w:b/>
                <w:color w:val="000000"/>
              </w:rPr>
            </w:pPr>
            <w:r>
              <w:rPr>
                <w:rFonts w:ascii="Arial" w:hAnsi="Arial" w:cs="Arial"/>
                <w:b/>
                <w:color w:val="000000"/>
              </w:rPr>
              <w:t>100</w:t>
            </w:r>
          </w:p>
        </w:tc>
      </w:tr>
    </w:tbl>
    <w:p w:rsidR="00D07F84" w:rsidRDefault="00D07F84" w:rsidP="00D07F84">
      <w:pPr>
        <w:jc w:val="both"/>
        <w:rPr>
          <w:rFonts w:ascii="Arial" w:hAnsi="Arial" w:cs="Arial"/>
          <w:color w:val="000000"/>
        </w:rPr>
      </w:pPr>
    </w:p>
    <w:p w:rsidR="00D07F84" w:rsidRPr="007B38E0" w:rsidRDefault="00D07F84" w:rsidP="00D07F84">
      <w:pPr>
        <w:jc w:val="both"/>
        <w:rPr>
          <w:rFonts w:ascii="Arial" w:hAnsi="Arial" w:cs="Arial"/>
        </w:rPr>
      </w:pPr>
      <w:r w:rsidRPr="007B38E0">
        <w:rPr>
          <w:rFonts w:ascii="Arial" w:hAnsi="Arial" w:cs="Arial"/>
        </w:rPr>
        <w:t>Unitatea de pretabilitate reprezintă arealul rezultat din gruparea unităţilor de teren conform unui anumit set de caracteristici specifice, în vederea stabilirii categoriilor de folosinţă.</w:t>
      </w:r>
    </w:p>
    <w:p w:rsidR="00D07F84" w:rsidRDefault="00D07F84" w:rsidP="00D07F84">
      <w:pPr>
        <w:jc w:val="both"/>
        <w:rPr>
          <w:rFonts w:ascii="Arial" w:hAnsi="Arial" w:cs="Arial"/>
        </w:rPr>
      </w:pPr>
      <w:r w:rsidRPr="007B38E0">
        <w:rPr>
          <w:rFonts w:ascii="Arial" w:hAnsi="Arial" w:cs="Arial"/>
        </w:rPr>
        <w:t xml:space="preserve">Calitatea terenurilor agricole este determinată atât de fertilitatea solului cât şi de modul de manifestare al celorlalţi factori de mediu faţă de plante. </w:t>
      </w:r>
      <w:r w:rsidRPr="007B38E0">
        <w:rPr>
          <w:rFonts w:ascii="Arial" w:hAnsi="Arial" w:cs="Arial"/>
          <w:lang w:val="it-IT"/>
        </w:rPr>
        <w:t xml:space="preserve">Din acest punct de vedere, terenurile agricole se grupează în cinci clase de calitate diferenţiate după nota medie de bonitare (clasa I: 81 -100 puncte; clasa a II-a: 61 – 80 puncte, clasa a III-a: 41 – 60 puncte, clasa a IV-a: 21 – 40 puncte, clasa a V-a: 1 – 20 puncte). Clasele de calitate a terenurilor stabilesc pretabilitatea acestora pentru folosinţele agricole. </w:t>
      </w:r>
      <w:r w:rsidRPr="009E5157">
        <w:rPr>
          <w:rFonts w:ascii="Arial" w:hAnsi="Arial" w:cs="Arial"/>
        </w:rPr>
        <w:t>Numărul de puncte de bonitare se obţine printr-o operaţiune complexă de cunoaştere aprofundată a unui teren, exprimând favorabilitatea acestuia pentru cerinţele de existenţă ale unor plante de cultură date, în condiţii climatice normale şi în cadrul folosirii raţionale.</w:t>
      </w:r>
    </w:p>
    <w:p w:rsidR="00D07F84" w:rsidRPr="00805EBA" w:rsidRDefault="00D07F84" w:rsidP="00D07F84">
      <w:pPr>
        <w:jc w:val="both"/>
        <w:rPr>
          <w:rFonts w:ascii="Arial" w:hAnsi="Arial" w:cs="Arial"/>
        </w:rPr>
      </w:pPr>
      <w:r w:rsidRPr="007B38E0">
        <w:rPr>
          <w:rFonts w:ascii="Arial" w:hAnsi="Arial" w:cs="Arial"/>
          <w:lang w:val="it-IT"/>
        </w:rPr>
        <w:t xml:space="preserve">Din punct de vedere al calităţii, pe baza notelor de bonitare, încadrarea terenurilor agricole din judeţul Brăila, pe clase de pretabilitate, se prezintă astfel (conform informaţiilor transmise de Direcţia pentru Agricultură Judeţeană Brăila):    </w:t>
      </w:r>
    </w:p>
    <w:p w:rsidR="00D07F84" w:rsidRDefault="00D07F84" w:rsidP="00D07F84">
      <w:pPr>
        <w:pStyle w:val="BodyTextIndent"/>
        <w:spacing w:after="0" w:line="240" w:lineRule="auto"/>
        <w:ind w:left="1474"/>
        <w:jc w:val="both"/>
        <w:rPr>
          <w:rFonts w:ascii="Arial" w:hAnsi="Arial" w:cs="Arial"/>
          <w:b/>
          <w:color w:val="00B050"/>
          <w:sz w:val="24"/>
          <w:szCs w:val="24"/>
          <w:lang w:val="it-IT"/>
        </w:rPr>
      </w:pPr>
    </w:p>
    <w:p w:rsidR="00D07F84" w:rsidRDefault="00D07F84" w:rsidP="00D07F84">
      <w:pPr>
        <w:pStyle w:val="BodyTextIndent"/>
        <w:spacing w:after="0" w:line="240" w:lineRule="auto"/>
        <w:jc w:val="both"/>
        <w:rPr>
          <w:rFonts w:ascii="Arial" w:hAnsi="Arial" w:cs="Arial"/>
          <w:b/>
          <w:sz w:val="24"/>
          <w:szCs w:val="24"/>
        </w:rPr>
      </w:pPr>
      <w:r w:rsidRPr="007B38E0">
        <w:rPr>
          <w:rFonts w:ascii="Arial" w:hAnsi="Arial" w:cs="Arial"/>
          <w:b/>
          <w:sz w:val="24"/>
          <w:szCs w:val="24"/>
        </w:rPr>
        <w:t xml:space="preserve">Tabelul </w:t>
      </w:r>
      <w:r>
        <w:rPr>
          <w:rFonts w:ascii="Arial" w:hAnsi="Arial" w:cs="Arial"/>
          <w:b/>
          <w:sz w:val="24"/>
          <w:szCs w:val="24"/>
        </w:rPr>
        <w:t>III</w:t>
      </w:r>
      <w:r w:rsidRPr="007B38E0">
        <w:rPr>
          <w:rFonts w:ascii="Arial" w:hAnsi="Arial" w:cs="Arial"/>
          <w:b/>
          <w:sz w:val="24"/>
          <w:szCs w:val="24"/>
        </w:rPr>
        <w:t>.1.</w:t>
      </w:r>
      <w:r>
        <w:rPr>
          <w:rFonts w:ascii="Arial" w:hAnsi="Arial" w:cs="Arial"/>
          <w:b/>
          <w:sz w:val="24"/>
          <w:szCs w:val="24"/>
        </w:rPr>
        <w:t>1-</w:t>
      </w:r>
      <w:r w:rsidRPr="007B38E0">
        <w:rPr>
          <w:rFonts w:ascii="Arial" w:hAnsi="Arial" w:cs="Arial"/>
          <w:b/>
          <w:sz w:val="24"/>
          <w:szCs w:val="24"/>
        </w:rPr>
        <w:t>2. Repartiţia terenurilor pe clase de pretabilitate în judeţul Brăila</w:t>
      </w:r>
    </w:p>
    <w:p w:rsidR="00D07F84" w:rsidRPr="007B38E0" w:rsidRDefault="00D07F84" w:rsidP="00D07F84">
      <w:pPr>
        <w:pStyle w:val="BodyTextIndent"/>
        <w:spacing w:after="0" w:line="240" w:lineRule="auto"/>
        <w:jc w:val="both"/>
        <w:rPr>
          <w:rFonts w:ascii="Arial" w:hAnsi="Arial" w:cs="Arial"/>
          <w:b/>
          <w:sz w:val="24"/>
          <w:szCs w:val="24"/>
        </w:rPr>
      </w:pPr>
    </w:p>
    <w:tbl>
      <w:tblPr>
        <w:tblW w:w="0" w:type="auto"/>
        <w:tblInd w:w="39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7"/>
        <w:gridCol w:w="1003"/>
        <w:gridCol w:w="723"/>
        <w:gridCol w:w="884"/>
        <w:gridCol w:w="1017"/>
        <w:gridCol w:w="1364"/>
        <w:gridCol w:w="884"/>
        <w:gridCol w:w="884"/>
        <w:gridCol w:w="1510"/>
      </w:tblGrid>
      <w:tr w:rsidR="00D07F84" w:rsidRPr="007B38E0" w:rsidTr="00012F90">
        <w:tc>
          <w:tcPr>
            <w:tcW w:w="677"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Nr. crt.</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Specif.</w:t>
            </w:r>
          </w:p>
        </w:tc>
        <w:tc>
          <w:tcPr>
            <w:tcW w:w="0" w:type="auto"/>
            <w:vMerge w:val="restart"/>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U.M.</w:t>
            </w:r>
          </w:p>
        </w:tc>
        <w:tc>
          <w:tcPr>
            <w:tcW w:w="0" w:type="auto"/>
            <w:gridSpan w:val="6"/>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Clase de bonitate ale solurilor</w:t>
            </w:r>
          </w:p>
        </w:tc>
      </w:tr>
      <w:tr w:rsidR="00D07F84" w:rsidRPr="007B38E0" w:rsidTr="00012F90">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I</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II</w:t>
            </w:r>
          </w:p>
        </w:tc>
        <w:tc>
          <w:tcPr>
            <w:tcW w:w="1364"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III</w:t>
            </w:r>
          </w:p>
        </w:tc>
        <w:tc>
          <w:tcPr>
            <w:tcW w:w="884"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IV</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V</w:t>
            </w:r>
          </w:p>
        </w:tc>
        <w:tc>
          <w:tcPr>
            <w:tcW w:w="0" w:type="auto"/>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center"/>
              <w:rPr>
                <w:rFonts w:ascii="Arial" w:hAnsi="Arial" w:cs="Arial"/>
                <w:b/>
              </w:rPr>
            </w:pPr>
            <w:r w:rsidRPr="007B38E0">
              <w:rPr>
                <w:rFonts w:ascii="Arial" w:hAnsi="Arial" w:cs="Arial"/>
                <w:b/>
              </w:rPr>
              <w:t>Total cartat</w:t>
            </w:r>
          </w:p>
          <w:p w:rsidR="00D07F84" w:rsidRPr="007B38E0" w:rsidRDefault="00D07F84" w:rsidP="00012F90">
            <w:pPr>
              <w:jc w:val="center"/>
              <w:rPr>
                <w:rFonts w:ascii="Arial" w:hAnsi="Arial" w:cs="Arial"/>
                <w:b/>
              </w:rPr>
            </w:pPr>
            <w:r w:rsidRPr="007B38E0">
              <w:rPr>
                <w:rFonts w:ascii="Arial" w:hAnsi="Arial" w:cs="Arial"/>
                <w:b/>
              </w:rPr>
              <w:t>(ha)</w:t>
            </w:r>
          </w:p>
        </w:tc>
      </w:tr>
      <w:tr w:rsidR="00D07F84" w:rsidRPr="007B38E0" w:rsidTr="00012F90">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Arabil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24230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146</w:t>
            </w:r>
            <w:r>
              <w:rPr>
                <w:rFonts w:ascii="Arial" w:hAnsi="Arial" w:cs="Arial"/>
              </w:rPr>
              <w:t>752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131086</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35384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13968</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Pr>
                <w:rFonts w:ascii="Arial" w:hAnsi="Arial" w:cs="Arial"/>
              </w:rPr>
              <w:t>3514</w:t>
            </w:r>
            <w:r w:rsidRPr="007B38E0">
              <w:rPr>
                <w:rFonts w:ascii="Arial" w:hAnsi="Arial" w:cs="Arial"/>
              </w:rPr>
              <w:t>2</w:t>
            </w:r>
            <w:r>
              <w:rPr>
                <w:rFonts w:ascii="Arial" w:hAnsi="Arial" w:cs="Arial"/>
              </w:rPr>
              <w:t>0</w:t>
            </w:r>
          </w:p>
        </w:tc>
      </w:tr>
      <w:tr w:rsidR="00D07F84" w:rsidRPr="007B38E0" w:rsidTr="00012F90">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Păşuni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2346</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11417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Pr>
                <w:rFonts w:ascii="Arial" w:hAnsi="Arial" w:cs="Arial"/>
              </w:rPr>
              <w:t>2017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15342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31</w:t>
            </w:r>
            <w:r>
              <w:rPr>
                <w:rFonts w:ascii="Arial" w:hAnsi="Arial" w:cs="Arial"/>
              </w:rPr>
              <w:t>132</w:t>
            </w:r>
          </w:p>
        </w:tc>
      </w:tr>
      <w:tr w:rsidR="00D07F84" w:rsidRPr="007B38E0" w:rsidTr="00012F90">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Vii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247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1715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1437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1131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30</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4560</w:t>
            </w:r>
          </w:p>
        </w:tc>
      </w:tr>
      <w:tr w:rsidR="00D07F84" w:rsidRPr="007B38E0" w:rsidTr="00012F90">
        <w:tc>
          <w:tcPr>
            <w:tcW w:w="677" w:type="dxa"/>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4.</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Livezi</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rPr>
            </w:pPr>
            <w:r w:rsidRPr="007B38E0">
              <w:rPr>
                <w:rFonts w:ascii="Arial" w:hAnsi="Arial" w:cs="Arial"/>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2</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293</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315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27</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rPr>
            </w:pPr>
            <w:r w:rsidRPr="007B38E0">
              <w:rPr>
                <w:rFonts w:ascii="Arial" w:hAnsi="Arial" w:cs="Arial"/>
              </w:rPr>
              <w:t>638</w:t>
            </w:r>
          </w:p>
        </w:tc>
      </w:tr>
      <w:tr w:rsidR="00D07F84" w:rsidRPr="007B38E0" w:rsidTr="00012F90">
        <w:tc>
          <w:tcPr>
            <w:tcW w:w="677" w:type="dxa"/>
            <w:tcBorders>
              <w:top w:val="single" w:sz="4" w:space="0" w:color="auto"/>
              <w:left w:val="single" w:sz="4" w:space="0" w:color="auto"/>
              <w:bottom w:val="single" w:sz="4" w:space="0" w:color="auto"/>
              <w:right w:val="single" w:sz="4" w:space="0" w:color="auto"/>
            </w:tcBorders>
            <w:shd w:val="clear" w:color="auto" w:fill="DBE6C4"/>
          </w:tcPr>
          <w:p w:rsidR="00D07F84" w:rsidRPr="007B38E0" w:rsidRDefault="00D07F84" w:rsidP="00012F90">
            <w:pPr>
              <w:jc w:val="both"/>
              <w:rPr>
                <w:rFonts w:ascii="Arial" w:hAnsi="Arial" w:cs="Arial"/>
              </w:rPr>
            </w:pP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b/>
              </w:rPr>
            </w:pPr>
            <w:r w:rsidRPr="007B38E0">
              <w:rPr>
                <w:rFonts w:ascii="Arial" w:hAnsi="Arial" w:cs="Arial"/>
                <w:b/>
              </w:rPr>
              <w:t>Total</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both"/>
              <w:rPr>
                <w:rFonts w:ascii="Arial" w:hAnsi="Arial" w:cs="Arial"/>
                <w:b/>
              </w:rPr>
            </w:pPr>
            <w:r w:rsidRPr="007B38E0">
              <w:rPr>
                <w:rFonts w:ascii="Arial" w:hAnsi="Arial" w:cs="Arial"/>
                <w:b/>
              </w:rPr>
              <w:t>ha</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b/>
              </w:rPr>
            </w:pPr>
            <w:r w:rsidRPr="007B38E0">
              <w:rPr>
                <w:rFonts w:ascii="Arial" w:hAnsi="Arial" w:cs="Arial"/>
                <w:b/>
              </w:rPr>
              <w:t>24489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b/>
              </w:rPr>
            </w:pPr>
            <w:r>
              <w:rPr>
                <w:rFonts w:ascii="Arial" w:hAnsi="Arial" w:cs="Arial"/>
                <w:b/>
              </w:rPr>
              <w:t>151106</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b/>
              </w:rPr>
            </w:pPr>
            <w:r w:rsidRPr="007B38E0">
              <w:rPr>
                <w:rFonts w:ascii="Arial" w:hAnsi="Arial" w:cs="Arial"/>
                <w:b/>
              </w:rPr>
              <w:t>144255</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b/>
              </w:rPr>
            </w:pPr>
            <w:r w:rsidRPr="007B38E0">
              <w:rPr>
                <w:rFonts w:ascii="Arial" w:hAnsi="Arial" w:cs="Arial"/>
                <w:b/>
              </w:rPr>
              <w:t>385</w:t>
            </w:r>
            <w:r>
              <w:rPr>
                <w:rFonts w:ascii="Arial" w:hAnsi="Arial" w:cs="Arial"/>
                <w:b/>
              </w:rPr>
              <w:t>59</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b/>
              </w:rPr>
            </w:pPr>
            <w:r w:rsidRPr="007B38E0">
              <w:rPr>
                <w:rFonts w:ascii="Arial" w:hAnsi="Arial" w:cs="Arial"/>
                <w:b/>
              </w:rPr>
              <w:t>29</w:t>
            </w:r>
            <w:r>
              <w:rPr>
                <w:rFonts w:ascii="Arial" w:hAnsi="Arial" w:cs="Arial"/>
                <w:b/>
              </w:rPr>
              <w:t>341</w:t>
            </w:r>
          </w:p>
        </w:tc>
        <w:tc>
          <w:tcPr>
            <w:tcW w:w="0" w:type="auto"/>
            <w:tcBorders>
              <w:top w:val="single" w:sz="4" w:space="0" w:color="auto"/>
              <w:left w:val="single" w:sz="4" w:space="0" w:color="auto"/>
              <w:bottom w:val="single" w:sz="4" w:space="0" w:color="auto"/>
              <w:right w:val="single" w:sz="4" w:space="0" w:color="auto"/>
            </w:tcBorders>
            <w:shd w:val="clear" w:color="auto" w:fill="DBE6C4"/>
            <w:hideMark/>
          </w:tcPr>
          <w:p w:rsidR="00D07F84" w:rsidRPr="007B38E0" w:rsidRDefault="00D07F84" w:rsidP="00012F90">
            <w:pPr>
              <w:jc w:val="right"/>
              <w:rPr>
                <w:rFonts w:ascii="Arial" w:hAnsi="Arial" w:cs="Arial"/>
                <w:b/>
              </w:rPr>
            </w:pPr>
            <w:r w:rsidRPr="007B38E0">
              <w:rPr>
                <w:rFonts w:ascii="Arial" w:hAnsi="Arial" w:cs="Arial"/>
                <w:b/>
              </w:rPr>
              <w:t>387</w:t>
            </w:r>
            <w:r>
              <w:rPr>
                <w:rFonts w:ascii="Arial" w:hAnsi="Arial" w:cs="Arial"/>
                <w:b/>
              </w:rPr>
              <w:t>750</w:t>
            </w:r>
          </w:p>
        </w:tc>
      </w:tr>
    </w:tbl>
    <w:p w:rsidR="00D07F84" w:rsidRDefault="00D07F84" w:rsidP="00D07F84">
      <w:pPr>
        <w:tabs>
          <w:tab w:val="left" w:pos="2160"/>
          <w:tab w:val="left" w:leader="dot" w:pos="8820"/>
        </w:tabs>
        <w:ind w:left="1980" w:right="360"/>
        <w:jc w:val="both"/>
        <w:rPr>
          <w:rFonts w:ascii="Arial" w:hAnsi="Arial" w:cs="Arial"/>
          <w:color w:val="00B050"/>
          <w:lang w:val="ro-RO"/>
        </w:rPr>
      </w:pPr>
    </w:p>
    <w:p w:rsidR="00D07F84" w:rsidRPr="00ED1899" w:rsidRDefault="00D07F84" w:rsidP="00D07F84">
      <w:pPr>
        <w:tabs>
          <w:tab w:val="left" w:leader="dot" w:pos="9072"/>
        </w:tabs>
        <w:jc w:val="both"/>
        <w:rPr>
          <w:rFonts w:ascii="Arial" w:hAnsi="Arial" w:cs="Arial"/>
          <w:lang w:val="it-IT"/>
        </w:rPr>
      </w:pPr>
      <w:r>
        <w:rPr>
          <w:rFonts w:ascii="Arial" w:hAnsi="Arial" w:cs="Arial"/>
          <w:lang w:val="it-IT"/>
        </w:rPr>
        <w:t>Ponderea tipurilor de folosințe din totalul agricol la nivelul anului 2010 este redat în figura III.1.1-1:</w:t>
      </w:r>
    </w:p>
    <w:p w:rsidR="00D07F84" w:rsidRDefault="00D07F84" w:rsidP="00D07F84">
      <w:pPr>
        <w:tabs>
          <w:tab w:val="left" w:pos="2160"/>
          <w:tab w:val="left" w:leader="dot" w:pos="8820"/>
        </w:tabs>
        <w:ind w:left="1980" w:right="360"/>
        <w:jc w:val="both"/>
        <w:rPr>
          <w:rFonts w:ascii="Arial" w:hAnsi="Arial" w:cs="Arial"/>
          <w:color w:val="00B050"/>
          <w:lang w:val="ro-RO"/>
        </w:rPr>
      </w:pPr>
    </w:p>
    <w:p w:rsidR="00D07F84" w:rsidRDefault="00D07F84" w:rsidP="00D07F84">
      <w:pPr>
        <w:tabs>
          <w:tab w:val="left" w:pos="2160"/>
          <w:tab w:val="left" w:leader="dot" w:pos="8820"/>
        </w:tabs>
        <w:ind w:left="1134" w:right="360"/>
        <w:rPr>
          <w:rFonts w:ascii="Arial" w:hAnsi="Arial" w:cs="Arial"/>
          <w:color w:val="00B050"/>
          <w:lang w:val="ro-RO"/>
        </w:rPr>
      </w:pPr>
      <w:r>
        <w:rPr>
          <w:rFonts w:ascii="Arial" w:hAnsi="Arial" w:cs="Arial"/>
          <w:noProof/>
          <w:color w:val="000000"/>
          <w:lang w:val="ro-RO" w:eastAsia="ro-RO"/>
        </w:rPr>
        <w:drawing>
          <wp:inline distT="0" distB="0" distL="0" distR="0">
            <wp:extent cx="4339087" cy="1587260"/>
            <wp:effectExtent l="0" t="0" r="0" b="0"/>
            <wp:docPr id="59" name="Objec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rsidR="00D07F84" w:rsidRDefault="00D07F84" w:rsidP="00D07F84">
      <w:pPr>
        <w:tabs>
          <w:tab w:val="left" w:pos="2160"/>
          <w:tab w:val="left" w:leader="dot" w:pos="8820"/>
        </w:tabs>
        <w:ind w:left="1134" w:right="360"/>
        <w:rPr>
          <w:rFonts w:ascii="Arial" w:hAnsi="Arial" w:cs="Arial"/>
          <w:color w:val="00B050"/>
          <w:lang w:val="ro-RO"/>
        </w:rPr>
      </w:pPr>
    </w:p>
    <w:p w:rsidR="00D07F84" w:rsidRDefault="00D07F84" w:rsidP="00D07F84">
      <w:pPr>
        <w:tabs>
          <w:tab w:val="left" w:leader="dot" w:pos="9072"/>
        </w:tabs>
        <w:jc w:val="both"/>
        <w:rPr>
          <w:rFonts w:ascii="Arial" w:hAnsi="Arial" w:cs="Arial"/>
          <w:lang w:val="it-IT"/>
        </w:rPr>
      </w:pPr>
      <w:r>
        <w:rPr>
          <w:rFonts w:ascii="Arial" w:hAnsi="Arial" w:cs="Arial"/>
          <w:lang w:val="it-IT"/>
        </w:rPr>
        <w:t>Ponderea tipurilor de folosințe din totalul agricol la nivelul anului 2014 este redat în figura III.1.1-2.:</w:t>
      </w:r>
    </w:p>
    <w:p w:rsidR="00D07F84" w:rsidRDefault="00D07F84" w:rsidP="00D07F84">
      <w:pPr>
        <w:tabs>
          <w:tab w:val="left" w:leader="dot" w:pos="9072"/>
        </w:tabs>
        <w:ind w:firstLine="709"/>
        <w:jc w:val="both"/>
        <w:rPr>
          <w:rFonts w:ascii="Arial" w:hAnsi="Arial" w:cs="Arial"/>
          <w:lang w:val="it-IT"/>
        </w:rPr>
      </w:pPr>
    </w:p>
    <w:p w:rsidR="00D07F84" w:rsidRDefault="00D07F84" w:rsidP="00D07F84">
      <w:pPr>
        <w:tabs>
          <w:tab w:val="left" w:leader="dot" w:pos="9072"/>
        </w:tabs>
        <w:ind w:firstLine="709"/>
        <w:jc w:val="both"/>
        <w:rPr>
          <w:rFonts w:ascii="Arial" w:hAnsi="Arial" w:cs="Arial"/>
          <w:lang w:val="it-IT"/>
        </w:rPr>
      </w:pPr>
    </w:p>
    <w:p w:rsidR="00D07F84" w:rsidRDefault="00D07F84" w:rsidP="00D07F84">
      <w:pPr>
        <w:tabs>
          <w:tab w:val="left" w:leader="dot" w:pos="9072"/>
        </w:tabs>
        <w:ind w:firstLine="709"/>
        <w:jc w:val="both"/>
        <w:rPr>
          <w:rFonts w:ascii="Arial" w:hAnsi="Arial" w:cs="Arial"/>
          <w:lang w:val="it-IT"/>
        </w:rPr>
      </w:pPr>
      <w:r w:rsidRPr="00BA0BCD">
        <w:rPr>
          <w:rFonts w:ascii="Arial" w:hAnsi="Arial" w:cs="Arial"/>
          <w:noProof/>
          <w:lang w:val="ro-RO" w:eastAsia="ro-RO"/>
        </w:rPr>
        <w:lastRenderedPageBreak/>
        <w:drawing>
          <wp:inline distT="0" distB="0" distL="0" distR="0">
            <wp:extent cx="4848045" cy="1380226"/>
            <wp:effectExtent l="0" t="0" r="0" b="0"/>
            <wp:docPr id="60"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rsidR="00D07F84" w:rsidRDefault="00D07F84" w:rsidP="00D07F84">
      <w:pPr>
        <w:tabs>
          <w:tab w:val="left" w:leader="dot" w:pos="9072"/>
        </w:tabs>
        <w:ind w:firstLine="709"/>
        <w:jc w:val="both"/>
        <w:rPr>
          <w:rFonts w:ascii="Arial" w:hAnsi="Arial" w:cs="Arial"/>
          <w:lang w:val="it-IT"/>
        </w:rPr>
      </w:pPr>
    </w:p>
    <w:p w:rsidR="00D07F84" w:rsidRDefault="00D07F84" w:rsidP="00D07F84">
      <w:pPr>
        <w:tabs>
          <w:tab w:val="left" w:leader="dot" w:pos="9072"/>
        </w:tabs>
        <w:jc w:val="both"/>
        <w:rPr>
          <w:rFonts w:ascii="Arial" w:hAnsi="Arial" w:cs="Arial"/>
          <w:lang w:val="it-IT"/>
        </w:rPr>
      </w:pPr>
      <w:r>
        <w:rPr>
          <w:rFonts w:ascii="Arial" w:hAnsi="Arial" w:cs="Arial"/>
          <w:lang w:val="it-IT"/>
        </w:rPr>
        <w:t xml:space="preserve">Modificările în ponderea tipurilor de folosințe în perioada 2010-2014 au fost foarte mici, terenurile arabile având o foarte ușoară creștere iar pășunile și viile o foarte ușoară scădere.   </w:t>
      </w:r>
    </w:p>
    <w:p w:rsidR="00D07F84" w:rsidRDefault="00D07F84" w:rsidP="00D07F84">
      <w:pPr>
        <w:tabs>
          <w:tab w:val="left" w:leader="dot" w:pos="9072"/>
        </w:tabs>
        <w:ind w:firstLine="709"/>
        <w:jc w:val="both"/>
        <w:rPr>
          <w:rFonts w:ascii="Arial" w:hAnsi="Arial" w:cs="Arial"/>
          <w:lang w:val="it-IT"/>
        </w:rPr>
      </w:pPr>
    </w:p>
    <w:p w:rsidR="00D07F84" w:rsidRDefault="00D07F84" w:rsidP="00D07F84">
      <w:pPr>
        <w:pStyle w:val="BodyTextIndent"/>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ab/>
        <w:t xml:space="preserve">III.1.2. Terenuri afectate de diverși factori limitativi </w:t>
      </w:r>
    </w:p>
    <w:p w:rsidR="00D07F84" w:rsidRDefault="00D07F84" w:rsidP="00D07F84">
      <w:pPr>
        <w:pStyle w:val="BodyTextIndent"/>
        <w:tabs>
          <w:tab w:val="left" w:pos="2478"/>
        </w:tabs>
        <w:spacing w:after="0" w:line="240" w:lineRule="auto"/>
        <w:ind w:left="0"/>
        <w:jc w:val="both"/>
        <w:rPr>
          <w:rFonts w:ascii="Arial" w:hAnsi="Arial" w:cs="Arial"/>
          <w:b/>
          <w:color w:val="000000"/>
          <w:sz w:val="24"/>
          <w:szCs w:val="24"/>
          <w:lang w:val="ro-RO"/>
        </w:rPr>
      </w:pPr>
    </w:p>
    <w:p w:rsidR="00D07F84" w:rsidRPr="007B38E0" w:rsidRDefault="00D07F84" w:rsidP="00D07F84">
      <w:pPr>
        <w:pStyle w:val="BodyTextIndent2BodyTextIndent2Char"/>
        <w:ind w:left="0"/>
        <w:rPr>
          <w:rFonts w:ascii="Arial" w:hAnsi="Arial" w:cs="Arial"/>
          <w:sz w:val="24"/>
          <w:szCs w:val="24"/>
        </w:rPr>
      </w:pPr>
      <w:r>
        <w:rPr>
          <w:rFonts w:ascii="Arial" w:hAnsi="Arial" w:cs="Arial"/>
          <w:sz w:val="24"/>
          <w:szCs w:val="24"/>
        </w:rPr>
        <w:t>C</w:t>
      </w:r>
      <w:r w:rsidRPr="007B38E0">
        <w:rPr>
          <w:rFonts w:ascii="Arial" w:hAnsi="Arial" w:cs="Arial"/>
          <w:sz w:val="24"/>
          <w:szCs w:val="24"/>
        </w:rPr>
        <w:t>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Restricţiile calităţii solurilor, cu referire la degradare şi potenţial productiv redus, se regăsesc în următoarele grupări de soluri:</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a) Soluri sărăturate sau afectate de sărăturare: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 soluri halomorfe (solonceacuri, soloneţuri, complex de solonceacuri-soloneţuri), având un potenţial productiv foarte redus (pajişti foarte slabe);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 cernozomuri sărăturate (salinizate şi alcalizate);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 soluri aluviale sărăturate (salinizate şi alcalizate).</w:t>
      </w: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Dacă solurile halomorfe în majoritate au origine primară, procesele de sărăturare pe cernozomuri şi soluri aluviale sunt de origine antropică (secundară) şi au apărut în condiţiile îndiguirii şi neaplicării lucrărilor ameliorative pe lunci şi în condiţiile pierderilor de apă din amenajările de irigaţie, ridicării pânzei freatice şi neaplicării tehnologiilor ameliorative corespunzătoare.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b) Soluri afectate de exces de umiditate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În luncă excesul periodic de apă se produce cu precădere în zonele controlate de fluviu şi râuri (lunci şi zone depresionare de câmpie) şi sub incidenţa aportului de apă din precipitaţii sau irigaţii.</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c) Soluri afectate de compactare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În luncă aceste soluri sunt frecvente. S-au format datorită configuraţiei litologice favorabile (prezenţa cu preponderenţă a fracţiunilor fine în stratul arabil) cât şi prin efectuarea lucrărilor agricole în condiţii de umiditate ridicată, toamna târziu.</w:t>
      </w: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În câmpie procesele de compactare sunt localizate frecvent la adâncimea părţii inferioare a stratului arabil (talpa plugului) datorându-se agrotehnicii necorespunzătoare aplicate.</w:t>
      </w:r>
    </w:p>
    <w:p w:rsidR="00D07F84" w:rsidRPr="007B38E0" w:rsidRDefault="00D07F84" w:rsidP="00D07F84">
      <w:pPr>
        <w:pStyle w:val="BodyTextIndent2BodyTextIndent2Char"/>
        <w:ind w:left="0" w:firstLine="737"/>
        <w:rPr>
          <w:rFonts w:ascii="Arial" w:hAnsi="Arial" w:cs="Arial"/>
          <w:sz w:val="24"/>
          <w:szCs w:val="24"/>
        </w:rPr>
      </w:pPr>
      <w:r w:rsidRPr="007B38E0">
        <w:rPr>
          <w:rFonts w:ascii="Arial" w:hAnsi="Arial" w:cs="Arial"/>
          <w:sz w:val="24"/>
          <w:szCs w:val="24"/>
        </w:rPr>
        <w:t>d) Soluri afectate de eroziune eoliană</w:t>
      </w: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Sunt soluri nisipoase situate majoritatea în câmpia Călmăţuiului şi pe terasele râului Buzău. Datorită texturii grosiere, a fertilităţii reduse şi a vegetaţiei slab reprezentate, aceste soluri sunt frecvent supuse deflaţiei, reclamând intervenţii de fixare şi aplicarea unor sisteme de agricultură ameliorativă specifice. După anul 1991, odată cu defrişările intense ale plantaţiilor de vii şi tăierea necontrolată a perdelelor forestiere, fenomenul de eroziune prin deflaţie pe aceste soluri s-a accentuat.</w:t>
      </w:r>
    </w:p>
    <w:p w:rsidR="00D07F84" w:rsidRPr="009F217B" w:rsidRDefault="00D07F84" w:rsidP="00D07F84">
      <w:pPr>
        <w:ind w:firstLine="720"/>
        <w:jc w:val="both"/>
        <w:rPr>
          <w:rFonts w:ascii="Arial" w:eastAsia="Times New Roman" w:hAnsi="Arial" w:cs="Arial"/>
          <w:lang w:val="ro-RO"/>
        </w:rPr>
      </w:pPr>
      <w:r w:rsidRPr="009F217B">
        <w:rPr>
          <w:rFonts w:ascii="Arial" w:eastAsia="Times New Roman" w:hAnsi="Arial" w:cs="Arial"/>
          <w:lang w:val="ro-RO"/>
        </w:rPr>
        <w:t>e) Zone vulnerabile şi potenţial vulnerabile la poluarea cu nitraţi din surse agricole</w:t>
      </w:r>
    </w:p>
    <w:p w:rsidR="00D07F84" w:rsidRPr="009F217B" w:rsidRDefault="00D07F84" w:rsidP="00D07F84">
      <w:pPr>
        <w:jc w:val="both"/>
        <w:rPr>
          <w:rFonts w:ascii="Arial" w:eastAsia="Times New Roman" w:hAnsi="Arial" w:cs="Arial"/>
          <w:lang w:val="ro-RO"/>
        </w:rPr>
      </w:pPr>
      <w:r w:rsidRPr="009F217B">
        <w:rPr>
          <w:rFonts w:ascii="Arial" w:eastAsia="Times New Roman" w:hAnsi="Arial" w:cs="Arial"/>
          <w:lang w:val="ro-RO"/>
        </w:rPr>
        <w:t xml:space="preserve">La sfârşitul anului </w:t>
      </w:r>
      <w:smartTag w:uri="urn:schemas-microsoft-com:office:smarttags" w:element="metricconverter">
        <w:smartTagPr>
          <w:attr w:name="ProductID" w:val="2008 a"/>
        </w:smartTagPr>
        <w:r w:rsidRPr="009F217B">
          <w:rPr>
            <w:rFonts w:ascii="Arial" w:eastAsia="Times New Roman" w:hAnsi="Arial" w:cs="Arial"/>
            <w:lang w:val="ro-RO"/>
          </w:rPr>
          <w:t>2008 a</w:t>
        </w:r>
      </w:smartTag>
      <w:r w:rsidRPr="009F217B">
        <w:rPr>
          <w:rFonts w:ascii="Arial" w:eastAsia="Times New Roman" w:hAnsi="Arial" w:cs="Arial"/>
          <w:lang w:val="ro-RO"/>
        </w:rPr>
        <w:t xml:space="preserve"> fost emis Ordinul nr. 1.552/743  al Ministrului Mediului şi Dezvoltării Durabile şi al Ministrului Agriculturii şi Dezvoltării Rurale pentru aprobarea listei localităţilor, pe judeţe, unde există surse de nitraţi din activităţi agricole. În judeţul Brăila acestă listă cuprinde 40 de localităţi. </w:t>
      </w:r>
    </w:p>
    <w:p w:rsidR="00D07F84" w:rsidRPr="009F217B" w:rsidRDefault="00D07F84" w:rsidP="00D07F84">
      <w:pPr>
        <w:jc w:val="both"/>
        <w:rPr>
          <w:rFonts w:ascii="Arial" w:eastAsia="Times New Roman" w:hAnsi="Arial" w:cs="Arial"/>
          <w:lang w:val="ro-RO"/>
        </w:rPr>
      </w:pPr>
      <w:r w:rsidRPr="009F217B">
        <w:rPr>
          <w:rFonts w:ascii="Arial" w:eastAsia="Times New Roman" w:hAnsi="Arial" w:cs="Arial"/>
          <w:lang w:val="ro-RO"/>
        </w:rPr>
        <w:lastRenderedPageBreak/>
        <w:t>Pentru exploataţiile agricole cu un număr de animale cuprins între 8 şi 100 UVM de pe raza localităţilor vulnerabile la poluarea cu nitraţi este obligatorie aplicarea măsurilor din Programul de acţiune pentru zonele vulnerabile la nitraţi din surse agricole. Consiliile locale au elaborat planuri de acţiune locale care cuprind măsuri pentru protecţia apelor şi solului împotriva poluării cu nitraţi pentru localităţile respective.</w:t>
      </w:r>
    </w:p>
    <w:p w:rsidR="00D07F84" w:rsidRPr="009F217B" w:rsidRDefault="00D07F84" w:rsidP="00D07F84">
      <w:pPr>
        <w:jc w:val="both"/>
        <w:rPr>
          <w:rFonts w:ascii="Arial" w:eastAsia="Times New Roman" w:hAnsi="Arial" w:cs="Arial"/>
          <w:lang w:val="ro-RO"/>
        </w:rPr>
      </w:pPr>
      <w:r w:rsidRPr="009F217B">
        <w:rPr>
          <w:rFonts w:ascii="Arial" w:eastAsia="Times New Roman" w:hAnsi="Arial" w:cs="Arial"/>
          <w:lang w:val="ro-RO"/>
        </w:rPr>
        <w:t>Pentru o mai bună gospodărire a solului în zonele identificate drept vulnerabile se aplică obligatoriu „Codul de bune practici agricole”. Totodată, s-a organizat „Sistemul naţional de monitoring integrat al solului, de supraveghere, control şi decizii pentru reducerea aportului de poluanţi proveniţi din surse agricole şi de management al reziduurilor organice provenite din zootehnie în zone vulnerabile şi potenţial vulnerabile la poluarea cu nitraţi” .</w:t>
      </w:r>
    </w:p>
    <w:p w:rsidR="00D07F84" w:rsidRPr="001E2488" w:rsidRDefault="00D07F84" w:rsidP="00D07F84">
      <w:pPr>
        <w:autoSpaceDE w:val="0"/>
        <w:autoSpaceDN w:val="0"/>
        <w:adjustRightInd w:val="0"/>
        <w:jc w:val="both"/>
        <w:rPr>
          <w:rFonts w:ascii="Arial" w:eastAsia="Times New Roman" w:hAnsi="Arial" w:cs="Arial"/>
          <w:lang w:val="ro-RO"/>
        </w:rPr>
      </w:pPr>
      <w:r w:rsidRPr="009F217B">
        <w:rPr>
          <w:rFonts w:ascii="Arial" w:eastAsia="Times New Roman" w:hAnsi="Arial" w:cs="Arial"/>
          <w:lang w:val="ro-RO"/>
        </w:rPr>
        <w:t xml:space="preserve">Pentru 3 comune - Vădeni, Movila Miresii și Chiscani- s-au reglementat 3 proiecte pentru realizarea a trei platforme </w:t>
      </w:r>
      <w:r w:rsidRPr="009F217B">
        <w:rPr>
          <w:rFonts w:eastAsia="Times New Roman"/>
          <w:lang w:val="ro-RO"/>
        </w:rPr>
        <w:t>de depozitare și gospodărire a gunoiului de grajd (compostare) în cadrul p</w:t>
      </w:r>
      <w:r w:rsidRPr="009F217B">
        <w:rPr>
          <w:rFonts w:ascii="Arial" w:eastAsia="Times New Roman" w:hAnsi="Arial" w:cs="Arial"/>
          <w:lang w:val="ro-RO"/>
        </w:rPr>
        <w:t>roiectului „Controlul Integrat al Poluării cu Nutrienţi,” derulat de autoritatea centrală pentru protecția mediului, pentru primele două lucrările fiind deja finalizate și recepționate în februarie 2015.</w:t>
      </w:r>
    </w:p>
    <w:p w:rsidR="00D07F84" w:rsidRDefault="00D07F84" w:rsidP="00D07F84">
      <w:pPr>
        <w:tabs>
          <w:tab w:val="left" w:leader="dot" w:pos="9072"/>
        </w:tabs>
        <w:ind w:firstLine="709"/>
        <w:jc w:val="both"/>
        <w:rPr>
          <w:rFonts w:ascii="Arial" w:hAnsi="Arial" w:cs="Arial"/>
          <w:lang w:val="it-IT"/>
        </w:rPr>
      </w:pPr>
    </w:p>
    <w:p w:rsidR="00D07F84" w:rsidRDefault="00D07F84" w:rsidP="00D07F84">
      <w:pPr>
        <w:pStyle w:val="Footer"/>
        <w:tabs>
          <w:tab w:val="left" w:pos="0"/>
        </w:tabs>
        <w:jc w:val="both"/>
        <w:rPr>
          <w:rFonts w:ascii="Arial" w:hAnsi="Arial" w:cs="Arial"/>
          <w:b/>
          <w:color w:val="000000"/>
          <w:sz w:val="24"/>
          <w:szCs w:val="24"/>
          <w:lang w:val="it-IT"/>
        </w:rPr>
      </w:pPr>
      <w:r>
        <w:rPr>
          <w:rFonts w:ascii="Arial" w:hAnsi="Arial" w:cs="Arial"/>
          <w:b/>
          <w:color w:val="000000"/>
          <w:sz w:val="24"/>
          <w:szCs w:val="24"/>
          <w:lang w:val="it-IT"/>
        </w:rPr>
        <w:t>III.2. Zone critice sub aspectul deteriorării solurilor</w:t>
      </w:r>
    </w:p>
    <w:p w:rsidR="00D07F84" w:rsidRDefault="00D07F84" w:rsidP="00D07F84">
      <w:pPr>
        <w:ind w:firstLine="709"/>
        <w:jc w:val="both"/>
        <w:rPr>
          <w:rFonts w:ascii="Arial" w:hAnsi="Arial" w:cs="Arial"/>
          <w:b/>
          <w:color w:val="000000"/>
          <w:lang w:val="it-IT"/>
        </w:rPr>
      </w:pPr>
      <w:r>
        <w:rPr>
          <w:rFonts w:ascii="Arial" w:hAnsi="Arial" w:cs="Arial"/>
          <w:b/>
          <w:color w:val="000000"/>
          <w:lang w:val="it-IT"/>
        </w:rPr>
        <w:t>III.2.1 Zone afectate de procese naturale</w:t>
      </w:r>
    </w:p>
    <w:p w:rsidR="00D07F84" w:rsidRDefault="00D07F84" w:rsidP="00D07F84">
      <w:pPr>
        <w:pStyle w:val="BodyTextIndent2BodyTextIndent2Char"/>
        <w:ind w:left="0"/>
        <w:rPr>
          <w:rFonts w:ascii="Arial" w:hAnsi="Arial" w:cs="Arial"/>
          <w:sz w:val="24"/>
          <w:szCs w:val="24"/>
        </w:rPr>
      </w:pP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Din inventarierea efectuată de Oficiul Judeţean pentru Studii Pedologice şi Agrochimice Brăila, calitatea solului este afectată de una sau mai multe restricţii. Influenţele dăunătoare ale acestora se reflectă în deteriorarea caracteristicilor şi funcţiilor solului, respectiv în capacitatea lor bioproductivă, dar ceea ce este şi mai grav, asupra calităţii produselor agricole şi a securităţii alimentare.</w:t>
      </w: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Aceste restricţii sunt determinate fie de factori naturali (climă, forme de relief, caracteristici edafice etc.), fie de acţiuni antropice agricole şi industriale. Factorii menţionaţi pot acţiona sinergic în sens negativ, având ca efect scăderea calităţii solurilor şi chiar anularea funcţiilor acestora.</w:t>
      </w:r>
    </w:p>
    <w:p w:rsidR="00D07F84" w:rsidRPr="009F217B" w:rsidRDefault="00D07F84" w:rsidP="00D07F84">
      <w:pPr>
        <w:pStyle w:val="BodyTextIndent2BodyTextIndent2Char"/>
        <w:ind w:left="0"/>
        <w:rPr>
          <w:rFonts w:ascii="Arial" w:hAnsi="Arial" w:cs="Arial"/>
          <w:sz w:val="24"/>
          <w:szCs w:val="24"/>
        </w:rPr>
      </w:pPr>
      <w:r w:rsidRPr="009F217B">
        <w:rPr>
          <w:rFonts w:ascii="Arial" w:hAnsi="Arial" w:cs="Arial"/>
          <w:sz w:val="24"/>
          <w:szCs w:val="24"/>
        </w:rPr>
        <w:t>Inventarul terenurilor afectate de diferite procese este redat în tabelul de mai jos, conform informațiilor furnizate de OSPA Brăila pentru anul 2013</w:t>
      </w:r>
      <w:r>
        <w:rPr>
          <w:rFonts w:ascii="Arial" w:hAnsi="Arial" w:cs="Arial"/>
          <w:sz w:val="24"/>
          <w:szCs w:val="24"/>
        </w:rPr>
        <w:t xml:space="preserve"> este redat în tabelul de mai jos:</w:t>
      </w:r>
    </w:p>
    <w:p w:rsidR="00D07F84" w:rsidRPr="007B38E0" w:rsidRDefault="00D07F84" w:rsidP="00D07F84">
      <w:pPr>
        <w:pStyle w:val="BodyTextIndent2BodyTextIndent2Char"/>
        <w:ind w:left="0"/>
        <w:rPr>
          <w:rFonts w:ascii="Arial" w:hAnsi="Arial" w:cs="Arial"/>
          <w:b/>
          <w:sz w:val="24"/>
          <w:szCs w:val="24"/>
        </w:rPr>
      </w:pPr>
    </w:p>
    <w:p w:rsidR="00D07F84" w:rsidRPr="007B38E0" w:rsidRDefault="00D07F84" w:rsidP="00D07F84">
      <w:pPr>
        <w:pStyle w:val="BodyTextIndent2BodyTextIndent2Char"/>
        <w:ind w:left="0" w:firstLine="720"/>
        <w:rPr>
          <w:rFonts w:ascii="Arial" w:hAnsi="Arial" w:cs="Arial"/>
          <w:b/>
          <w:sz w:val="24"/>
          <w:szCs w:val="24"/>
        </w:rPr>
      </w:pPr>
      <w:r>
        <w:rPr>
          <w:rFonts w:ascii="Arial" w:hAnsi="Arial" w:cs="Arial"/>
          <w:b/>
          <w:sz w:val="24"/>
          <w:szCs w:val="24"/>
        </w:rPr>
        <w:t xml:space="preserve">     </w:t>
      </w:r>
      <w:r w:rsidRPr="007B38E0">
        <w:rPr>
          <w:rFonts w:ascii="Arial" w:hAnsi="Arial" w:cs="Arial"/>
          <w:b/>
          <w:sz w:val="24"/>
          <w:szCs w:val="24"/>
        </w:rPr>
        <w:t xml:space="preserve">Tabelul </w:t>
      </w:r>
      <w:r>
        <w:rPr>
          <w:rFonts w:ascii="Arial" w:hAnsi="Arial" w:cs="Arial"/>
          <w:b/>
          <w:sz w:val="24"/>
          <w:szCs w:val="24"/>
        </w:rPr>
        <w:t>III</w:t>
      </w:r>
      <w:r w:rsidRPr="007B38E0">
        <w:rPr>
          <w:rFonts w:ascii="Arial" w:hAnsi="Arial" w:cs="Arial"/>
          <w:b/>
          <w:sz w:val="24"/>
          <w:szCs w:val="24"/>
        </w:rPr>
        <w:t>.</w:t>
      </w:r>
      <w:r>
        <w:rPr>
          <w:rFonts w:ascii="Arial" w:hAnsi="Arial" w:cs="Arial"/>
          <w:b/>
          <w:sz w:val="24"/>
          <w:szCs w:val="24"/>
        </w:rPr>
        <w:t>2</w:t>
      </w:r>
      <w:r w:rsidRPr="007B38E0">
        <w:rPr>
          <w:rFonts w:ascii="Arial" w:hAnsi="Arial" w:cs="Arial"/>
          <w:b/>
          <w:sz w:val="24"/>
          <w:szCs w:val="24"/>
        </w:rPr>
        <w:t>.1</w:t>
      </w:r>
      <w:r>
        <w:rPr>
          <w:rFonts w:ascii="Arial" w:hAnsi="Arial" w:cs="Arial"/>
          <w:b/>
          <w:sz w:val="24"/>
          <w:szCs w:val="24"/>
        </w:rPr>
        <w:t>-1</w:t>
      </w:r>
    </w:p>
    <w:p w:rsidR="00D07F84" w:rsidRPr="007B38E0" w:rsidRDefault="00D07F84" w:rsidP="00D07F84">
      <w:pPr>
        <w:pStyle w:val="BodyTextIndent2BodyTextIndent2Char"/>
        <w:ind w:left="0" w:firstLine="720"/>
        <w:rPr>
          <w:rFonts w:ascii="Arial" w:hAnsi="Arial" w:cs="Arial"/>
          <w:b/>
          <w:sz w:val="24"/>
          <w:szCs w:val="24"/>
        </w:rPr>
      </w:pPr>
    </w:p>
    <w:tbl>
      <w:tblPr>
        <w:tblW w:w="0" w:type="auto"/>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669"/>
        <w:gridCol w:w="1471"/>
        <w:gridCol w:w="1620"/>
        <w:gridCol w:w="1800"/>
      </w:tblGrid>
      <w:tr w:rsidR="00D07F84" w:rsidRPr="007B38E0" w:rsidTr="00012F90">
        <w:tc>
          <w:tcPr>
            <w:tcW w:w="266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Tip de proces</w:t>
            </w:r>
          </w:p>
        </w:tc>
        <w:tc>
          <w:tcPr>
            <w:tcW w:w="1471" w:type="dxa"/>
            <w:tcBorders>
              <w:top w:val="single" w:sz="4" w:space="0" w:color="auto"/>
              <w:left w:val="single" w:sz="4" w:space="0" w:color="auto"/>
              <w:bottom w:val="nil"/>
              <w:right w:val="single" w:sz="4" w:space="0" w:color="auto"/>
            </w:tcBorders>
            <w:shd w:val="clear" w:color="auto" w:fill="D9D9D9"/>
            <w:vAlign w:val="center"/>
          </w:tcPr>
          <w:p w:rsidR="00D07F84" w:rsidRPr="007B38E0" w:rsidRDefault="00D07F84" w:rsidP="00012F90">
            <w:pPr>
              <w:pStyle w:val="BodyTextIndent2BodyTextIndent2Char"/>
              <w:ind w:left="0"/>
              <w:jc w:val="center"/>
              <w:rPr>
                <w:rFonts w:ascii="Arial" w:hAnsi="Arial" w:cs="Arial"/>
                <w:b/>
                <w:sz w:val="24"/>
                <w:szCs w:val="24"/>
              </w:rPr>
            </w:pPr>
          </w:p>
        </w:tc>
        <w:tc>
          <w:tcPr>
            <w:tcW w:w="1620" w:type="dxa"/>
            <w:tcBorders>
              <w:top w:val="single" w:sz="4" w:space="0" w:color="auto"/>
              <w:left w:val="single" w:sz="4" w:space="0" w:color="auto"/>
              <w:bottom w:val="nil"/>
              <w:right w:val="single" w:sz="4" w:space="0" w:color="auto"/>
            </w:tcBorders>
            <w:shd w:val="clear" w:color="auto" w:fill="D9D9D9"/>
            <w:vAlign w:val="center"/>
          </w:tcPr>
          <w:p w:rsidR="00D07F84" w:rsidRPr="007B38E0" w:rsidRDefault="00D07F84" w:rsidP="00012F90">
            <w:pPr>
              <w:pStyle w:val="BodyTextIndent2BodyTextIndent2Char"/>
              <w:ind w:left="0"/>
              <w:jc w:val="center"/>
              <w:rPr>
                <w:rFonts w:ascii="Arial" w:hAnsi="Arial" w:cs="Arial"/>
                <w:b/>
                <w:sz w:val="24"/>
                <w:szCs w:val="24"/>
              </w:rPr>
            </w:pPr>
          </w:p>
        </w:tc>
        <w:tc>
          <w:tcPr>
            <w:tcW w:w="180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07F84" w:rsidRPr="007B38E0" w:rsidRDefault="00D07F84" w:rsidP="00012F90">
            <w:pPr>
              <w:pStyle w:val="BodyTextIndent2BodyTextIndent2Char"/>
              <w:ind w:left="0"/>
              <w:jc w:val="center"/>
              <w:rPr>
                <w:rFonts w:ascii="Arial" w:hAnsi="Arial" w:cs="Arial"/>
                <w:b/>
                <w:sz w:val="24"/>
                <w:szCs w:val="24"/>
              </w:rPr>
            </w:pPr>
          </w:p>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w:t>
            </w:r>
          </w:p>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b/>
                <w:sz w:val="24"/>
                <w:szCs w:val="24"/>
              </w:rPr>
              <w:t>din totalul suprafeţei agricole</w:t>
            </w:r>
          </w:p>
        </w:tc>
      </w:tr>
      <w:tr w:rsidR="00D07F84" w:rsidRPr="007B38E0" w:rsidTr="00012F90">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eastAsia="Times New Roman" w:hAnsi="Arial" w:cs="Arial"/>
                <w:b/>
                <w:lang w:val="ro-RO"/>
              </w:rPr>
            </w:pPr>
          </w:p>
        </w:tc>
        <w:tc>
          <w:tcPr>
            <w:tcW w:w="1471" w:type="dxa"/>
            <w:tcBorders>
              <w:top w:val="nil"/>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bCs/>
              </w:rPr>
            </w:pPr>
            <w:r w:rsidRPr="007B38E0">
              <w:rPr>
                <w:rFonts w:ascii="Arial" w:hAnsi="Arial" w:cs="Arial"/>
                <w:b/>
                <w:bCs/>
              </w:rPr>
              <w:t>Suprafață</w:t>
            </w:r>
          </w:p>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b/>
                <w:sz w:val="24"/>
                <w:szCs w:val="24"/>
              </w:rPr>
              <w:t>ha</w:t>
            </w:r>
          </w:p>
        </w:tc>
        <w:tc>
          <w:tcPr>
            <w:tcW w:w="1620" w:type="dxa"/>
            <w:tcBorders>
              <w:top w:val="nil"/>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w:t>
            </w:r>
          </w:p>
          <w:p w:rsidR="00D07F84" w:rsidRPr="007B38E0" w:rsidRDefault="00D07F84" w:rsidP="00012F90">
            <w:pPr>
              <w:pStyle w:val="BodyTextIndent2BodyTextIndent2Char"/>
              <w:ind w:left="0"/>
              <w:jc w:val="center"/>
              <w:rPr>
                <w:rFonts w:ascii="Arial" w:hAnsi="Arial" w:cs="Arial"/>
                <w:sz w:val="24"/>
                <w:szCs w:val="24"/>
                <w:lang w:val="en-US"/>
              </w:rPr>
            </w:pPr>
            <w:r w:rsidRPr="007B38E0">
              <w:rPr>
                <w:rFonts w:ascii="Arial" w:hAnsi="Arial" w:cs="Arial"/>
                <w:b/>
                <w:sz w:val="24"/>
                <w:szCs w:val="24"/>
              </w:rPr>
              <w:t>din suprafa</w:t>
            </w:r>
            <w:r w:rsidRPr="007B38E0">
              <w:rPr>
                <w:rFonts w:ascii="Arial" w:hAnsi="Arial" w:cs="Arial"/>
                <w:b/>
                <w:sz w:val="24"/>
                <w:szCs w:val="24"/>
                <w:lang w:val="en-US"/>
              </w:rPr>
              <w:t>ţa afectată</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eastAsia="Times New Roman" w:hAnsi="Arial" w:cs="Arial"/>
                <w:lang w:val="ro-RO"/>
              </w:rPr>
            </w:pP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left"/>
              <w:rPr>
                <w:rFonts w:ascii="Arial" w:hAnsi="Arial" w:cs="Arial"/>
                <w:sz w:val="24"/>
                <w:szCs w:val="24"/>
              </w:rPr>
            </w:pPr>
            <w:r w:rsidRPr="007B38E0">
              <w:rPr>
                <w:rFonts w:ascii="Arial" w:hAnsi="Arial" w:cs="Arial"/>
                <w:sz w:val="24"/>
                <w:szCs w:val="24"/>
              </w:rPr>
              <w:t>Gleizare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33687,12</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29,18</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8,70</w:t>
            </w: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left"/>
              <w:rPr>
                <w:rFonts w:ascii="Arial" w:hAnsi="Arial" w:cs="Arial"/>
                <w:sz w:val="24"/>
                <w:szCs w:val="24"/>
              </w:rPr>
            </w:pPr>
            <w:r w:rsidRPr="007B38E0">
              <w:rPr>
                <w:rFonts w:ascii="Arial" w:hAnsi="Arial" w:cs="Arial"/>
                <w:sz w:val="24"/>
                <w:szCs w:val="24"/>
              </w:rPr>
              <w:t>Salinizate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17469,75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15,13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4,51</w:t>
            </w: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left"/>
              <w:rPr>
                <w:rFonts w:ascii="Arial" w:hAnsi="Arial" w:cs="Arial"/>
                <w:sz w:val="24"/>
                <w:szCs w:val="24"/>
              </w:rPr>
            </w:pPr>
            <w:r w:rsidRPr="007B38E0">
              <w:rPr>
                <w:rFonts w:ascii="Arial" w:hAnsi="Arial" w:cs="Arial"/>
                <w:sz w:val="24"/>
                <w:szCs w:val="24"/>
              </w:rPr>
              <w:t>Sodizate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6042,95</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5,23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1,56</w:t>
            </w: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left"/>
              <w:rPr>
                <w:rFonts w:ascii="Arial" w:hAnsi="Arial" w:cs="Arial"/>
                <w:sz w:val="24"/>
                <w:szCs w:val="24"/>
              </w:rPr>
            </w:pPr>
            <w:r w:rsidRPr="007B38E0">
              <w:rPr>
                <w:rFonts w:ascii="Arial" w:hAnsi="Arial" w:cs="Arial"/>
                <w:sz w:val="24"/>
                <w:szCs w:val="24"/>
              </w:rPr>
              <w:t>Salinizare + sodizare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35939,99</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31,13</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9,28</w:t>
            </w: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left"/>
              <w:rPr>
                <w:rFonts w:ascii="Arial" w:hAnsi="Arial" w:cs="Arial"/>
                <w:sz w:val="24"/>
                <w:szCs w:val="24"/>
              </w:rPr>
            </w:pPr>
            <w:r w:rsidRPr="007B38E0">
              <w:rPr>
                <w:rFonts w:ascii="Arial" w:hAnsi="Arial" w:cs="Arial"/>
                <w:sz w:val="24"/>
                <w:szCs w:val="24"/>
              </w:rPr>
              <w:t>Eroziune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770,00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0,67</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0,20</w:t>
            </w: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left"/>
              <w:rPr>
                <w:rFonts w:ascii="Arial" w:hAnsi="Arial" w:cs="Arial"/>
                <w:sz w:val="24"/>
                <w:szCs w:val="24"/>
              </w:rPr>
            </w:pPr>
            <w:r w:rsidRPr="007B38E0">
              <w:rPr>
                <w:rFonts w:ascii="Arial" w:hAnsi="Arial" w:cs="Arial"/>
                <w:sz w:val="24"/>
                <w:szCs w:val="24"/>
              </w:rPr>
              <w:t>Relief de dune</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21540,00</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18,66</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sz w:val="24"/>
                <w:szCs w:val="24"/>
              </w:rPr>
            </w:pPr>
            <w:r w:rsidRPr="007B38E0">
              <w:rPr>
                <w:rFonts w:ascii="Arial" w:hAnsi="Arial" w:cs="Arial"/>
                <w:sz w:val="24"/>
                <w:szCs w:val="24"/>
              </w:rPr>
              <w:t>5,60</w:t>
            </w:r>
          </w:p>
        </w:tc>
      </w:tr>
      <w:tr w:rsidR="00D07F84" w:rsidRPr="007B38E0" w:rsidTr="00012F90">
        <w:tc>
          <w:tcPr>
            <w:tcW w:w="2669"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Total</w:t>
            </w:r>
          </w:p>
        </w:tc>
        <w:tc>
          <w:tcPr>
            <w:tcW w:w="1471"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115451,81</w:t>
            </w:r>
          </w:p>
        </w:tc>
        <w:tc>
          <w:tcPr>
            <w:tcW w:w="162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100,00</w:t>
            </w:r>
          </w:p>
        </w:tc>
        <w:tc>
          <w:tcPr>
            <w:tcW w:w="1800" w:type="dxa"/>
            <w:tcBorders>
              <w:top w:val="single" w:sz="4" w:space="0" w:color="auto"/>
              <w:left w:val="single" w:sz="4" w:space="0" w:color="auto"/>
              <w:bottom w:val="single" w:sz="4" w:space="0" w:color="auto"/>
              <w:right w:val="single" w:sz="4" w:space="0" w:color="auto"/>
            </w:tcBorders>
            <w:shd w:val="clear" w:color="auto" w:fill="F2EFF5"/>
            <w:vAlign w:val="center"/>
            <w:hideMark/>
          </w:tcPr>
          <w:p w:rsidR="00D07F84" w:rsidRPr="007B38E0" w:rsidRDefault="00D07F84" w:rsidP="00012F90">
            <w:pPr>
              <w:pStyle w:val="BodyTextIndent2BodyTextIndent2Char"/>
              <w:ind w:left="0"/>
              <w:jc w:val="center"/>
              <w:rPr>
                <w:rFonts w:ascii="Arial" w:hAnsi="Arial" w:cs="Arial"/>
                <w:b/>
                <w:sz w:val="24"/>
                <w:szCs w:val="24"/>
              </w:rPr>
            </w:pPr>
            <w:r w:rsidRPr="007B38E0">
              <w:rPr>
                <w:rFonts w:ascii="Arial" w:hAnsi="Arial" w:cs="Arial"/>
                <w:b/>
                <w:sz w:val="24"/>
                <w:szCs w:val="24"/>
              </w:rPr>
              <w:t>29,82</w:t>
            </w:r>
          </w:p>
        </w:tc>
      </w:tr>
    </w:tbl>
    <w:p w:rsidR="00D07F84" w:rsidRDefault="00D07F84" w:rsidP="00D07F84">
      <w:pPr>
        <w:tabs>
          <w:tab w:val="left" w:pos="2160"/>
          <w:tab w:val="left" w:leader="dot" w:pos="8820"/>
        </w:tabs>
        <w:ind w:right="360"/>
        <w:jc w:val="both"/>
        <w:rPr>
          <w:rFonts w:ascii="Arial" w:hAnsi="Arial" w:cs="Arial"/>
          <w:color w:val="00B050"/>
          <w:lang w:val="ro-RO"/>
        </w:rPr>
      </w:pPr>
    </w:p>
    <w:p w:rsidR="00D07F84" w:rsidRDefault="00D07F84" w:rsidP="00D07F84">
      <w:pPr>
        <w:tabs>
          <w:tab w:val="left" w:pos="2160"/>
          <w:tab w:val="left" w:leader="dot" w:pos="8820"/>
        </w:tabs>
        <w:ind w:left="1980" w:right="360"/>
        <w:jc w:val="both"/>
        <w:rPr>
          <w:rFonts w:ascii="Arial" w:hAnsi="Arial" w:cs="Arial"/>
          <w:color w:val="00B050"/>
          <w:lang w:val="ro-RO"/>
        </w:rPr>
      </w:pPr>
    </w:p>
    <w:p w:rsidR="00D07F84" w:rsidRPr="00153C90" w:rsidRDefault="00D07F84" w:rsidP="00D07F84">
      <w:pPr>
        <w:tabs>
          <w:tab w:val="left" w:leader="dot" w:pos="8820"/>
        </w:tabs>
        <w:ind w:right="360"/>
        <w:jc w:val="both"/>
        <w:rPr>
          <w:rFonts w:ascii="Arial" w:hAnsi="Arial" w:cs="Arial"/>
          <w:b/>
          <w:lang w:val="it-IT"/>
        </w:rPr>
      </w:pPr>
      <w:r>
        <w:rPr>
          <w:rFonts w:ascii="Arial" w:hAnsi="Arial" w:cs="Arial"/>
          <w:b/>
          <w:lang w:val="it-IT"/>
        </w:rPr>
        <w:t xml:space="preserve">III.3. </w:t>
      </w:r>
      <w:r w:rsidRPr="00153C90">
        <w:rPr>
          <w:rFonts w:ascii="Arial" w:hAnsi="Arial" w:cs="Arial"/>
          <w:b/>
          <w:lang w:val="it-IT"/>
        </w:rPr>
        <w:t xml:space="preserve">Presiuni </w:t>
      </w:r>
      <w:r>
        <w:rPr>
          <w:rFonts w:ascii="Arial" w:hAnsi="Arial" w:cs="Arial"/>
          <w:b/>
          <w:lang w:val="it-IT"/>
        </w:rPr>
        <w:t xml:space="preserve">ale unor factori </w:t>
      </w:r>
      <w:r w:rsidRPr="00153C90">
        <w:rPr>
          <w:rFonts w:ascii="Arial" w:hAnsi="Arial" w:cs="Arial"/>
          <w:b/>
          <w:lang w:val="it-IT"/>
        </w:rPr>
        <w:t>asupra stării de calitate a solurilor din jude</w:t>
      </w:r>
      <w:r w:rsidRPr="00153C90">
        <w:rPr>
          <w:rFonts w:ascii="Arial" w:hAnsi="Tahoma" w:cs="Arial"/>
          <w:b/>
          <w:lang w:val="it-IT"/>
        </w:rPr>
        <w:t>ț</w:t>
      </w:r>
      <w:r w:rsidRPr="00153C90">
        <w:rPr>
          <w:rFonts w:ascii="Arial" w:hAnsi="Arial" w:cs="Arial"/>
          <w:b/>
          <w:lang w:val="it-IT"/>
        </w:rPr>
        <w:t>ul Brăila</w:t>
      </w:r>
    </w:p>
    <w:p w:rsidR="00D07F84" w:rsidRDefault="00D07F84" w:rsidP="00D07F84">
      <w:pPr>
        <w:jc w:val="both"/>
        <w:rPr>
          <w:rFonts w:ascii="Arial" w:hAnsi="Arial" w:cs="Arial"/>
          <w:b/>
          <w:lang w:val="it-IT"/>
        </w:rPr>
      </w:pPr>
    </w:p>
    <w:p w:rsidR="00D07F84" w:rsidRDefault="00D07F84" w:rsidP="00D07F84">
      <w:pPr>
        <w:jc w:val="both"/>
        <w:rPr>
          <w:rFonts w:ascii="Arial" w:hAnsi="Arial" w:cs="Arial"/>
          <w:b/>
          <w:lang w:val="it-IT"/>
        </w:rPr>
      </w:pPr>
      <w:r>
        <w:rPr>
          <w:rFonts w:ascii="Arial" w:hAnsi="Arial" w:cs="Arial"/>
          <w:b/>
          <w:lang w:val="it-IT"/>
        </w:rPr>
        <w:t xml:space="preserve">       III.3.1. </w:t>
      </w:r>
      <w:r w:rsidRPr="0038664F">
        <w:rPr>
          <w:rFonts w:ascii="Arial" w:hAnsi="Arial" w:cs="Arial"/>
          <w:b/>
          <w:lang w:val="it-IT"/>
        </w:rPr>
        <w:t>Utilizarea</w:t>
      </w:r>
      <w:r>
        <w:rPr>
          <w:rFonts w:ascii="Arial" w:hAnsi="Arial" w:cs="Arial"/>
          <w:b/>
          <w:lang w:val="it-IT"/>
        </w:rPr>
        <w:t xml:space="preserve"> și consumul de îngrăşăminte</w:t>
      </w:r>
    </w:p>
    <w:p w:rsidR="00D07F84" w:rsidRDefault="00D07F84" w:rsidP="00D07F84">
      <w:pPr>
        <w:pStyle w:val="BodyTextIndent2BodyTextIndent2Char"/>
        <w:ind w:left="0"/>
        <w:rPr>
          <w:rFonts w:ascii="Arial" w:eastAsia="SimSun" w:hAnsi="Arial" w:cs="Arial"/>
          <w:b/>
          <w:sz w:val="24"/>
          <w:szCs w:val="24"/>
          <w:lang w:val="it-IT"/>
        </w:rPr>
      </w:pP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lastRenderedPageBreak/>
        <w:t>Îngrăşămintele de orice natură, aplicate în mod raţional, ocupă un loc prioritar pentru menţinerea şi sporirea fertilităţii solului, pentru creşterea producţiilor agricole. În cazul în care sunt folosite fără a se lua în considerare natura solurilor, condiţiile meteorologice concrete şi necesităţile plantelor, pot provoca dereglarea echilibrului ecologic.</w:t>
      </w:r>
    </w:p>
    <w:p w:rsidR="00D07F84" w:rsidRDefault="00D07F84" w:rsidP="00D07F84">
      <w:pPr>
        <w:jc w:val="both"/>
        <w:rPr>
          <w:rFonts w:ascii="Arial" w:hAnsi="Arial" w:cs="Arial"/>
          <w:lang w:val="ro-RO"/>
        </w:rPr>
      </w:pPr>
    </w:p>
    <w:p w:rsidR="00D07F84" w:rsidRPr="00781577" w:rsidRDefault="00D07F84" w:rsidP="00D07F84">
      <w:pPr>
        <w:jc w:val="both"/>
        <w:rPr>
          <w:rFonts w:ascii="Arial" w:hAnsi="Arial" w:cs="Arial"/>
          <w:lang w:val="ro-RO"/>
        </w:rPr>
      </w:pPr>
      <w:r w:rsidRPr="00781577">
        <w:rPr>
          <w:rFonts w:ascii="Arial" w:hAnsi="Arial" w:cs="Arial"/>
          <w:lang w:val="pt-BR"/>
        </w:rPr>
        <w:t>Utilizarea îngrăşămintelor în anii 2010-2014</w:t>
      </w:r>
      <w:r>
        <w:rPr>
          <w:rFonts w:ascii="Arial" w:hAnsi="Arial" w:cs="Arial"/>
          <w:lang w:val="pt-BR"/>
        </w:rPr>
        <w:t xml:space="preserve"> esate redată în tabelul și graficul de mai jos.</w:t>
      </w:r>
    </w:p>
    <w:p w:rsidR="00D07F84" w:rsidRPr="007B38E0" w:rsidRDefault="00D07F84" w:rsidP="00D07F84">
      <w:pPr>
        <w:rPr>
          <w:rFonts w:ascii="Arial" w:hAnsi="Arial" w:cs="Arial"/>
          <w:b/>
          <w:lang w:val="pt-BR"/>
        </w:rPr>
      </w:pPr>
      <w:r>
        <w:rPr>
          <w:rFonts w:ascii="Arial" w:hAnsi="Arial" w:cs="Arial"/>
          <w:b/>
          <w:lang w:val="pt-BR"/>
        </w:rPr>
        <w:t xml:space="preserve">       </w:t>
      </w:r>
      <w:r w:rsidRPr="007B38E0">
        <w:rPr>
          <w:rFonts w:ascii="Arial" w:hAnsi="Arial" w:cs="Arial"/>
          <w:b/>
          <w:lang w:val="pt-BR"/>
        </w:rPr>
        <w:t xml:space="preserve">Tabelul </w:t>
      </w:r>
      <w:r>
        <w:rPr>
          <w:rFonts w:ascii="Arial" w:hAnsi="Arial" w:cs="Arial"/>
          <w:b/>
          <w:lang w:val="pt-BR"/>
        </w:rPr>
        <w:t>III</w:t>
      </w:r>
      <w:r w:rsidRPr="007B38E0">
        <w:rPr>
          <w:rFonts w:ascii="Arial" w:hAnsi="Arial" w:cs="Arial"/>
          <w:b/>
          <w:lang w:val="pt-BR"/>
        </w:rPr>
        <w:t>.3.1</w:t>
      </w:r>
      <w:r>
        <w:rPr>
          <w:rFonts w:ascii="Arial" w:hAnsi="Arial" w:cs="Arial"/>
          <w:b/>
          <w:lang w:val="pt-BR"/>
        </w:rPr>
        <w:t>-1</w:t>
      </w:r>
      <w:r w:rsidRPr="007B38E0">
        <w:rPr>
          <w:rFonts w:ascii="Arial" w:hAnsi="Arial" w:cs="Arial"/>
          <w:b/>
          <w:lang w:val="pt-BR"/>
        </w:rPr>
        <w:t xml:space="preserve"> </w:t>
      </w:r>
    </w:p>
    <w:tbl>
      <w:tblPr>
        <w:tblpPr w:leftFromText="180" w:rightFromText="180" w:vertAnchor="text" w:horzAnchor="page" w:tblpX="2063" w:tblpY="111"/>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90"/>
        <w:gridCol w:w="937"/>
        <w:gridCol w:w="947"/>
        <w:gridCol w:w="896"/>
        <w:gridCol w:w="1033"/>
        <w:gridCol w:w="1777"/>
        <w:gridCol w:w="1710"/>
      </w:tblGrid>
      <w:tr w:rsidR="00D07F84" w:rsidRPr="007B38E0" w:rsidTr="00012F90">
        <w:tc>
          <w:tcPr>
            <w:tcW w:w="89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Anul</w:t>
            </w:r>
          </w:p>
        </w:tc>
        <w:tc>
          <w:tcPr>
            <w:tcW w:w="3813" w:type="dxa"/>
            <w:gridSpan w:val="4"/>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Îngrăşăminte chimice folosite</w:t>
            </w:r>
          </w:p>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(tone substanţă activă)</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N+P2O5+K2O</w:t>
            </w:r>
          </w:p>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 kg/ha )</w:t>
            </w:r>
          </w:p>
        </w:tc>
        <w:tc>
          <w:tcPr>
            <w:tcW w:w="171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Îngrăşăminte</w:t>
            </w:r>
          </w:p>
          <w:p w:rsidR="00D07F84" w:rsidRPr="007B38E0" w:rsidRDefault="00D07F84" w:rsidP="00012F90">
            <w:pPr>
              <w:tabs>
                <w:tab w:val="left" w:pos="770"/>
                <w:tab w:val="left" w:pos="3801"/>
              </w:tabs>
              <w:jc w:val="both"/>
              <w:rPr>
                <w:rFonts w:ascii="Arial" w:hAnsi="Arial" w:cs="Arial"/>
                <w:b/>
              </w:rPr>
            </w:pPr>
            <w:r w:rsidRPr="007B38E0">
              <w:rPr>
                <w:rFonts w:ascii="Arial" w:hAnsi="Arial" w:cs="Arial"/>
                <w:b/>
              </w:rPr>
              <w:t>organice</w:t>
            </w:r>
          </w:p>
          <w:p w:rsidR="00D07F84" w:rsidRPr="007B38E0" w:rsidRDefault="00D07F84" w:rsidP="00012F90">
            <w:pPr>
              <w:tabs>
                <w:tab w:val="left" w:pos="770"/>
                <w:tab w:val="left" w:pos="3801"/>
              </w:tabs>
              <w:jc w:val="both"/>
              <w:rPr>
                <w:rFonts w:ascii="Arial" w:hAnsi="Arial" w:cs="Arial"/>
              </w:rPr>
            </w:pPr>
            <w:r w:rsidRPr="007B38E0">
              <w:rPr>
                <w:rFonts w:ascii="Arial" w:hAnsi="Arial" w:cs="Arial"/>
                <w:b/>
              </w:rPr>
              <w:t>(tone)</w:t>
            </w:r>
          </w:p>
        </w:tc>
      </w:tr>
      <w:tr w:rsidR="00D07F84" w:rsidRPr="007B38E0" w:rsidTr="00012F90">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937"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N</w:t>
            </w:r>
          </w:p>
        </w:tc>
        <w:tc>
          <w:tcPr>
            <w:tcW w:w="947"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P2O5</w:t>
            </w:r>
          </w:p>
        </w:tc>
        <w:tc>
          <w:tcPr>
            <w:tcW w:w="896"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K2O</w:t>
            </w:r>
          </w:p>
        </w:tc>
        <w:tc>
          <w:tcPr>
            <w:tcW w:w="1033"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Total</w:t>
            </w:r>
          </w:p>
        </w:tc>
        <w:tc>
          <w:tcPr>
            <w:tcW w:w="1777"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Arabil</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rPr>
            </w:pPr>
          </w:p>
        </w:tc>
      </w:tr>
      <w:tr w:rsidR="00D07F84" w:rsidRPr="007B38E0" w:rsidTr="00012F90">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both"/>
              <w:rPr>
                <w:rFonts w:ascii="Arial" w:hAnsi="Arial" w:cs="Arial"/>
              </w:rPr>
            </w:pPr>
            <w:r w:rsidRPr="007B38E0">
              <w:rPr>
                <w:rFonts w:ascii="Arial" w:hAnsi="Arial" w:cs="Arial"/>
              </w:rPr>
              <w:t>2010</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5.237</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4.173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0</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9.410</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38,48</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891.570</w:t>
            </w:r>
          </w:p>
        </w:tc>
      </w:tr>
      <w:tr w:rsidR="00D07F84" w:rsidRPr="007B38E0" w:rsidTr="00012F90">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both"/>
              <w:rPr>
                <w:rFonts w:ascii="Arial" w:hAnsi="Arial" w:cs="Arial"/>
              </w:rPr>
            </w:pPr>
            <w:r w:rsidRPr="007B38E0">
              <w:rPr>
                <w:rFonts w:ascii="Arial" w:hAnsi="Arial" w:cs="Arial"/>
              </w:rPr>
              <w:t>2011</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8.177</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6.343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1.512</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16.032</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65,60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693.000</w:t>
            </w:r>
          </w:p>
        </w:tc>
      </w:tr>
      <w:tr w:rsidR="00D07F84" w:rsidRPr="007B38E0" w:rsidTr="00012F90">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both"/>
              <w:rPr>
                <w:rFonts w:ascii="Arial" w:hAnsi="Arial" w:cs="Arial"/>
              </w:rPr>
            </w:pPr>
            <w:r w:rsidRPr="007B38E0">
              <w:rPr>
                <w:rFonts w:ascii="Arial" w:hAnsi="Arial" w:cs="Arial"/>
              </w:rPr>
              <w:t>2012</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8.575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6.723</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1.285</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16.583</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67,60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693.000</w:t>
            </w:r>
          </w:p>
        </w:tc>
      </w:tr>
      <w:tr w:rsidR="00D07F84" w:rsidRPr="007B38E0" w:rsidTr="00012F90">
        <w:trPr>
          <w:trHeight w:val="260"/>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both"/>
              <w:rPr>
                <w:rFonts w:ascii="Arial" w:hAnsi="Arial" w:cs="Arial"/>
              </w:rPr>
            </w:pPr>
            <w:r w:rsidRPr="007B38E0">
              <w:rPr>
                <w:rFonts w:ascii="Arial" w:hAnsi="Arial" w:cs="Arial"/>
              </w:rPr>
              <w:t>2013</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7.908</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sidRPr="007B38E0">
              <w:rPr>
                <w:rFonts w:ascii="Arial" w:hAnsi="Arial" w:cs="Arial"/>
              </w:rPr>
              <w:t>6.150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571</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14.629</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48,60</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sidRPr="007B38E0">
              <w:rPr>
                <w:rFonts w:ascii="Arial" w:hAnsi="Arial" w:cs="Arial"/>
              </w:rPr>
              <w:t>668.700</w:t>
            </w:r>
          </w:p>
        </w:tc>
      </w:tr>
      <w:tr w:rsidR="00D07F84" w:rsidRPr="007B38E0" w:rsidTr="00012F90">
        <w:trPr>
          <w:trHeight w:val="204"/>
        </w:trPr>
        <w:tc>
          <w:tcPr>
            <w:tcW w:w="89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both"/>
              <w:rPr>
                <w:rFonts w:ascii="Arial" w:hAnsi="Arial" w:cs="Arial"/>
              </w:rPr>
            </w:pPr>
            <w:r>
              <w:rPr>
                <w:rFonts w:ascii="Arial" w:hAnsi="Arial" w:cs="Arial"/>
              </w:rPr>
              <w:t>2014</w:t>
            </w:r>
          </w:p>
        </w:tc>
        <w:tc>
          <w:tcPr>
            <w:tcW w:w="93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Pr>
                <w:rFonts w:ascii="Arial" w:hAnsi="Arial" w:cs="Arial"/>
              </w:rPr>
              <w:t>8.085</w:t>
            </w:r>
          </w:p>
        </w:tc>
        <w:tc>
          <w:tcPr>
            <w:tcW w:w="94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right"/>
              <w:rPr>
                <w:rFonts w:ascii="Arial" w:hAnsi="Arial" w:cs="Arial"/>
              </w:rPr>
            </w:pPr>
            <w:r>
              <w:rPr>
                <w:rFonts w:ascii="Arial" w:hAnsi="Arial" w:cs="Arial"/>
              </w:rPr>
              <w:t>6.290</w:t>
            </w:r>
          </w:p>
        </w:tc>
        <w:tc>
          <w:tcPr>
            <w:tcW w:w="896"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Pr>
                <w:rFonts w:ascii="Arial" w:hAnsi="Arial" w:cs="Arial"/>
              </w:rPr>
              <w:t>429</w:t>
            </w:r>
          </w:p>
        </w:tc>
        <w:tc>
          <w:tcPr>
            <w:tcW w:w="1033"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Pr>
                <w:rFonts w:ascii="Arial" w:hAnsi="Arial" w:cs="Arial"/>
              </w:rPr>
              <w:t>14.804</w:t>
            </w:r>
          </w:p>
        </w:tc>
        <w:tc>
          <w:tcPr>
            <w:tcW w:w="1777"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Pr>
                <w:rFonts w:ascii="Arial" w:hAnsi="Arial" w:cs="Arial"/>
              </w:rPr>
              <w:t>62,4</w:t>
            </w:r>
          </w:p>
        </w:tc>
        <w:tc>
          <w:tcPr>
            <w:tcW w:w="1710" w:type="dxa"/>
            <w:tcBorders>
              <w:top w:val="single" w:sz="4" w:space="0" w:color="auto"/>
              <w:left w:val="single" w:sz="4" w:space="0" w:color="auto"/>
              <w:bottom w:val="single" w:sz="4" w:space="0" w:color="auto"/>
              <w:right w:val="single" w:sz="4" w:space="0" w:color="auto"/>
            </w:tcBorders>
            <w:shd w:val="clear" w:color="auto" w:fill="FEF6F0"/>
            <w:hideMark/>
          </w:tcPr>
          <w:p w:rsidR="00D07F84" w:rsidRPr="007B38E0" w:rsidRDefault="00D07F84" w:rsidP="00012F90">
            <w:pPr>
              <w:jc w:val="center"/>
              <w:rPr>
                <w:rFonts w:ascii="Arial" w:hAnsi="Arial" w:cs="Arial"/>
              </w:rPr>
            </w:pPr>
            <w:r>
              <w:rPr>
                <w:rFonts w:ascii="Arial" w:hAnsi="Arial" w:cs="Arial"/>
              </w:rPr>
              <w:t>668.700</w:t>
            </w:r>
          </w:p>
        </w:tc>
      </w:tr>
      <w:tr w:rsidR="00D07F84" w:rsidRPr="007B38E0" w:rsidTr="00012F90">
        <w:tc>
          <w:tcPr>
            <w:tcW w:w="890"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both"/>
              <w:rPr>
                <w:rFonts w:ascii="Arial" w:hAnsi="Arial" w:cs="Arial"/>
              </w:rPr>
            </w:pPr>
          </w:p>
        </w:tc>
        <w:tc>
          <w:tcPr>
            <w:tcW w:w="937"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right"/>
              <w:rPr>
                <w:rFonts w:ascii="Arial" w:hAnsi="Arial" w:cs="Arial"/>
              </w:rPr>
            </w:pPr>
          </w:p>
        </w:tc>
        <w:tc>
          <w:tcPr>
            <w:tcW w:w="947"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right"/>
              <w:rPr>
                <w:rFonts w:ascii="Arial" w:hAnsi="Arial" w:cs="Arial"/>
              </w:rPr>
            </w:pPr>
          </w:p>
        </w:tc>
        <w:tc>
          <w:tcPr>
            <w:tcW w:w="896"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center"/>
              <w:rPr>
                <w:rFonts w:ascii="Arial" w:hAnsi="Arial" w:cs="Arial"/>
              </w:rPr>
            </w:pPr>
          </w:p>
        </w:tc>
        <w:tc>
          <w:tcPr>
            <w:tcW w:w="1033"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center"/>
              <w:rPr>
                <w:rFonts w:ascii="Arial" w:hAnsi="Arial" w:cs="Arial"/>
              </w:rPr>
            </w:pPr>
          </w:p>
        </w:tc>
        <w:tc>
          <w:tcPr>
            <w:tcW w:w="1777"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center"/>
              <w:rPr>
                <w:rFonts w:ascii="Arial" w:hAnsi="Arial" w:cs="Arial"/>
              </w:rPr>
            </w:pPr>
          </w:p>
        </w:tc>
        <w:tc>
          <w:tcPr>
            <w:tcW w:w="1710" w:type="dxa"/>
            <w:tcBorders>
              <w:top w:val="single" w:sz="4" w:space="0" w:color="auto"/>
              <w:left w:val="single" w:sz="4" w:space="0" w:color="auto"/>
              <w:bottom w:val="single" w:sz="4" w:space="0" w:color="auto"/>
              <w:right w:val="single" w:sz="4" w:space="0" w:color="auto"/>
            </w:tcBorders>
            <w:hideMark/>
          </w:tcPr>
          <w:p w:rsidR="00D07F84" w:rsidRPr="007B38E0" w:rsidRDefault="00D07F84" w:rsidP="00012F90">
            <w:pPr>
              <w:jc w:val="center"/>
              <w:rPr>
                <w:rFonts w:ascii="Arial" w:hAnsi="Arial" w:cs="Arial"/>
              </w:rPr>
            </w:pPr>
          </w:p>
        </w:tc>
      </w:tr>
    </w:tbl>
    <w:p w:rsidR="00D07F84" w:rsidRPr="007B38E0" w:rsidRDefault="00D07F84" w:rsidP="00D07F84">
      <w:pPr>
        <w:jc w:val="both"/>
        <w:rPr>
          <w:rFonts w:ascii="Arial" w:hAnsi="Arial" w:cs="Arial"/>
        </w:rPr>
      </w:pPr>
    </w:p>
    <w:p w:rsidR="005569A2" w:rsidRDefault="00D07F84" w:rsidP="00D07F84">
      <w:pPr>
        <w:jc w:val="center"/>
        <w:rPr>
          <w:rFonts w:ascii="Arial" w:hAnsi="Arial" w:cs="Arial"/>
          <w:b/>
          <w:lang w:val="pt-BR"/>
        </w:rPr>
      </w:pPr>
      <w:r w:rsidRPr="007B38E0">
        <w:rPr>
          <w:rFonts w:ascii="Arial" w:hAnsi="Arial" w:cs="Arial"/>
          <w:b/>
          <w:lang w:val="pt-BR"/>
        </w:rPr>
        <w:t xml:space="preserve">     </w:t>
      </w:r>
    </w:p>
    <w:p w:rsidR="005569A2" w:rsidRDefault="005569A2" w:rsidP="00D07F84">
      <w:pPr>
        <w:jc w:val="center"/>
        <w:rPr>
          <w:rFonts w:ascii="Arial" w:hAnsi="Arial" w:cs="Arial"/>
          <w:b/>
          <w:lang w:val="pt-BR"/>
        </w:rPr>
      </w:pPr>
    </w:p>
    <w:p w:rsidR="005569A2" w:rsidRDefault="005569A2" w:rsidP="00D07F84">
      <w:pPr>
        <w:jc w:val="center"/>
        <w:rPr>
          <w:rFonts w:ascii="Arial" w:hAnsi="Arial" w:cs="Arial"/>
          <w:b/>
          <w:lang w:val="pt-BR"/>
        </w:rPr>
      </w:pPr>
    </w:p>
    <w:p w:rsidR="005569A2" w:rsidRDefault="005569A2" w:rsidP="00D07F84">
      <w:pPr>
        <w:jc w:val="center"/>
        <w:rPr>
          <w:rFonts w:ascii="Arial" w:hAnsi="Arial" w:cs="Arial"/>
          <w:b/>
          <w:lang w:val="pt-BR"/>
        </w:rPr>
      </w:pPr>
    </w:p>
    <w:p w:rsidR="005569A2" w:rsidRDefault="005569A2" w:rsidP="00D07F84">
      <w:pPr>
        <w:jc w:val="center"/>
        <w:rPr>
          <w:rFonts w:ascii="Arial" w:hAnsi="Arial" w:cs="Arial"/>
          <w:b/>
          <w:lang w:val="pt-BR"/>
        </w:rPr>
      </w:pPr>
    </w:p>
    <w:p w:rsidR="005569A2" w:rsidRDefault="005569A2" w:rsidP="00D07F84">
      <w:pPr>
        <w:jc w:val="center"/>
        <w:rPr>
          <w:rFonts w:ascii="Arial" w:hAnsi="Arial" w:cs="Arial"/>
          <w:b/>
          <w:lang w:val="pt-BR"/>
        </w:rPr>
      </w:pPr>
    </w:p>
    <w:p w:rsidR="005569A2" w:rsidRDefault="005569A2" w:rsidP="00D07F84">
      <w:pPr>
        <w:jc w:val="center"/>
        <w:rPr>
          <w:rFonts w:ascii="Arial" w:hAnsi="Arial" w:cs="Arial"/>
          <w:b/>
          <w:lang w:val="pt-BR"/>
        </w:rPr>
      </w:pPr>
    </w:p>
    <w:p w:rsidR="005569A2" w:rsidRDefault="005569A2" w:rsidP="00D07F84">
      <w:pPr>
        <w:jc w:val="center"/>
        <w:rPr>
          <w:rFonts w:ascii="Arial" w:hAnsi="Arial" w:cs="Arial"/>
          <w:b/>
          <w:lang w:val="pt-BR"/>
        </w:rPr>
      </w:pPr>
    </w:p>
    <w:p w:rsidR="00D07F84" w:rsidRDefault="00D07F84" w:rsidP="00D07F84">
      <w:pPr>
        <w:jc w:val="center"/>
        <w:rPr>
          <w:rFonts w:ascii="Arial" w:hAnsi="Arial" w:cs="Arial"/>
          <w:b/>
          <w:lang w:val="pt-BR"/>
        </w:rPr>
      </w:pPr>
      <w:r w:rsidRPr="007B38E0">
        <w:rPr>
          <w:rFonts w:ascii="Arial" w:hAnsi="Arial" w:cs="Arial"/>
          <w:b/>
          <w:lang w:val="pt-BR"/>
        </w:rPr>
        <w:t xml:space="preserve">                  </w:t>
      </w:r>
      <w:r>
        <w:rPr>
          <w:rFonts w:ascii="Arial" w:hAnsi="Arial" w:cs="Arial"/>
          <w:b/>
          <w:lang w:val="pt-BR"/>
        </w:rPr>
        <w:t xml:space="preserve">       </w:t>
      </w:r>
    </w:p>
    <w:p w:rsidR="00D07F84" w:rsidRDefault="00D07F84" w:rsidP="00D07F84">
      <w:pPr>
        <w:jc w:val="center"/>
        <w:rPr>
          <w:rFonts w:ascii="Arial" w:hAnsi="Arial" w:cs="Arial"/>
          <w:b/>
          <w:lang w:val="pt-BR"/>
        </w:rPr>
      </w:pPr>
      <w:r w:rsidRPr="002371A6">
        <w:rPr>
          <w:rFonts w:ascii="Arial" w:hAnsi="Arial" w:cs="Arial"/>
          <w:b/>
          <w:noProof/>
          <w:lang w:val="ro-RO" w:eastAsia="ro-RO"/>
        </w:rPr>
        <w:drawing>
          <wp:inline distT="0" distB="0" distL="0" distR="0">
            <wp:extent cx="4923886" cy="2544792"/>
            <wp:effectExtent l="57150" t="0" r="48164" b="84108"/>
            <wp:docPr id="61"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rsidR="00D07F84" w:rsidRDefault="00D07F84" w:rsidP="00D07F84">
      <w:pPr>
        <w:jc w:val="center"/>
        <w:rPr>
          <w:rFonts w:ascii="Arial" w:hAnsi="Arial" w:cs="Arial"/>
          <w:b/>
          <w:lang w:val="pt-BR"/>
        </w:rPr>
      </w:pPr>
      <w:r>
        <w:rPr>
          <w:rFonts w:ascii="Arial" w:hAnsi="Arial" w:cs="Arial"/>
          <w:b/>
          <w:lang w:val="pt-BR"/>
        </w:rPr>
        <w:t>Fig. III.3.1-1</w:t>
      </w:r>
    </w:p>
    <w:p w:rsidR="00D07F84" w:rsidRDefault="00D07F84" w:rsidP="00D07F84">
      <w:pPr>
        <w:jc w:val="center"/>
        <w:rPr>
          <w:rFonts w:ascii="Arial" w:hAnsi="Arial" w:cs="Arial"/>
          <w:b/>
          <w:lang w:val="pt-BR"/>
        </w:rPr>
      </w:pPr>
    </w:p>
    <w:p w:rsidR="00D07F84" w:rsidRDefault="00D07F84" w:rsidP="00D07F84">
      <w:pPr>
        <w:rPr>
          <w:rFonts w:ascii="Arial" w:hAnsi="Arial" w:cs="Arial"/>
          <w:b/>
          <w:lang w:val="pt-BR"/>
        </w:rPr>
      </w:pPr>
    </w:p>
    <w:p w:rsidR="00D07F84" w:rsidRDefault="00D07F84" w:rsidP="00D07F84">
      <w:pPr>
        <w:rPr>
          <w:rFonts w:ascii="Arial" w:hAnsi="Arial" w:cs="Arial"/>
          <w:b/>
          <w:lang w:val="pt-BR"/>
        </w:rPr>
      </w:pPr>
      <w:r>
        <w:rPr>
          <w:rFonts w:ascii="Arial" w:hAnsi="Arial" w:cs="Arial"/>
          <w:b/>
          <w:lang w:val="pt-BR"/>
        </w:rPr>
        <w:t>Tendințele în utilizarea îngrășămintelor chimice în agicultură în perioada 2010-2014</w:t>
      </w:r>
    </w:p>
    <w:p w:rsidR="00D07F84" w:rsidRDefault="00D07F84" w:rsidP="00D07F84">
      <w:pPr>
        <w:rPr>
          <w:rFonts w:ascii="Arial" w:hAnsi="Arial" w:cs="Arial"/>
          <w:b/>
          <w:lang w:val="pt-BR"/>
        </w:rPr>
      </w:pPr>
    </w:p>
    <w:p w:rsidR="00D07F84" w:rsidRDefault="00D07F84" w:rsidP="00D07F84">
      <w:pPr>
        <w:jc w:val="center"/>
        <w:rPr>
          <w:rFonts w:ascii="Arial" w:hAnsi="Arial" w:cs="Arial"/>
          <w:b/>
          <w:lang w:val="pt-BR"/>
        </w:rPr>
      </w:pPr>
      <w:r w:rsidRPr="002371A6">
        <w:rPr>
          <w:rFonts w:ascii="Arial" w:hAnsi="Arial" w:cs="Arial"/>
          <w:b/>
          <w:noProof/>
          <w:lang w:val="ro-RO" w:eastAsia="ro-RO"/>
        </w:rPr>
        <w:drawing>
          <wp:inline distT="0" distB="0" distL="0" distR="0">
            <wp:extent cx="4923886" cy="2544792"/>
            <wp:effectExtent l="19050" t="0" r="10064" b="7908"/>
            <wp:docPr id="62"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rsidR="00D07F84" w:rsidRDefault="00D07F84" w:rsidP="00D07F84">
      <w:pPr>
        <w:jc w:val="center"/>
        <w:rPr>
          <w:rFonts w:ascii="Arial" w:hAnsi="Arial" w:cs="Arial"/>
          <w:b/>
          <w:lang w:val="pt-BR"/>
        </w:rPr>
      </w:pPr>
      <w:r>
        <w:rPr>
          <w:rFonts w:ascii="Arial" w:hAnsi="Arial" w:cs="Arial"/>
          <w:b/>
          <w:lang w:val="pt-BR"/>
        </w:rPr>
        <w:lastRenderedPageBreak/>
        <w:t>Fig. III.3.1-2</w:t>
      </w:r>
    </w:p>
    <w:p w:rsidR="00D07F84" w:rsidRDefault="00D07F84" w:rsidP="00D07F84">
      <w:pPr>
        <w:jc w:val="center"/>
        <w:rPr>
          <w:rFonts w:ascii="Arial" w:hAnsi="Arial" w:cs="Arial"/>
          <w:b/>
          <w:lang w:val="pt-BR"/>
        </w:rPr>
      </w:pPr>
    </w:p>
    <w:p w:rsidR="00D07F84" w:rsidRPr="007B38E0" w:rsidRDefault="00D07F84" w:rsidP="00D07F84">
      <w:pPr>
        <w:jc w:val="right"/>
        <w:rPr>
          <w:rFonts w:ascii="Arial" w:hAnsi="Arial" w:cs="Arial"/>
          <w:b/>
          <w:lang w:val="pt-BR"/>
        </w:rPr>
      </w:pPr>
    </w:p>
    <w:p w:rsidR="00D07F84" w:rsidRPr="007B38E0" w:rsidRDefault="00D07F84" w:rsidP="00D07F84">
      <w:pPr>
        <w:rPr>
          <w:rFonts w:ascii="Arial" w:hAnsi="Arial" w:cs="Arial"/>
          <w:b/>
          <w:lang w:val="pt-BR"/>
        </w:rPr>
      </w:pPr>
      <w:r w:rsidRPr="007B38E0">
        <w:rPr>
          <w:rFonts w:ascii="Arial" w:hAnsi="Arial" w:cs="Arial"/>
          <w:b/>
          <w:lang w:val="pt-BR"/>
        </w:rPr>
        <w:t xml:space="preserve">Tabelul </w:t>
      </w:r>
      <w:r>
        <w:rPr>
          <w:rFonts w:ascii="Arial" w:hAnsi="Arial" w:cs="Arial"/>
          <w:b/>
          <w:lang w:val="pt-BR"/>
        </w:rPr>
        <w:t>III</w:t>
      </w:r>
      <w:r w:rsidRPr="007B38E0">
        <w:rPr>
          <w:rFonts w:ascii="Arial" w:hAnsi="Arial" w:cs="Arial"/>
          <w:b/>
          <w:lang w:val="pt-BR"/>
        </w:rPr>
        <w:t>.3.1</w:t>
      </w:r>
      <w:r>
        <w:rPr>
          <w:rFonts w:ascii="Arial" w:hAnsi="Arial" w:cs="Arial"/>
          <w:b/>
          <w:lang w:val="pt-BR"/>
        </w:rPr>
        <w:t>-2</w:t>
      </w:r>
      <w:r w:rsidRPr="007B38E0">
        <w:rPr>
          <w:rFonts w:ascii="Arial" w:hAnsi="Arial" w:cs="Arial"/>
          <w:b/>
          <w:lang w:val="pt-BR"/>
        </w:rPr>
        <w:t xml:space="preserve"> Utilizarea îngrăşămintelor pe tipuri de culturi</w:t>
      </w:r>
    </w:p>
    <w:tbl>
      <w:tblPr>
        <w:tblpPr w:leftFromText="180" w:rightFromText="180" w:vertAnchor="text" w:horzAnchor="margin" w:tblpXSpec="center" w:tblpY="107"/>
        <w:tblW w:w="946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612"/>
        <w:gridCol w:w="4174"/>
        <w:gridCol w:w="1360"/>
        <w:gridCol w:w="1134"/>
        <w:gridCol w:w="1050"/>
        <w:gridCol w:w="1134"/>
      </w:tblGrid>
      <w:tr w:rsidR="00D07F84" w:rsidRPr="007B38E0" w:rsidTr="00012F90">
        <w:tc>
          <w:tcPr>
            <w:tcW w:w="61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Nr</w:t>
            </w:r>
          </w:p>
          <w:p w:rsidR="00D07F84" w:rsidRPr="007B38E0" w:rsidRDefault="00D07F84" w:rsidP="00012F90">
            <w:pPr>
              <w:jc w:val="center"/>
              <w:rPr>
                <w:rFonts w:ascii="Arial" w:hAnsi="Arial" w:cs="Arial"/>
                <w:b/>
              </w:rPr>
            </w:pPr>
            <w:r w:rsidRPr="007B38E0">
              <w:rPr>
                <w:rFonts w:ascii="Arial" w:hAnsi="Arial" w:cs="Arial"/>
                <w:b/>
              </w:rPr>
              <w:t>crt.</w:t>
            </w:r>
          </w:p>
        </w:tc>
        <w:tc>
          <w:tcPr>
            <w:tcW w:w="4174" w:type="dxa"/>
            <w:vMerge w:val="restart"/>
            <w:tcBorders>
              <w:top w:val="single" w:sz="4" w:space="0" w:color="auto"/>
              <w:left w:val="single" w:sz="4" w:space="0" w:color="auto"/>
              <w:bottom w:val="single" w:sz="4" w:space="0" w:color="auto"/>
              <w:right w:val="single" w:sz="4" w:space="0" w:color="auto"/>
            </w:tcBorders>
            <w:shd w:val="clear" w:color="auto" w:fill="D9D9D9"/>
          </w:tcPr>
          <w:p w:rsidR="00D07F84" w:rsidRPr="007B38E0" w:rsidRDefault="00D07F84" w:rsidP="00012F90">
            <w:pPr>
              <w:jc w:val="both"/>
              <w:rPr>
                <w:rFonts w:ascii="Arial" w:hAnsi="Arial" w:cs="Arial"/>
                <w:b/>
              </w:rPr>
            </w:pPr>
          </w:p>
          <w:p w:rsidR="00D07F84" w:rsidRPr="007B38E0" w:rsidRDefault="00D07F84" w:rsidP="00012F90">
            <w:pPr>
              <w:jc w:val="both"/>
              <w:rPr>
                <w:rFonts w:ascii="Arial" w:hAnsi="Arial" w:cs="Arial"/>
                <w:b/>
              </w:rPr>
            </w:pPr>
            <w:r w:rsidRPr="007B38E0">
              <w:rPr>
                <w:rFonts w:ascii="Arial" w:hAnsi="Arial" w:cs="Arial"/>
                <w:b/>
              </w:rPr>
              <w:t>Tipuri de culturi</w:t>
            </w:r>
          </w:p>
        </w:tc>
        <w:tc>
          <w:tcPr>
            <w:tcW w:w="1360"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Suprafaţa</w:t>
            </w:r>
          </w:p>
          <w:p w:rsidR="00D07F84" w:rsidRPr="007B38E0" w:rsidRDefault="00D07F84" w:rsidP="00012F90">
            <w:pPr>
              <w:jc w:val="both"/>
              <w:rPr>
                <w:rFonts w:ascii="Arial" w:hAnsi="Arial" w:cs="Arial"/>
                <w:b/>
              </w:rPr>
            </w:pPr>
            <w:r w:rsidRPr="007B38E0">
              <w:rPr>
                <w:rFonts w:ascii="Arial" w:hAnsi="Arial" w:cs="Arial"/>
                <w:b/>
              </w:rPr>
              <w:t>( ha )</w:t>
            </w:r>
          </w:p>
        </w:tc>
        <w:tc>
          <w:tcPr>
            <w:tcW w:w="3318" w:type="dxa"/>
            <w:gridSpan w:val="3"/>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Îngrăşăminte chimice</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4174" w:type="dxa"/>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1360" w:type="dxa"/>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N</w:t>
            </w:r>
          </w:p>
          <w:p w:rsidR="00D07F84" w:rsidRPr="007B38E0" w:rsidRDefault="00D07F84" w:rsidP="00012F90">
            <w:pPr>
              <w:jc w:val="both"/>
              <w:rPr>
                <w:rFonts w:ascii="Arial" w:hAnsi="Arial" w:cs="Arial"/>
                <w:b/>
              </w:rPr>
            </w:pPr>
            <w:r w:rsidRPr="007B38E0">
              <w:rPr>
                <w:rFonts w:ascii="Arial" w:hAnsi="Arial" w:cs="Arial"/>
                <w:b/>
              </w:rPr>
              <w:t>(kg s.a./ha)</w:t>
            </w:r>
          </w:p>
        </w:tc>
        <w:tc>
          <w:tcPr>
            <w:tcW w:w="1050"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P2O5</w:t>
            </w:r>
          </w:p>
          <w:p w:rsidR="00D07F84" w:rsidRPr="007B38E0" w:rsidRDefault="00D07F84" w:rsidP="00012F90">
            <w:pPr>
              <w:jc w:val="both"/>
              <w:rPr>
                <w:rFonts w:ascii="Arial" w:hAnsi="Arial" w:cs="Arial"/>
                <w:b/>
              </w:rPr>
            </w:pPr>
            <w:r w:rsidRPr="007B38E0">
              <w:rPr>
                <w:rFonts w:ascii="Arial" w:hAnsi="Arial" w:cs="Arial"/>
                <w:b/>
              </w:rPr>
              <w:t>(kg s.a./ha)</w:t>
            </w:r>
          </w:p>
        </w:tc>
        <w:tc>
          <w:tcPr>
            <w:tcW w:w="1134"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jc w:val="both"/>
              <w:rPr>
                <w:rFonts w:ascii="Arial" w:hAnsi="Arial" w:cs="Arial"/>
                <w:b/>
              </w:rPr>
            </w:pPr>
            <w:r w:rsidRPr="007B38E0">
              <w:rPr>
                <w:rFonts w:ascii="Arial" w:hAnsi="Arial" w:cs="Arial"/>
                <w:b/>
              </w:rPr>
              <w:t>K2O</w:t>
            </w:r>
          </w:p>
          <w:p w:rsidR="00D07F84" w:rsidRPr="007B38E0" w:rsidRDefault="00D07F84" w:rsidP="00012F90">
            <w:pPr>
              <w:jc w:val="both"/>
              <w:rPr>
                <w:rFonts w:ascii="Arial" w:hAnsi="Arial" w:cs="Arial"/>
                <w:b/>
              </w:rPr>
            </w:pPr>
            <w:r w:rsidRPr="007B38E0">
              <w:rPr>
                <w:rFonts w:ascii="Arial" w:hAnsi="Arial" w:cs="Arial"/>
                <w:b/>
              </w:rPr>
              <w:t>(kg s.a./ha)</w:t>
            </w:r>
          </w:p>
        </w:tc>
      </w:tr>
      <w:tr w:rsidR="00D07F84" w:rsidRPr="007B38E0" w:rsidTr="00012F90">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1.</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b/>
                <w:i/>
              </w:rPr>
            </w:pPr>
            <w:r w:rsidRPr="007B38E0">
              <w:rPr>
                <w:rFonts w:ascii="Arial" w:hAnsi="Arial" w:cs="Arial"/>
                <w:b/>
                <w:i/>
              </w:rPr>
              <w:t>Cereale boabe din care: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7</w:t>
            </w:r>
            <w:r w:rsidRPr="007B38E0">
              <w:rPr>
                <w:rFonts w:ascii="Arial" w:hAnsi="Arial" w:cs="Arial"/>
              </w:rPr>
              <w:t>2.2</w:t>
            </w:r>
            <w:r>
              <w:rPr>
                <w:rFonts w:ascii="Arial" w:hAnsi="Arial" w:cs="Arial"/>
              </w:rPr>
              <w:t>67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77,2</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5</w:t>
            </w:r>
            <w:r>
              <w:rPr>
                <w:rFonts w:ascii="Arial" w:hAnsi="Arial" w:cs="Arial"/>
              </w:rPr>
              <w:t>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15,2</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Grâu</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33.</w:t>
            </w:r>
            <w:r>
              <w:rPr>
                <w:rFonts w:ascii="Arial" w:hAnsi="Arial" w:cs="Arial"/>
              </w:rPr>
              <w:t>469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77,2</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58,</w:t>
            </w:r>
            <w:r>
              <w:rPr>
                <w:rFonts w:ascii="Arial" w:hAnsi="Arial" w:cs="Arial"/>
              </w:rPr>
              <w:t>8</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Porumb</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28</w:t>
            </w:r>
            <w:r w:rsidRPr="007B38E0">
              <w:rPr>
                <w:rFonts w:ascii="Arial" w:hAnsi="Arial" w:cs="Arial"/>
              </w:rPr>
              <w:t>.1</w:t>
            </w:r>
            <w:r>
              <w:rPr>
                <w:rFonts w:ascii="Arial" w:hAnsi="Arial" w:cs="Arial"/>
              </w:rPr>
              <w:t>12</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83</w:t>
            </w:r>
            <w:r w:rsidRPr="007B38E0">
              <w:rPr>
                <w:rFonts w:ascii="Arial" w:hAnsi="Arial" w:cs="Arial"/>
              </w:rPr>
              <w:t>,</w:t>
            </w:r>
            <w:r>
              <w:rPr>
                <w:rFonts w:ascii="Arial" w:hAnsi="Arial" w:cs="Arial"/>
              </w:rPr>
              <w:t>1</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79</w:t>
            </w:r>
            <w:r w:rsidRPr="007B38E0">
              <w:rPr>
                <w:rFonts w:ascii="Arial" w:hAnsi="Arial" w:cs="Arial"/>
              </w:rPr>
              <w:t>,</w:t>
            </w:r>
            <w:r>
              <w:rPr>
                <w:rFonts w:ascii="Arial" w:hAnsi="Arial" w:cs="Arial"/>
              </w:rPr>
              <w:t>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Orz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Orzoaică de toamnă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Orzoaică de primăvară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Ovăz</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Sorg pentru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Mei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2.</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b/>
                <w:i/>
              </w:rPr>
            </w:pPr>
            <w:r w:rsidRPr="007B38E0">
              <w:rPr>
                <w:rFonts w:ascii="Arial" w:hAnsi="Arial" w:cs="Arial"/>
                <w:b/>
                <w:i/>
              </w:rPr>
              <w:t>Plante uleioase din care: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31</w:t>
            </w:r>
            <w:r w:rsidRPr="007B38E0">
              <w:rPr>
                <w:rFonts w:ascii="Arial" w:hAnsi="Arial" w:cs="Arial"/>
              </w:rPr>
              <w:t>.</w:t>
            </w:r>
            <w:r>
              <w:rPr>
                <w:rFonts w:ascii="Arial" w:hAnsi="Arial" w:cs="Arial"/>
              </w:rPr>
              <w:t>130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7</w:t>
            </w:r>
            <w:r>
              <w:rPr>
                <w:rFonts w:ascii="Arial" w:hAnsi="Arial" w:cs="Arial"/>
              </w:rPr>
              <w:t>3</w:t>
            </w:r>
            <w:r w:rsidRPr="007B38E0">
              <w:rPr>
                <w:rFonts w:ascii="Arial" w:hAnsi="Arial" w:cs="Arial"/>
              </w:rPr>
              <w:t>,</w:t>
            </w:r>
            <w:r>
              <w:rPr>
                <w:rFonts w:ascii="Arial" w:hAnsi="Arial" w:cs="Arial"/>
              </w:rPr>
              <w:t>7</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58</w:t>
            </w:r>
            <w:r>
              <w:rPr>
                <w:rFonts w:ascii="Arial" w:hAnsi="Arial" w:cs="Arial"/>
              </w:rPr>
              <w:t>,9</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Floarea soarelui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16.</w:t>
            </w:r>
            <w:r>
              <w:rPr>
                <w:rFonts w:ascii="Arial" w:hAnsi="Arial" w:cs="Arial"/>
              </w:rPr>
              <w:t>670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75,</w:t>
            </w:r>
            <w:r>
              <w:rPr>
                <w:rFonts w:ascii="Arial" w:hAnsi="Arial" w:cs="Arial"/>
              </w:rPr>
              <w:t>2</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58,</w:t>
            </w:r>
            <w:r>
              <w:rPr>
                <w:rFonts w:ascii="Arial" w:hAnsi="Arial" w:cs="Arial"/>
              </w:rPr>
              <w:t>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Rapiţă</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4.330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60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45</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Soia</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10</w:t>
            </w:r>
            <w:r w:rsidRPr="007B38E0">
              <w:rPr>
                <w:rFonts w:ascii="Arial" w:hAnsi="Arial" w:cs="Arial"/>
              </w:rPr>
              <w:t>.</w:t>
            </w:r>
            <w:r>
              <w:rPr>
                <w:rFonts w:ascii="Arial" w:hAnsi="Arial" w:cs="Arial"/>
              </w:rPr>
              <w:t>0</w:t>
            </w:r>
            <w:r w:rsidRPr="007B38E0">
              <w:rPr>
                <w:rFonts w:ascii="Arial" w:hAnsi="Arial" w:cs="Arial"/>
              </w:rPr>
              <w:t>5</w:t>
            </w:r>
            <w:r>
              <w:rPr>
                <w:rFonts w:ascii="Arial" w:hAnsi="Arial" w:cs="Arial"/>
              </w:rPr>
              <w:t>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77,</w:t>
            </w:r>
            <w:r>
              <w:rPr>
                <w:rFonts w:ascii="Arial" w:hAnsi="Arial" w:cs="Arial"/>
              </w:rPr>
              <w:t>2</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56</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val="restart"/>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3.</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b/>
                <w:i/>
              </w:rPr>
              <w:t>Leguminoase pentru boabe din care</w:t>
            </w:r>
            <w:r w:rsidRPr="007B38E0">
              <w:rPr>
                <w:rFonts w:ascii="Arial" w:hAnsi="Arial" w:cs="Arial"/>
              </w:rPr>
              <w:t>:</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Mazăre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vMerge/>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rPr>
                <w:rFonts w:ascii="Arial" w:hAnsi="Arial" w:cs="Arial"/>
              </w:rPr>
            </w:pP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Fasole boabe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4.</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Cartofi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200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95</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70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5.</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Legume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750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100</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69,</w:t>
            </w:r>
            <w:r>
              <w:rPr>
                <w:rFonts w:ascii="Arial" w:hAnsi="Arial" w:cs="Arial"/>
              </w:rPr>
              <w:t>3</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6.</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Plante medicinale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7.</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Pepeni</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8.</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Plante de nutreţ</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120</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91,</w:t>
            </w:r>
            <w:r>
              <w:rPr>
                <w:rFonts w:ascii="Arial" w:hAnsi="Arial" w:cs="Arial"/>
              </w:rPr>
              <w:t>7</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66,7</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r w:rsidR="00D07F84" w:rsidRPr="007B38E0" w:rsidTr="00012F90">
        <w:tc>
          <w:tcPr>
            <w:tcW w:w="612" w:type="dxa"/>
            <w:tcBorders>
              <w:top w:val="single" w:sz="4" w:space="0" w:color="auto"/>
              <w:left w:val="single" w:sz="4" w:space="0" w:color="auto"/>
              <w:bottom w:val="single" w:sz="4" w:space="0" w:color="auto"/>
              <w:right w:val="single" w:sz="4" w:space="0" w:color="auto"/>
            </w:tcBorders>
            <w:shd w:val="clear" w:color="auto" w:fill="EAF1DD" w:themeFill="accent3" w:themeFillTint="33"/>
            <w:vAlign w:val="center"/>
            <w:hideMark/>
          </w:tcPr>
          <w:p w:rsidR="00D07F84" w:rsidRPr="007B38E0" w:rsidRDefault="00D07F84" w:rsidP="00012F90">
            <w:pPr>
              <w:jc w:val="center"/>
              <w:rPr>
                <w:rFonts w:ascii="Arial" w:hAnsi="Arial" w:cs="Arial"/>
              </w:rPr>
            </w:pPr>
            <w:r w:rsidRPr="007B38E0">
              <w:rPr>
                <w:rFonts w:ascii="Arial" w:hAnsi="Arial" w:cs="Arial"/>
              </w:rPr>
              <w:t>9.</w:t>
            </w:r>
          </w:p>
        </w:tc>
        <w:tc>
          <w:tcPr>
            <w:tcW w:w="417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jc w:val="both"/>
              <w:rPr>
                <w:rFonts w:ascii="Arial" w:hAnsi="Arial" w:cs="Arial"/>
              </w:rPr>
            </w:pPr>
            <w:r w:rsidRPr="007B38E0">
              <w:rPr>
                <w:rFonts w:ascii="Arial" w:hAnsi="Arial" w:cs="Arial"/>
              </w:rPr>
              <w:t>Pasuni naturale</w:t>
            </w:r>
          </w:p>
        </w:tc>
        <w:tc>
          <w:tcPr>
            <w:tcW w:w="136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w:t>
            </w:r>
          </w:p>
        </w:tc>
        <w:tc>
          <w:tcPr>
            <w:tcW w:w="1050"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Pr>
                <w:rFonts w:ascii="Arial" w:hAnsi="Arial" w:cs="Arial"/>
              </w:rPr>
              <w:t>-</w:t>
            </w:r>
          </w:p>
        </w:tc>
        <w:tc>
          <w:tcPr>
            <w:tcW w:w="1134"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D07F84" w:rsidRPr="007B38E0" w:rsidRDefault="00D07F84" w:rsidP="00012F90">
            <w:pPr>
              <w:tabs>
                <w:tab w:val="left" w:pos="3015"/>
              </w:tabs>
              <w:jc w:val="center"/>
              <w:rPr>
                <w:rFonts w:ascii="Arial" w:hAnsi="Arial" w:cs="Arial"/>
              </w:rPr>
            </w:pPr>
            <w:r w:rsidRPr="007B38E0">
              <w:rPr>
                <w:rFonts w:ascii="Arial" w:hAnsi="Arial" w:cs="Arial"/>
              </w:rPr>
              <w:t>-</w:t>
            </w:r>
          </w:p>
        </w:tc>
      </w:tr>
    </w:tbl>
    <w:p w:rsidR="00D07F84" w:rsidRPr="007B38E0" w:rsidRDefault="00D07F84" w:rsidP="00D07F84">
      <w:pPr>
        <w:jc w:val="both"/>
        <w:rPr>
          <w:rFonts w:ascii="Arial" w:hAnsi="Arial" w:cs="Arial"/>
        </w:rPr>
      </w:pPr>
    </w:p>
    <w:p w:rsidR="00D07F84" w:rsidRDefault="00D07F84" w:rsidP="00D07F84">
      <w:pPr>
        <w:jc w:val="both"/>
        <w:rPr>
          <w:rFonts w:ascii="Arial" w:hAnsi="Arial" w:cs="Arial"/>
          <w:b/>
          <w:lang w:val="pt-BR"/>
        </w:rPr>
      </w:pPr>
    </w:p>
    <w:p w:rsidR="00D07F84" w:rsidRDefault="00D07F84" w:rsidP="00D07F84">
      <w:pPr>
        <w:jc w:val="both"/>
        <w:rPr>
          <w:rFonts w:ascii="Arial" w:hAnsi="Arial" w:cs="Arial"/>
          <w:b/>
          <w:lang w:val="pt-BR"/>
        </w:rPr>
      </w:pPr>
      <w:r>
        <w:rPr>
          <w:rFonts w:ascii="Arial" w:hAnsi="Arial" w:cs="Arial"/>
          <w:b/>
          <w:lang w:val="pt-BR"/>
        </w:rPr>
        <w:t>III.3.2. Consumul de p</w:t>
      </w:r>
      <w:r w:rsidRPr="0038664F">
        <w:rPr>
          <w:rFonts w:ascii="Arial" w:hAnsi="Arial" w:cs="Arial"/>
          <w:b/>
          <w:lang w:val="pt-BR"/>
        </w:rPr>
        <w:t xml:space="preserve">roduse </w:t>
      </w:r>
      <w:r>
        <w:rPr>
          <w:rFonts w:ascii="Arial" w:hAnsi="Arial" w:cs="Arial"/>
          <w:b/>
          <w:lang w:val="pt-BR"/>
        </w:rPr>
        <w:t>de</w:t>
      </w:r>
      <w:r w:rsidRPr="0038664F">
        <w:rPr>
          <w:rFonts w:ascii="Arial" w:hAnsi="Arial" w:cs="Arial"/>
          <w:b/>
          <w:lang w:val="pt-BR"/>
        </w:rPr>
        <w:t xml:space="preserve"> protecţia plantelor </w:t>
      </w:r>
    </w:p>
    <w:p w:rsidR="00D07F84" w:rsidRPr="0038664F" w:rsidRDefault="00D07F84" w:rsidP="00D07F84">
      <w:pPr>
        <w:jc w:val="both"/>
        <w:rPr>
          <w:rFonts w:ascii="Arial" w:hAnsi="Arial" w:cs="Arial"/>
          <w:b/>
          <w:lang w:val="pt-BR"/>
        </w:rPr>
      </w:pP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 xml:space="preserve">Produsele fitosanitare includ următoarele categorii de substanţe chimice: </w:t>
      </w:r>
    </w:p>
    <w:p w:rsidR="00D07F84" w:rsidRPr="007B38E0" w:rsidRDefault="00D07F84" w:rsidP="005E6B2E">
      <w:pPr>
        <w:pStyle w:val="BodyTextIndent2BodyTextIndent2Char"/>
        <w:numPr>
          <w:ilvl w:val="0"/>
          <w:numId w:val="28"/>
        </w:numPr>
        <w:tabs>
          <w:tab w:val="num" w:pos="720"/>
        </w:tabs>
        <w:ind w:hanging="720"/>
        <w:rPr>
          <w:rFonts w:ascii="Arial" w:hAnsi="Arial" w:cs="Arial"/>
          <w:sz w:val="24"/>
          <w:szCs w:val="24"/>
        </w:rPr>
      </w:pPr>
      <w:r w:rsidRPr="007B38E0">
        <w:rPr>
          <w:rFonts w:ascii="Arial" w:hAnsi="Arial" w:cs="Arial"/>
          <w:sz w:val="24"/>
          <w:szCs w:val="24"/>
        </w:rPr>
        <w:t>erbicidele – substanţe chimice utilizate pentru combaterea buruienilor;</w:t>
      </w:r>
    </w:p>
    <w:p w:rsidR="00D07F84" w:rsidRPr="007B38E0" w:rsidRDefault="00D07F84" w:rsidP="005E6B2E">
      <w:pPr>
        <w:pStyle w:val="BodyTextIndent2BodyTextIndent2Char"/>
        <w:numPr>
          <w:ilvl w:val="0"/>
          <w:numId w:val="28"/>
        </w:numPr>
        <w:tabs>
          <w:tab w:val="num" w:pos="720"/>
        </w:tabs>
        <w:ind w:hanging="720"/>
        <w:rPr>
          <w:rFonts w:ascii="Arial" w:hAnsi="Arial" w:cs="Arial"/>
          <w:sz w:val="24"/>
          <w:szCs w:val="24"/>
        </w:rPr>
      </w:pPr>
      <w:r w:rsidRPr="007B38E0">
        <w:rPr>
          <w:rFonts w:ascii="Arial" w:hAnsi="Arial" w:cs="Arial"/>
          <w:sz w:val="24"/>
          <w:szCs w:val="24"/>
        </w:rPr>
        <w:t>insecticidele – utilizate pentru combaterea insectelor dăunătoare;</w:t>
      </w:r>
    </w:p>
    <w:p w:rsidR="00D07F84" w:rsidRPr="007B38E0" w:rsidRDefault="00D07F84" w:rsidP="005E6B2E">
      <w:pPr>
        <w:pStyle w:val="BodyTextIndent2BodyTextIndent2Char"/>
        <w:numPr>
          <w:ilvl w:val="0"/>
          <w:numId w:val="28"/>
        </w:numPr>
        <w:tabs>
          <w:tab w:val="num" w:pos="720"/>
        </w:tabs>
        <w:ind w:hanging="720"/>
        <w:rPr>
          <w:rFonts w:ascii="Arial" w:hAnsi="Arial" w:cs="Arial"/>
          <w:sz w:val="24"/>
          <w:szCs w:val="24"/>
        </w:rPr>
      </w:pPr>
      <w:r w:rsidRPr="007B38E0">
        <w:rPr>
          <w:rFonts w:ascii="Arial" w:hAnsi="Arial" w:cs="Arial"/>
          <w:sz w:val="24"/>
          <w:szCs w:val="24"/>
        </w:rPr>
        <w:t xml:space="preserve">fungicidele, bactericidele şi virucidele. </w:t>
      </w:r>
    </w:p>
    <w:p w:rsidR="00D07F84" w:rsidRDefault="00D07F84" w:rsidP="00D07F84">
      <w:pPr>
        <w:pStyle w:val="BodyTextIndent2BodyTextIndent2Char"/>
        <w:ind w:left="0" w:firstLine="708"/>
        <w:rPr>
          <w:rFonts w:ascii="Arial" w:hAnsi="Arial" w:cs="Arial"/>
          <w:sz w:val="24"/>
          <w:szCs w:val="24"/>
        </w:rPr>
      </w:pPr>
      <w:r w:rsidRPr="007B38E0">
        <w:rPr>
          <w:rFonts w:ascii="Arial" w:hAnsi="Arial" w:cs="Arial"/>
          <w:sz w:val="24"/>
          <w:szCs w:val="24"/>
        </w:rPr>
        <w:t>Monitorizarea activităţii operatorilor economici în ceea ce priveşte utilizarea substanţelor fitosanitare este realizată de Unitatea fitosanitară din cadrul Direcţiei pentru Agricultură Judeţeană Brăila.</w:t>
      </w:r>
    </w:p>
    <w:p w:rsidR="00D07F84" w:rsidRPr="007B38E0" w:rsidRDefault="00D07F84" w:rsidP="00D07F84">
      <w:pPr>
        <w:pStyle w:val="BodyTextIndent2BodyTextIndent2Char"/>
        <w:ind w:left="0"/>
        <w:rPr>
          <w:rFonts w:ascii="Arial" w:hAnsi="Arial" w:cs="Arial"/>
          <w:sz w:val="24"/>
          <w:szCs w:val="24"/>
        </w:rPr>
      </w:pPr>
      <w:r w:rsidRPr="00E44D3D">
        <w:rPr>
          <w:rFonts w:ascii="Arial" w:hAnsi="Arial" w:cs="Arial"/>
          <w:sz w:val="24"/>
          <w:szCs w:val="24"/>
        </w:rPr>
        <w:t>Produse</w:t>
      </w:r>
      <w:r>
        <w:rPr>
          <w:rFonts w:ascii="Arial" w:hAnsi="Arial" w:cs="Arial"/>
          <w:sz w:val="24"/>
          <w:szCs w:val="24"/>
        </w:rPr>
        <w:t>le</w:t>
      </w:r>
      <w:r w:rsidRPr="00E44D3D">
        <w:rPr>
          <w:rFonts w:ascii="Arial" w:hAnsi="Arial" w:cs="Arial"/>
          <w:sz w:val="24"/>
          <w:szCs w:val="24"/>
        </w:rPr>
        <w:t xml:space="preserve"> fitosanitare aplicate</w:t>
      </w:r>
      <w:r>
        <w:rPr>
          <w:rFonts w:ascii="Arial" w:hAnsi="Arial" w:cs="Arial"/>
          <w:sz w:val="24"/>
          <w:szCs w:val="24"/>
        </w:rPr>
        <w:t xml:space="preserve"> în perioada 2010-2014 sunt redate în tabelul de mai jos.</w:t>
      </w:r>
    </w:p>
    <w:p w:rsidR="00D07F84" w:rsidRDefault="00D07F84" w:rsidP="00D07F84">
      <w:pPr>
        <w:rPr>
          <w:rFonts w:ascii="Arial" w:hAnsi="Arial" w:cs="Arial"/>
          <w:b/>
        </w:rPr>
      </w:pPr>
      <w:r>
        <w:rPr>
          <w:rFonts w:ascii="Arial" w:hAnsi="Arial" w:cs="Arial"/>
          <w:b/>
        </w:rPr>
        <w:t xml:space="preserve">   Tabelul III.</w:t>
      </w:r>
      <w:r w:rsidRPr="007B38E0">
        <w:rPr>
          <w:rFonts w:ascii="Arial" w:hAnsi="Arial" w:cs="Arial"/>
          <w:b/>
        </w:rPr>
        <w:t>3.</w:t>
      </w:r>
      <w:r>
        <w:rPr>
          <w:rFonts w:ascii="Arial" w:hAnsi="Arial" w:cs="Arial"/>
          <w:b/>
        </w:rPr>
        <w:t>2-1</w:t>
      </w:r>
      <w:r w:rsidRPr="007B38E0">
        <w:rPr>
          <w:rFonts w:ascii="Arial" w:hAnsi="Arial" w:cs="Arial"/>
          <w:b/>
        </w:rPr>
        <w:t xml:space="preserve"> </w:t>
      </w:r>
    </w:p>
    <w:p w:rsidR="00D07F84" w:rsidRPr="007B38E0" w:rsidRDefault="00D07F84" w:rsidP="00D07F84">
      <w:pPr>
        <w:rPr>
          <w:rFonts w:ascii="Arial" w:hAnsi="Arial" w:cs="Arial"/>
          <w:b/>
        </w:rPr>
      </w:pPr>
    </w:p>
    <w:tbl>
      <w:tblPr>
        <w:tblW w:w="8993" w:type="dxa"/>
        <w:jc w:val="center"/>
        <w:tblInd w:w="5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70"/>
        <w:gridCol w:w="750"/>
        <w:gridCol w:w="1167"/>
        <w:gridCol w:w="1350"/>
        <w:gridCol w:w="1457"/>
        <w:gridCol w:w="1177"/>
        <w:gridCol w:w="1099"/>
        <w:gridCol w:w="1323"/>
      </w:tblGrid>
      <w:tr w:rsidR="00D07F84" w:rsidRPr="007B38E0" w:rsidTr="00012F90">
        <w:trPr>
          <w:trHeight w:val="340"/>
          <w:jc w:val="center"/>
        </w:trPr>
        <w:tc>
          <w:tcPr>
            <w:tcW w:w="67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Nr.</w:t>
            </w:r>
          </w:p>
          <w:p w:rsidR="00D07F84" w:rsidRPr="007B38E0" w:rsidRDefault="00D07F84" w:rsidP="00012F90">
            <w:pPr>
              <w:jc w:val="center"/>
              <w:rPr>
                <w:rFonts w:ascii="Arial" w:hAnsi="Arial" w:cs="Arial"/>
                <w:b/>
              </w:rPr>
            </w:pPr>
            <w:r w:rsidRPr="007B38E0">
              <w:rPr>
                <w:rFonts w:ascii="Arial" w:hAnsi="Arial" w:cs="Arial"/>
                <w:b/>
              </w:rPr>
              <w:t>crt.</w:t>
            </w:r>
          </w:p>
        </w:tc>
        <w:tc>
          <w:tcPr>
            <w:tcW w:w="75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Anul</w:t>
            </w:r>
          </w:p>
        </w:tc>
        <w:tc>
          <w:tcPr>
            <w:tcW w:w="5151" w:type="dxa"/>
            <w:gridSpan w:val="4"/>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Produs fitosanitar, tone</w:t>
            </w:r>
          </w:p>
        </w:tc>
        <w:tc>
          <w:tcPr>
            <w:tcW w:w="1099"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Total</w:t>
            </w:r>
          </w:p>
          <w:p w:rsidR="00D07F84" w:rsidRPr="007B38E0" w:rsidRDefault="00D07F84" w:rsidP="00012F90">
            <w:pPr>
              <w:jc w:val="center"/>
              <w:rPr>
                <w:rFonts w:ascii="Arial" w:hAnsi="Arial" w:cs="Arial"/>
                <w:b/>
              </w:rPr>
            </w:pPr>
            <w:r w:rsidRPr="007B38E0">
              <w:rPr>
                <w:rFonts w:ascii="Arial" w:hAnsi="Arial" w:cs="Arial"/>
                <w:b/>
              </w:rPr>
              <w:t>(tone)</w:t>
            </w:r>
          </w:p>
        </w:tc>
        <w:tc>
          <w:tcPr>
            <w:tcW w:w="1323"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Suprafaţă</w:t>
            </w:r>
          </w:p>
          <w:p w:rsidR="00D07F84" w:rsidRPr="007B38E0" w:rsidRDefault="00D07F84" w:rsidP="00012F90">
            <w:pPr>
              <w:jc w:val="center"/>
              <w:rPr>
                <w:rFonts w:ascii="Arial" w:hAnsi="Arial" w:cs="Arial"/>
                <w:b/>
              </w:rPr>
            </w:pPr>
            <w:r w:rsidRPr="007B38E0">
              <w:rPr>
                <w:rFonts w:ascii="Arial" w:hAnsi="Arial" w:cs="Arial"/>
                <w:b/>
              </w:rPr>
              <w:t>(ha)</w:t>
            </w:r>
          </w:p>
        </w:tc>
      </w:tr>
      <w:tr w:rsidR="00D07F84" w:rsidRPr="007B38E0" w:rsidTr="00012F90">
        <w:trPr>
          <w:trHeight w:val="340"/>
          <w:jc w:val="center"/>
        </w:trPr>
        <w:tc>
          <w:tcPr>
            <w:tcW w:w="670" w:type="dxa"/>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750" w:type="dxa"/>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116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Erbicide</w:t>
            </w:r>
          </w:p>
        </w:tc>
        <w:tc>
          <w:tcPr>
            <w:tcW w:w="1350"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Fungicide</w:t>
            </w:r>
          </w:p>
        </w:tc>
        <w:tc>
          <w:tcPr>
            <w:tcW w:w="145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Insecticide</w:t>
            </w:r>
          </w:p>
        </w:tc>
        <w:tc>
          <w:tcPr>
            <w:tcW w:w="1177"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center"/>
              <w:rPr>
                <w:rFonts w:ascii="Arial" w:hAnsi="Arial" w:cs="Arial"/>
                <w:b/>
              </w:rPr>
            </w:pPr>
            <w:r w:rsidRPr="007B38E0">
              <w:rPr>
                <w:rFonts w:ascii="Arial" w:hAnsi="Arial" w:cs="Arial"/>
                <w:b/>
              </w:rPr>
              <w:t>Produse diverse</w:t>
            </w: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Pr="007B38E0" w:rsidRDefault="00D07F84" w:rsidP="00012F90">
            <w:pPr>
              <w:rPr>
                <w:rFonts w:ascii="Arial" w:hAnsi="Arial" w:cs="Arial"/>
                <w:b/>
              </w:rPr>
            </w:pPr>
          </w:p>
        </w:tc>
      </w:tr>
      <w:tr w:rsidR="00D07F84" w:rsidRPr="007B38E0" w:rsidTr="00012F90">
        <w:trPr>
          <w:trHeight w:val="340"/>
          <w:jc w:val="center"/>
        </w:trPr>
        <w:tc>
          <w:tcPr>
            <w:tcW w:w="67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1</w:t>
            </w:r>
            <w:r w:rsidRPr="007B38E0">
              <w:rPr>
                <w:rFonts w:ascii="Arial" w:hAnsi="Arial" w:cs="Arial"/>
              </w:rPr>
              <w:t>.</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2010</w:t>
            </w:r>
          </w:p>
        </w:tc>
        <w:tc>
          <w:tcPr>
            <w:tcW w:w="11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114,561</w:t>
            </w:r>
          </w:p>
        </w:tc>
        <w:tc>
          <w:tcPr>
            <w:tcW w:w="13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81,974</w:t>
            </w:r>
          </w:p>
        </w:tc>
        <w:tc>
          <w:tcPr>
            <w:tcW w:w="145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15,568</w:t>
            </w:r>
          </w:p>
        </w:tc>
        <w:tc>
          <w:tcPr>
            <w:tcW w:w="11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w:t>
            </w:r>
          </w:p>
        </w:tc>
        <w:tc>
          <w:tcPr>
            <w:tcW w:w="109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212,103</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674.344</w:t>
            </w:r>
          </w:p>
        </w:tc>
      </w:tr>
      <w:tr w:rsidR="00D07F84" w:rsidRPr="007B38E0" w:rsidTr="00012F90">
        <w:trPr>
          <w:trHeight w:val="340"/>
          <w:jc w:val="center"/>
        </w:trPr>
        <w:tc>
          <w:tcPr>
            <w:tcW w:w="67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lastRenderedPageBreak/>
              <w:t>2</w:t>
            </w:r>
            <w:r w:rsidRPr="007B38E0">
              <w:rPr>
                <w:rFonts w:ascii="Arial" w:hAnsi="Arial" w:cs="Arial"/>
              </w:rPr>
              <w:t>.</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2011</w:t>
            </w:r>
          </w:p>
        </w:tc>
        <w:tc>
          <w:tcPr>
            <w:tcW w:w="11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111,170</w:t>
            </w:r>
          </w:p>
        </w:tc>
        <w:tc>
          <w:tcPr>
            <w:tcW w:w="13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12,140</w:t>
            </w:r>
          </w:p>
        </w:tc>
        <w:tc>
          <w:tcPr>
            <w:tcW w:w="145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7,210</w:t>
            </w:r>
          </w:p>
        </w:tc>
        <w:tc>
          <w:tcPr>
            <w:tcW w:w="11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10,400</w:t>
            </w:r>
          </w:p>
        </w:tc>
        <w:tc>
          <w:tcPr>
            <w:tcW w:w="109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140,920</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528.372</w:t>
            </w:r>
          </w:p>
        </w:tc>
      </w:tr>
      <w:tr w:rsidR="00D07F84" w:rsidRPr="007B38E0" w:rsidTr="00012F90">
        <w:trPr>
          <w:trHeight w:val="340"/>
          <w:jc w:val="center"/>
        </w:trPr>
        <w:tc>
          <w:tcPr>
            <w:tcW w:w="67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3</w:t>
            </w:r>
            <w:r w:rsidRPr="007B38E0">
              <w:rPr>
                <w:rFonts w:ascii="Arial" w:hAnsi="Arial" w:cs="Arial"/>
              </w:rPr>
              <w:t>.</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2012</w:t>
            </w:r>
          </w:p>
        </w:tc>
        <w:tc>
          <w:tcPr>
            <w:tcW w:w="11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56,040</w:t>
            </w:r>
          </w:p>
        </w:tc>
        <w:tc>
          <w:tcPr>
            <w:tcW w:w="13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41,090</w:t>
            </w:r>
          </w:p>
        </w:tc>
        <w:tc>
          <w:tcPr>
            <w:tcW w:w="145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10,550</w:t>
            </w:r>
          </w:p>
        </w:tc>
        <w:tc>
          <w:tcPr>
            <w:tcW w:w="11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10,400</w:t>
            </w:r>
          </w:p>
        </w:tc>
        <w:tc>
          <w:tcPr>
            <w:tcW w:w="109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118,920</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368.722</w:t>
            </w:r>
          </w:p>
        </w:tc>
      </w:tr>
      <w:tr w:rsidR="00D07F84" w:rsidRPr="007B38E0" w:rsidTr="00012F90">
        <w:trPr>
          <w:trHeight w:val="340"/>
          <w:jc w:val="center"/>
        </w:trPr>
        <w:tc>
          <w:tcPr>
            <w:tcW w:w="67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4</w:t>
            </w:r>
            <w:r w:rsidRPr="007B38E0">
              <w:rPr>
                <w:rFonts w:ascii="Arial" w:hAnsi="Arial" w:cs="Arial"/>
              </w:rPr>
              <w:t>.</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2013</w:t>
            </w:r>
          </w:p>
        </w:tc>
        <w:tc>
          <w:tcPr>
            <w:tcW w:w="11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93,445</w:t>
            </w:r>
          </w:p>
        </w:tc>
        <w:tc>
          <w:tcPr>
            <w:tcW w:w="13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10,437</w:t>
            </w:r>
          </w:p>
        </w:tc>
        <w:tc>
          <w:tcPr>
            <w:tcW w:w="145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5,996</w:t>
            </w:r>
          </w:p>
        </w:tc>
        <w:tc>
          <w:tcPr>
            <w:tcW w:w="11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8,794</w:t>
            </w:r>
          </w:p>
        </w:tc>
        <w:tc>
          <w:tcPr>
            <w:tcW w:w="109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118,627</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sidRPr="007B38E0">
              <w:rPr>
                <w:rFonts w:ascii="Arial" w:hAnsi="Arial" w:cs="Arial"/>
              </w:rPr>
              <w:t>444.131</w:t>
            </w:r>
          </w:p>
        </w:tc>
      </w:tr>
      <w:tr w:rsidR="00D07F84" w:rsidRPr="007B38E0" w:rsidTr="00012F90">
        <w:trPr>
          <w:trHeight w:val="340"/>
          <w:jc w:val="center"/>
        </w:trPr>
        <w:tc>
          <w:tcPr>
            <w:tcW w:w="67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5.</w:t>
            </w:r>
          </w:p>
        </w:tc>
        <w:tc>
          <w:tcPr>
            <w:tcW w:w="7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2014</w:t>
            </w:r>
          </w:p>
        </w:tc>
        <w:tc>
          <w:tcPr>
            <w:tcW w:w="116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206,62</w:t>
            </w:r>
          </w:p>
        </w:tc>
        <w:tc>
          <w:tcPr>
            <w:tcW w:w="1350"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98,831</w:t>
            </w:r>
          </w:p>
        </w:tc>
        <w:tc>
          <w:tcPr>
            <w:tcW w:w="145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31,952</w:t>
            </w:r>
          </w:p>
        </w:tc>
        <w:tc>
          <w:tcPr>
            <w:tcW w:w="1177"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0,551</w:t>
            </w:r>
          </w:p>
        </w:tc>
        <w:tc>
          <w:tcPr>
            <w:tcW w:w="1099"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337,954</w:t>
            </w:r>
          </w:p>
        </w:tc>
        <w:tc>
          <w:tcPr>
            <w:tcW w:w="1323" w:type="dxa"/>
            <w:tcBorders>
              <w:top w:val="single" w:sz="4" w:space="0" w:color="auto"/>
              <w:left w:val="single" w:sz="4" w:space="0" w:color="auto"/>
              <w:bottom w:val="single" w:sz="4" w:space="0" w:color="auto"/>
              <w:right w:val="single" w:sz="4" w:space="0" w:color="auto"/>
            </w:tcBorders>
            <w:shd w:val="clear" w:color="auto" w:fill="FFFFCC"/>
            <w:vAlign w:val="center"/>
            <w:hideMark/>
          </w:tcPr>
          <w:p w:rsidR="00D07F84" w:rsidRPr="007B38E0" w:rsidRDefault="00D07F84" w:rsidP="00012F90">
            <w:pPr>
              <w:jc w:val="center"/>
              <w:rPr>
                <w:rFonts w:ascii="Arial" w:hAnsi="Arial" w:cs="Arial"/>
              </w:rPr>
            </w:pPr>
            <w:r>
              <w:rPr>
                <w:rFonts w:ascii="Arial" w:hAnsi="Arial" w:cs="Arial"/>
              </w:rPr>
              <w:t>486.206</w:t>
            </w:r>
          </w:p>
        </w:tc>
      </w:tr>
    </w:tbl>
    <w:p w:rsidR="00D07F84" w:rsidRDefault="00D07F84" w:rsidP="00D07F84">
      <w:pPr>
        <w:pStyle w:val="Footer"/>
        <w:jc w:val="both"/>
        <w:rPr>
          <w:rFonts w:ascii="Arial" w:hAnsi="Arial" w:cs="Arial"/>
          <w:color w:val="000000"/>
          <w:sz w:val="24"/>
          <w:szCs w:val="24"/>
        </w:rPr>
      </w:pPr>
    </w:p>
    <w:p w:rsidR="00D07F84" w:rsidRPr="00E44D3D" w:rsidRDefault="00D07F84" w:rsidP="00D07F84">
      <w:pPr>
        <w:pStyle w:val="BodyTextIndent2BodyTextIndent2Char"/>
        <w:ind w:left="0"/>
        <w:rPr>
          <w:rFonts w:ascii="Arial" w:hAnsi="Arial" w:cs="Arial"/>
          <w:sz w:val="24"/>
          <w:szCs w:val="24"/>
        </w:rPr>
      </w:pPr>
      <w:r w:rsidRPr="007B38E0">
        <w:rPr>
          <w:rFonts w:ascii="Arial" w:hAnsi="Arial" w:cs="Arial"/>
          <w:sz w:val="24"/>
          <w:szCs w:val="24"/>
        </w:rPr>
        <w:t>În cursul anului 201</w:t>
      </w:r>
      <w:r>
        <w:rPr>
          <w:rFonts w:ascii="Arial" w:hAnsi="Arial" w:cs="Arial"/>
          <w:sz w:val="24"/>
          <w:szCs w:val="24"/>
        </w:rPr>
        <w:t>4</w:t>
      </w:r>
      <w:r w:rsidRPr="007B38E0">
        <w:rPr>
          <w:rFonts w:ascii="Arial" w:hAnsi="Arial" w:cs="Arial"/>
          <w:sz w:val="24"/>
          <w:szCs w:val="24"/>
        </w:rPr>
        <w:t xml:space="preserve"> s-au aplicat produse fitosanitare în cantitate totală de </w:t>
      </w:r>
      <w:r w:rsidRPr="00E44D3D">
        <w:rPr>
          <w:rFonts w:ascii="Arial" w:hAnsi="Arial" w:cs="Arial"/>
          <w:sz w:val="24"/>
          <w:szCs w:val="24"/>
        </w:rPr>
        <w:t>337,954</w:t>
      </w:r>
      <w:r>
        <w:rPr>
          <w:rFonts w:ascii="Arial" w:hAnsi="Arial" w:cs="Arial"/>
        </w:rPr>
        <w:t xml:space="preserve"> </w:t>
      </w:r>
      <w:r w:rsidRPr="007B38E0">
        <w:rPr>
          <w:rFonts w:ascii="Arial" w:hAnsi="Arial" w:cs="Arial"/>
          <w:sz w:val="24"/>
          <w:szCs w:val="24"/>
        </w:rPr>
        <w:t xml:space="preserve">tone substanţă activă. Se constată scăderea a cantităţii totale de produse fitosanitare </w:t>
      </w:r>
      <w:r>
        <w:rPr>
          <w:rFonts w:ascii="Arial" w:hAnsi="Arial" w:cs="Arial"/>
          <w:sz w:val="24"/>
          <w:szCs w:val="24"/>
        </w:rPr>
        <w:t>în perioada 2010-2013</w:t>
      </w:r>
      <w:r w:rsidRPr="007B38E0">
        <w:rPr>
          <w:rFonts w:ascii="Arial" w:hAnsi="Arial" w:cs="Arial"/>
          <w:sz w:val="24"/>
          <w:szCs w:val="24"/>
        </w:rPr>
        <w:t xml:space="preserve"> </w:t>
      </w:r>
      <w:r>
        <w:rPr>
          <w:rFonts w:ascii="Arial" w:hAnsi="Arial" w:cs="Arial"/>
          <w:sz w:val="24"/>
          <w:szCs w:val="24"/>
        </w:rPr>
        <w:t>și o creștere mare, aproape o triplare a cantităților utilizate în 2014, față de anul precedent</w:t>
      </w:r>
      <w:r w:rsidRPr="007B38E0">
        <w:rPr>
          <w:rFonts w:ascii="Arial" w:hAnsi="Arial" w:cs="Arial"/>
          <w:sz w:val="24"/>
          <w:szCs w:val="24"/>
        </w:rPr>
        <w:t>. Cele mai mari cerinţe de utilizare s-au înregistrat pentru combaterea buruienilor.</w:t>
      </w:r>
    </w:p>
    <w:p w:rsidR="00D07F84" w:rsidRDefault="00D07F84" w:rsidP="00D07F84">
      <w:pPr>
        <w:pStyle w:val="Footer"/>
        <w:tabs>
          <w:tab w:val="left" w:pos="567"/>
          <w:tab w:val="left" w:pos="851"/>
          <w:tab w:val="left" w:pos="993"/>
        </w:tabs>
        <w:jc w:val="both"/>
        <w:rPr>
          <w:rFonts w:ascii="Arial" w:hAnsi="Arial" w:cs="Arial"/>
          <w:sz w:val="24"/>
          <w:szCs w:val="24"/>
          <w:lang w:val="ro-RO"/>
        </w:rPr>
      </w:pPr>
      <w:r w:rsidRPr="00E44D3D">
        <w:rPr>
          <w:rFonts w:ascii="Arial" w:hAnsi="Arial" w:cs="Arial"/>
          <w:sz w:val="24"/>
          <w:szCs w:val="24"/>
          <w:lang w:val="ro-RO"/>
        </w:rPr>
        <w:t>Variația anuală a consumului total de pesticide este redat în graficul de mai jos( exprimat în kg/ha)</w:t>
      </w:r>
      <w:r>
        <w:rPr>
          <w:rFonts w:ascii="Arial" w:hAnsi="Arial" w:cs="Arial"/>
          <w:sz w:val="24"/>
          <w:szCs w:val="24"/>
          <w:lang w:val="ro-RO"/>
        </w:rPr>
        <w:t>:</w:t>
      </w:r>
    </w:p>
    <w:p w:rsidR="00D07F84" w:rsidRDefault="00D07F84" w:rsidP="00D07F84">
      <w:pPr>
        <w:pStyle w:val="Footer"/>
        <w:tabs>
          <w:tab w:val="left" w:pos="567"/>
          <w:tab w:val="left" w:pos="851"/>
          <w:tab w:val="left" w:pos="993"/>
        </w:tabs>
        <w:jc w:val="both"/>
        <w:rPr>
          <w:rFonts w:ascii="Arial" w:hAnsi="Arial" w:cs="Arial"/>
          <w:sz w:val="24"/>
          <w:szCs w:val="24"/>
          <w:lang w:val="ro-RO"/>
        </w:rPr>
      </w:pPr>
    </w:p>
    <w:p w:rsidR="00D07F84" w:rsidRDefault="00D07F84" w:rsidP="00D07F84">
      <w:pPr>
        <w:pStyle w:val="Footer"/>
        <w:tabs>
          <w:tab w:val="left" w:pos="567"/>
          <w:tab w:val="left" w:pos="851"/>
          <w:tab w:val="left" w:pos="993"/>
        </w:tabs>
        <w:jc w:val="center"/>
        <w:rPr>
          <w:rFonts w:ascii="Arial" w:hAnsi="Arial" w:cs="Arial"/>
          <w:sz w:val="24"/>
          <w:szCs w:val="24"/>
          <w:lang w:val="ro-RO"/>
        </w:rPr>
      </w:pPr>
      <w:r w:rsidRPr="00E20F62">
        <w:rPr>
          <w:rFonts w:ascii="Arial" w:hAnsi="Arial" w:cs="Arial"/>
          <w:noProof/>
          <w:sz w:val="24"/>
          <w:szCs w:val="24"/>
          <w:lang w:val="ro-RO" w:eastAsia="ro-RO"/>
        </w:rPr>
        <w:drawing>
          <wp:inline distT="0" distB="0" distL="0" distR="0">
            <wp:extent cx="4923886" cy="2544792"/>
            <wp:effectExtent l="19050" t="0" r="10064" b="7908"/>
            <wp:docPr id="6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0"/>
              </a:graphicData>
            </a:graphic>
          </wp:inline>
        </w:drawing>
      </w:r>
    </w:p>
    <w:p w:rsidR="00D07F84" w:rsidRDefault="00D07F84" w:rsidP="00D07F84">
      <w:pPr>
        <w:jc w:val="center"/>
        <w:rPr>
          <w:rFonts w:ascii="Arial" w:hAnsi="Arial" w:cs="Arial"/>
          <w:b/>
          <w:lang w:val="pt-BR"/>
        </w:rPr>
      </w:pPr>
      <w:r>
        <w:rPr>
          <w:rFonts w:ascii="Arial" w:hAnsi="Arial" w:cs="Arial"/>
          <w:b/>
          <w:lang w:val="pt-BR"/>
        </w:rPr>
        <w:t>Fig. III.3.2-1</w:t>
      </w:r>
    </w:p>
    <w:p w:rsidR="00D07F84" w:rsidRDefault="00D07F84" w:rsidP="00D07F84">
      <w:pPr>
        <w:pStyle w:val="Footer"/>
        <w:tabs>
          <w:tab w:val="left" w:pos="567"/>
          <w:tab w:val="left" w:pos="851"/>
          <w:tab w:val="left" w:pos="993"/>
        </w:tabs>
        <w:jc w:val="both"/>
        <w:rPr>
          <w:rFonts w:ascii="Arial" w:hAnsi="Arial" w:cs="Arial"/>
          <w:sz w:val="24"/>
          <w:szCs w:val="24"/>
          <w:lang w:val="ro-RO"/>
        </w:rPr>
      </w:pPr>
    </w:p>
    <w:p w:rsidR="00D07F84" w:rsidRPr="00E20F62" w:rsidRDefault="00D07F84" w:rsidP="00D07F84">
      <w:pPr>
        <w:jc w:val="both"/>
        <w:rPr>
          <w:rFonts w:ascii="Arial" w:hAnsi="Arial" w:cs="Arial"/>
          <w:lang w:val="ro-RO"/>
        </w:rPr>
      </w:pPr>
      <w:r>
        <w:rPr>
          <w:rFonts w:ascii="Arial" w:hAnsi="Arial" w:cs="Arial"/>
          <w:lang w:val="ro-RO"/>
        </w:rPr>
        <w:t>Variația anuală a consumului pe sorturi de pesticide în perioada 2010-2014 este redată în figura</w:t>
      </w:r>
      <w:r w:rsidRPr="00E20F62">
        <w:rPr>
          <w:rFonts w:ascii="Arial" w:hAnsi="Arial" w:cs="Arial"/>
          <w:lang w:val="ro-RO"/>
        </w:rPr>
        <w:t xml:space="preserve"> III.3.2-2</w:t>
      </w:r>
      <w:r>
        <w:rPr>
          <w:rFonts w:ascii="Arial" w:hAnsi="Arial" w:cs="Arial"/>
          <w:lang w:val="ro-RO"/>
        </w:rPr>
        <w:t>. Se observă un consum în creștere a celor trei sortimente de pesticide în perioada 2012-2014, în special în ceea ce privește erbicidele.</w:t>
      </w:r>
    </w:p>
    <w:p w:rsidR="00D07F84" w:rsidRPr="00E20F62" w:rsidRDefault="00D07F84" w:rsidP="00D07F84">
      <w:pPr>
        <w:pStyle w:val="Footer"/>
        <w:tabs>
          <w:tab w:val="left" w:pos="567"/>
          <w:tab w:val="left" w:pos="851"/>
          <w:tab w:val="left" w:pos="993"/>
        </w:tabs>
        <w:rPr>
          <w:rFonts w:ascii="Arial" w:eastAsia="SimSun" w:hAnsi="Arial" w:cs="Arial"/>
          <w:sz w:val="24"/>
          <w:szCs w:val="24"/>
          <w:lang w:val="ro-RO"/>
        </w:rPr>
      </w:pPr>
    </w:p>
    <w:p w:rsidR="00D07F84" w:rsidRDefault="00D07F84" w:rsidP="00D07F84">
      <w:pPr>
        <w:pStyle w:val="Footer"/>
        <w:tabs>
          <w:tab w:val="left" w:pos="567"/>
          <w:tab w:val="left" w:pos="851"/>
          <w:tab w:val="left" w:pos="993"/>
        </w:tabs>
        <w:jc w:val="both"/>
        <w:rPr>
          <w:rFonts w:ascii="Arial" w:hAnsi="Arial" w:cs="Arial"/>
          <w:sz w:val="24"/>
          <w:szCs w:val="24"/>
          <w:lang w:val="ro-RO"/>
        </w:rPr>
      </w:pPr>
    </w:p>
    <w:p w:rsidR="00D07F84" w:rsidRDefault="00D07F84" w:rsidP="00D07F84">
      <w:pPr>
        <w:pStyle w:val="Footer"/>
        <w:tabs>
          <w:tab w:val="left" w:pos="567"/>
          <w:tab w:val="left" w:pos="851"/>
          <w:tab w:val="left" w:pos="993"/>
        </w:tabs>
        <w:jc w:val="center"/>
        <w:rPr>
          <w:rFonts w:ascii="Arial" w:hAnsi="Arial" w:cs="Arial"/>
          <w:sz w:val="24"/>
          <w:szCs w:val="24"/>
          <w:lang w:val="ro-RO"/>
        </w:rPr>
      </w:pPr>
      <w:r w:rsidRPr="00E44D3D">
        <w:rPr>
          <w:rFonts w:ascii="Arial" w:hAnsi="Arial" w:cs="Arial"/>
          <w:noProof/>
          <w:sz w:val="24"/>
          <w:szCs w:val="24"/>
          <w:lang w:val="ro-RO" w:eastAsia="ro-RO"/>
        </w:rPr>
        <w:drawing>
          <wp:inline distT="0" distB="0" distL="0" distR="0">
            <wp:extent cx="4923886" cy="2544792"/>
            <wp:effectExtent l="19050" t="0" r="10064" b="7908"/>
            <wp:docPr id="6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71"/>
              </a:graphicData>
            </a:graphic>
          </wp:inline>
        </w:drawing>
      </w:r>
    </w:p>
    <w:p w:rsidR="00D07F84" w:rsidRPr="00200EB5" w:rsidRDefault="00D07F84" w:rsidP="00D07F84">
      <w:pPr>
        <w:jc w:val="center"/>
        <w:rPr>
          <w:rFonts w:ascii="Arial" w:hAnsi="Arial" w:cs="Arial"/>
          <w:b/>
          <w:lang w:val="pt-BR"/>
        </w:rPr>
      </w:pPr>
      <w:r>
        <w:rPr>
          <w:rFonts w:ascii="Arial" w:hAnsi="Arial" w:cs="Arial"/>
          <w:b/>
          <w:lang w:val="pt-BR"/>
        </w:rPr>
        <w:t>Fig. III.3.2-2</w:t>
      </w:r>
    </w:p>
    <w:p w:rsidR="00D07F84" w:rsidRDefault="00D07F84" w:rsidP="00D07F84">
      <w:pPr>
        <w:jc w:val="both"/>
        <w:rPr>
          <w:rFonts w:ascii="Arial" w:hAnsi="Arial" w:cs="Arial"/>
          <w:b/>
        </w:rPr>
      </w:pPr>
    </w:p>
    <w:p w:rsidR="00D07F84" w:rsidRDefault="00D07F84" w:rsidP="00D07F84">
      <w:pPr>
        <w:jc w:val="both"/>
        <w:rPr>
          <w:rFonts w:ascii="Arial" w:hAnsi="Arial" w:cs="Arial"/>
          <w:b/>
        </w:rPr>
      </w:pPr>
    </w:p>
    <w:p w:rsidR="00D07F84" w:rsidRPr="007B38E0" w:rsidRDefault="00D07F84" w:rsidP="00D07F84">
      <w:pPr>
        <w:jc w:val="both"/>
        <w:rPr>
          <w:rFonts w:ascii="Arial" w:hAnsi="Arial" w:cs="Arial"/>
          <w:b/>
        </w:rPr>
      </w:pPr>
      <w:r>
        <w:rPr>
          <w:rFonts w:ascii="Arial" w:hAnsi="Arial" w:cs="Arial"/>
          <w:b/>
        </w:rPr>
        <w:t>III.3.3.</w:t>
      </w:r>
      <w:r w:rsidRPr="007B38E0">
        <w:rPr>
          <w:rFonts w:ascii="Arial" w:hAnsi="Arial" w:cs="Arial"/>
          <w:b/>
        </w:rPr>
        <w:t xml:space="preserve"> </w:t>
      </w:r>
      <w:r>
        <w:rPr>
          <w:rFonts w:ascii="Arial" w:hAnsi="Arial" w:cs="Arial"/>
          <w:b/>
        </w:rPr>
        <w:t>Evoluția suprafețelor de îmbunătățiri funciare</w:t>
      </w:r>
    </w:p>
    <w:p w:rsidR="00D07F84" w:rsidRDefault="00D07F84" w:rsidP="00D07F84">
      <w:pPr>
        <w:pStyle w:val="BodyTextIndent2BodyTextIndent2Char"/>
        <w:ind w:left="0"/>
        <w:rPr>
          <w:rFonts w:ascii="Arial" w:hAnsi="Arial" w:cs="Arial"/>
          <w:sz w:val="24"/>
          <w:szCs w:val="24"/>
        </w:rPr>
      </w:pP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Utilizarea irigaţiilor a devenit indispensabilă în condiţiile climatului arid şi secetos specific judeţului Brăila. Regimul de uscăciune a fost accentuat totodată de creşterea presiunii demografice şi a schimbărilor climatice.Abaterile de la regimul optim de irigare pot avea efecte negative asupra solului. Modificări însemnate pot avea loc din cauza calităţii apei de irigare folosite, fiind posibilă apariţia fenomenelor de salinizare şi alcalinizare, (în situaţia apelor conţinând săruri), sau modificarea texturii (în măsura în care apa conţine aluviuni în suspensie).</w:t>
      </w:r>
    </w:p>
    <w:p w:rsidR="00D07F84" w:rsidRPr="007B38E0" w:rsidRDefault="00D07F84" w:rsidP="00D07F84">
      <w:pPr>
        <w:pStyle w:val="BodyText"/>
        <w:spacing w:after="0" w:line="240" w:lineRule="auto"/>
        <w:jc w:val="both"/>
        <w:rPr>
          <w:rFonts w:ascii="Arial" w:hAnsi="Arial" w:cs="Arial"/>
          <w:sz w:val="24"/>
          <w:szCs w:val="24"/>
          <w:lang w:val="ro-RO"/>
        </w:rPr>
      </w:pPr>
    </w:p>
    <w:p w:rsidR="00D07F84" w:rsidRDefault="00D07F84" w:rsidP="00D07F84">
      <w:pPr>
        <w:pStyle w:val="BodyText"/>
        <w:shd w:val="clear" w:color="auto" w:fill="FFFFFF"/>
        <w:spacing w:after="0" w:line="240" w:lineRule="auto"/>
        <w:jc w:val="both"/>
        <w:rPr>
          <w:rFonts w:ascii="Arial" w:hAnsi="Arial" w:cs="Arial"/>
          <w:b/>
          <w:sz w:val="24"/>
          <w:szCs w:val="24"/>
          <w:lang w:val="pt-BR"/>
        </w:rPr>
      </w:pPr>
      <w:r>
        <w:rPr>
          <w:rFonts w:ascii="Arial" w:hAnsi="Arial" w:cs="Arial"/>
          <w:b/>
          <w:sz w:val="24"/>
          <w:szCs w:val="24"/>
          <w:lang w:val="pt-BR"/>
        </w:rPr>
        <w:t xml:space="preserve">         III.3.3-</w:t>
      </w:r>
      <w:r w:rsidRPr="007B38E0">
        <w:rPr>
          <w:rFonts w:ascii="Arial" w:hAnsi="Arial" w:cs="Arial"/>
          <w:b/>
          <w:sz w:val="24"/>
          <w:szCs w:val="24"/>
          <w:lang w:val="pt-BR"/>
        </w:rPr>
        <w:t>1  Suprafaţa irigată în anii 20</w:t>
      </w:r>
      <w:r>
        <w:rPr>
          <w:rFonts w:ascii="Arial" w:hAnsi="Arial" w:cs="Arial"/>
          <w:b/>
          <w:sz w:val="24"/>
          <w:szCs w:val="24"/>
          <w:lang w:val="pt-BR"/>
        </w:rPr>
        <w:t>10-2014</w:t>
      </w:r>
      <w:r w:rsidRPr="007B38E0">
        <w:rPr>
          <w:rFonts w:ascii="Arial" w:hAnsi="Arial" w:cs="Arial"/>
          <w:b/>
          <w:sz w:val="24"/>
          <w:szCs w:val="24"/>
          <w:lang w:val="pt-BR"/>
        </w:rPr>
        <w:t>:</w:t>
      </w:r>
    </w:p>
    <w:p w:rsidR="00D07F84" w:rsidRPr="007B38E0" w:rsidRDefault="00D07F84" w:rsidP="00D07F84">
      <w:pPr>
        <w:pStyle w:val="BodyText"/>
        <w:shd w:val="clear" w:color="auto" w:fill="FFFFFF"/>
        <w:spacing w:after="0" w:line="240" w:lineRule="auto"/>
        <w:jc w:val="both"/>
        <w:rPr>
          <w:rFonts w:ascii="Arial" w:hAnsi="Arial" w:cs="Arial"/>
          <w:b/>
          <w:sz w:val="24"/>
          <w:szCs w:val="24"/>
          <w:lang w:val="pt-BR"/>
        </w:rPr>
      </w:pPr>
    </w:p>
    <w:tbl>
      <w:tblPr>
        <w:tblW w:w="778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652"/>
        <w:gridCol w:w="1259"/>
        <w:gridCol w:w="1259"/>
        <w:gridCol w:w="1259"/>
        <w:gridCol w:w="1259"/>
        <w:gridCol w:w="1096"/>
      </w:tblGrid>
      <w:tr w:rsidR="00D07F84" w:rsidRPr="007B38E0" w:rsidTr="00012F90">
        <w:trPr>
          <w:trHeight w:val="340"/>
          <w:jc w:val="center"/>
        </w:trPr>
        <w:tc>
          <w:tcPr>
            <w:tcW w:w="1652" w:type="dxa"/>
            <w:tcBorders>
              <w:top w:val="single" w:sz="4" w:space="0" w:color="auto"/>
              <w:left w:val="single" w:sz="4" w:space="0" w:color="auto"/>
              <w:bottom w:val="single" w:sz="4" w:space="0" w:color="auto"/>
              <w:right w:val="single" w:sz="4" w:space="0" w:color="auto"/>
            </w:tcBorders>
            <w:shd w:val="clear" w:color="auto" w:fill="D9D9D9"/>
            <w:hideMark/>
          </w:tcPr>
          <w:p w:rsidR="00D07F84" w:rsidRPr="007B38E0" w:rsidRDefault="00D07F84" w:rsidP="00012F90">
            <w:pPr>
              <w:pStyle w:val="BodyText"/>
              <w:spacing w:after="0" w:line="240" w:lineRule="auto"/>
              <w:jc w:val="both"/>
              <w:rPr>
                <w:rFonts w:ascii="Arial" w:hAnsi="Arial" w:cs="Arial"/>
                <w:b/>
                <w:sz w:val="24"/>
                <w:szCs w:val="24"/>
              </w:rPr>
            </w:pPr>
            <w:r w:rsidRPr="007B38E0">
              <w:rPr>
                <w:rFonts w:ascii="Arial" w:hAnsi="Arial" w:cs="Arial"/>
                <w:b/>
                <w:sz w:val="24"/>
                <w:szCs w:val="24"/>
              </w:rPr>
              <w:t>Anul</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tcPr>
          <w:p w:rsidR="00D07F84" w:rsidRPr="007B38E0" w:rsidRDefault="00D07F84" w:rsidP="00012F90">
            <w:pPr>
              <w:jc w:val="both"/>
              <w:rPr>
                <w:rFonts w:ascii="Arial" w:hAnsi="Arial" w:cs="Arial"/>
                <w:b/>
              </w:rPr>
            </w:pPr>
            <w:r w:rsidRPr="007B38E0">
              <w:rPr>
                <w:rFonts w:ascii="Arial" w:hAnsi="Arial" w:cs="Arial"/>
                <w:b/>
              </w:rPr>
              <w:t>2010</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tcPr>
          <w:p w:rsidR="00D07F84" w:rsidRPr="007B38E0" w:rsidRDefault="00D07F84" w:rsidP="00012F90">
            <w:pPr>
              <w:jc w:val="both"/>
              <w:rPr>
                <w:rFonts w:ascii="Arial" w:hAnsi="Arial" w:cs="Arial"/>
                <w:b/>
              </w:rPr>
            </w:pPr>
            <w:r w:rsidRPr="007B38E0">
              <w:rPr>
                <w:rFonts w:ascii="Arial" w:hAnsi="Arial" w:cs="Arial"/>
                <w:b/>
              </w:rPr>
              <w:t>2011</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tcPr>
          <w:p w:rsidR="00D07F84" w:rsidRPr="007B38E0" w:rsidRDefault="00D07F84" w:rsidP="00012F90">
            <w:pPr>
              <w:jc w:val="both"/>
              <w:rPr>
                <w:rFonts w:ascii="Arial" w:hAnsi="Arial" w:cs="Arial"/>
                <w:b/>
              </w:rPr>
            </w:pPr>
            <w:r w:rsidRPr="007B38E0">
              <w:rPr>
                <w:rFonts w:ascii="Arial" w:hAnsi="Arial" w:cs="Arial"/>
                <w:b/>
              </w:rPr>
              <w:t>2012</w:t>
            </w:r>
          </w:p>
        </w:tc>
        <w:tc>
          <w:tcPr>
            <w:tcW w:w="1259" w:type="dxa"/>
            <w:tcBorders>
              <w:top w:val="single" w:sz="4" w:space="0" w:color="auto"/>
              <w:left w:val="single" w:sz="4" w:space="0" w:color="auto"/>
              <w:bottom w:val="single" w:sz="4" w:space="0" w:color="auto"/>
              <w:right w:val="single" w:sz="4" w:space="0" w:color="auto"/>
            </w:tcBorders>
            <w:shd w:val="clear" w:color="auto" w:fill="D9D9D9"/>
            <w:vAlign w:val="center"/>
          </w:tcPr>
          <w:p w:rsidR="00D07F84" w:rsidRPr="007B38E0" w:rsidRDefault="00D07F84" w:rsidP="00012F90">
            <w:pPr>
              <w:jc w:val="both"/>
              <w:rPr>
                <w:rFonts w:ascii="Arial" w:hAnsi="Arial" w:cs="Arial"/>
                <w:b/>
              </w:rPr>
            </w:pPr>
            <w:r w:rsidRPr="007B38E0">
              <w:rPr>
                <w:rFonts w:ascii="Arial" w:hAnsi="Arial" w:cs="Arial"/>
                <w:b/>
              </w:rPr>
              <w:t>2013</w:t>
            </w:r>
          </w:p>
        </w:tc>
        <w:tc>
          <w:tcPr>
            <w:tcW w:w="109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Pr="007B38E0" w:rsidRDefault="00D07F84" w:rsidP="00012F90">
            <w:pPr>
              <w:jc w:val="both"/>
              <w:rPr>
                <w:rFonts w:ascii="Arial" w:hAnsi="Arial" w:cs="Arial"/>
                <w:b/>
              </w:rPr>
            </w:pPr>
            <w:r w:rsidRPr="007B38E0">
              <w:rPr>
                <w:rFonts w:ascii="Arial" w:hAnsi="Arial" w:cs="Arial"/>
                <w:b/>
              </w:rPr>
              <w:t>201</w:t>
            </w:r>
            <w:r>
              <w:rPr>
                <w:rFonts w:ascii="Arial" w:hAnsi="Arial" w:cs="Arial"/>
                <w:b/>
              </w:rPr>
              <w:t>4</w:t>
            </w:r>
          </w:p>
        </w:tc>
      </w:tr>
      <w:tr w:rsidR="00D07F84" w:rsidRPr="007B38E0" w:rsidTr="00012F90">
        <w:trPr>
          <w:trHeight w:val="340"/>
          <w:jc w:val="center"/>
        </w:trPr>
        <w:tc>
          <w:tcPr>
            <w:tcW w:w="1652" w:type="dxa"/>
            <w:tcBorders>
              <w:top w:val="single" w:sz="4" w:space="0" w:color="auto"/>
              <w:left w:val="single" w:sz="4" w:space="0" w:color="auto"/>
              <w:bottom w:val="single" w:sz="4" w:space="0" w:color="auto"/>
              <w:right w:val="single" w:sz="4" w:space="0" w:color="auto"/>
            </w:tcBorders>
            <w:shd w:val="clear" w:color="auto" w:fill="F3FFFF"/>
            <w:hideMark/>
          </w:tcPr>
          <w:p w:rsidR="00D07F84" w:rsidRPr="007B38E0" w:rsidRDefault="00D07F84" w:rsidP="00012F90">
            <w:pPr>
              <w:pStyle w:val="BodyText"/>
              <w:spacing w:after="0" w:line="240" w:lineRule="auto"/>
              <w:jc w:val="both"/>
              <w:rPr>
                <w:rFonts w:ascii="Arial" w:hAnsi="Arial" w:cs="Arial"/>
                <w:sz w:val="24"/>
                <w:szCs w:val="24"/>
              </w:rPr>
            </w:pPr>
            <w:r w:rsidRPr="007B38E0">
              <w:rPr>
                <w:rFonts w:ascii="Arial" w:hAnsi="Arial" w:cs="Arial"/>
                <w:sz w:val="24"/>
                <w:szCs w:val="24"/>
              </w:rPr>
              <w:t>Suprafaţa irigată (ha)</w:t>
            </w:r>
          </w:p>
        </w:tc>
        <w:tc>
          <w:tcPr>
            <w:tcW w:w="1259" w:type="dxa"/>
            <w:tcBorders>
              <w:top w:val="single" w:sz="4" w:space="0" w:color="auto"/>
              <w:left w:val="single" w:sz="4" w:space="0" w:color="auto"/>
              <w:bottom w:val="single" w:sz="4" w:space="0" w:color="auto"/>
              <w:right w:val="single" w:sz="4" w:space="0" w:color="auto"/>
            </w:tcBorders>
            <w:shd w:val="clear" w:color="auto" w:fill="F3FFFF"/>
            <w:vAlign w:val="center"/>
          </w:tcPr>
          <w:p w:rsidR="00D07F84" w:rsidRPr="007B38E0" w:rsidRDefault="00D07F84" w:rsidP="00012F90">
            <w:pPr>
              <w:jc w:val="both"/>
              <w:rPr>
                <w:rFonts w:ascii="Arial" w:hAnsi="Arial" w:cs="Arial"/>
              </w:rPr>
            </w:pPr>
            <w:r w:rsidRPr="007B38E0">
              <w:rPr>
                <w:rFonts w:ascii="Arial" w:hAnsi="Arial" w:cs="Arial"/>
              </w:rPr>
              <w:t>113.795</w:t>
            </w:r>
          </w:p>
        </w:tc>
        <w:tc>
          <w:tcPr>
            <w:tcW w:w="1259" w:type="dxa"/>
            <w:tcBorders>
              <w:top w:val="single" w:sz="4" w:space="0" w:color="auto"/>
              <w:left w:val="single" w:sz="4" w:space="0" w:color="auto"/>
              <w:bottom w:val="single" w:sz="4" w:space="0" w:color="auto"/>
              <w:right w:val="single" w:sz="4" w:space="0" w:color="auto"/>
            </w:tcBorders>
            <w:shd w:val="clear" w:color="auto" w:fill="F3FFFF"/>
            <w:vAlign w:val="center"/>
          </w:tcPr>
          <w:p w:rsidR="00D07F84" w:rsidRPr="007B38E0" w:rsidRDefault="00D07F84" w:rsidP="00012F90">
            <w:pPr>
              <w:jc w:val="both"/>
              <w:rPr>
                <w:rFonts w:ascii="Arial" w:hAnsi="Arial" w:cs="Arial"/>
              </w:rPr>
            </w:pPr>
            <w:r w:rsidRPr="007B38E0">
              <w:rPr>
                <w:rFonts w:ascii="Arial" w:hAnsi="Arial" w:cs="Arial"/>
              </w:rPr>
              <w:t>64.597,7</w:t>
            </w:r>
          </w:p>
        </w:tc>
        <w:tc>
          <w:tcPr>
            <w:tcW w:w="1259" w:type="dxa"/>
            <w:tcBorders>
              <w:top w:val="single" w:sz="4" w:space="0" w:color="auto"/>
              <w:left w:val="single" w:sz="4" w:space="0" w:color="auto"/>
              <w:bottom w:val="single" w:sz="4" w:space="0" w:color="auto"/>
              <w:right w:val="single" w:sz="4" w:space="0" w:color="auto"/>
            </w:tcBorders>
            <w:shd w:val="clear" w:color="auto" w:fill="F3FFFF"/>
            <w:vAlign w:val="center"/>
          </w:tcPr>
          <w:p w:rsidR="00D07F84" w:rsidRPr="007B38E0" w:rsidRDefault="00D07F84" w:rsidP="00012F90">
            <w:pPr>
              <w:jc w:val="both"/>
              <w:rPr>
                <w:rFonts w:ascii="Arial" w:hAnsi="Arial" w:cs="Arial"/>
              </w:rPr>
            </w:pPr>
            <w:r w:rsidRPr="007B38E0">
              <w:rPr>
                <w:rFonts w:ascii="Arial" w:hAnsi="Arial" w:cs="Arial"/>
              </w:rPr>
              <w:t>258.259</w:t>
            </w:r>
          </w:p>
        </w:tc>
        <w:tc>
          <w:tcPr>
            <w:tcW w:w="1259" w:type="dxa"/>
            <w:tcBorders>
              <w:top w:val="single" w:sz="4" w:space="0" w:color="auto"/>
              <w:left w:val="single" w:sz="4" w:space="0" w:color="auto"/>
              <w:bottom w:val="single" w:sz="4" w:space="0" w:color="auto"/>
              <w:right w:val="single" w:sz="4" w:space="0" w:color="auto"/>
            </w:tcBorders>
            <w:shd w:val="clear" w:color="auto" w:fill="F3FFFF"/>
            <w:vAlign w:val="center"/>
          </w:tcPr>
          <w:p w:rsidR="00D07F84" w:rsidRPr="007B38E0" w:rsidRDefault="00D07F84" w:rsidP="00012F90">
            <w:pPr>
              <w:jc w:val="both"/>
              <w:rPr>
                <w:rFonts w:ascii="Arial" w:hAnsi="Arial" w:cs="Arial"/>
              </w:rPr>
            </w:pPr>
            <w:r w:rsidRPr="007B38E0">
              <w:rPr>
                <w:rFonts w:ascii="Arial" w:hAnsi="Arial" w:cs="Arial"/>
              </w:rPr>
              <w:t>213.736</w:t>
            </w:r>
          </w:p>
        </w:tc>
        <w:tc>
          <w:tcPr>
            <w:tcW w:w="109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Pr="007B38E0" w:rsidRDefault="00D07F84" w:rsidP="00012F90">
            <w:pPr>
              <w:jc w:val="both"/>
              <w:rPr>
                <w:rFonts w:ascii="Arial" w:hAnsi="Arial" w:cs="Arial"/>
              </w:rPr>
            </w:pPr>
            <w:r>
              <w:rPr>
                <w:rFonts w:ascii="Arial" w:hAnsi="Arial" w:cs="Arial"/>
              </w:rPr>
              <w:t>168237</w:t>
            </w:r>
          </w:p>
        </w:tc>
      </w:tr>
    </w:tbl>
    <w:p w:rsidR="00D07F84" w:rsidRPr="007B38E0" w:rsidRDefault="00D07F84" w:rsidP="00D07F84">
      <w:pPr>
        <w:jc w:val="both"/>
        <w:rPr>
          <w:rFonts w:ascii="Arial" w:hAnsi="Arial" w:cs="Arial"/>
          <w:bCs/>
        </w:rPr>
      </w:pPr>
    </w:p>
    <w:p w:rsidR="00D07F84" w:rsidRPr="007B38E0" w:rsidRDefault="00D07F84" w:rsidP="00D07F84">
      <w:pPr>
        <w:jc w:val="both"/>
        <w:rPr>
          <w:rFonts w:ascii="Arial" w:hAnsi="Arial" w:cs="Arial"/>
          <w:bCs/>
        </w:rPr>
      </w:pPr>
      <w:r w:rsidRPr="007B38E0">
        <w:rPr>
          <w:rFonts w:ascii="Arial" w:hAnsi="Arial" w:cs="Arial"/>
          <w:bCs/>
        </w:rPr>
        <w:t>Evoluţia suprafeţelor irigate în perioada 2007- 2013 este redată mai jos:</w:t>
      </w:r>
    </w:p>
    <w:p w:rsidR="00D07F84" w:rsidRPr="007B38E0" w:rsidRDefault="00D07F84" w:rsidP="00D07F84">
      <w:pPr>
        <w:pStyle w:val="BodyTextIndent2BodyTextIndent2Char"/>
        <w:ind w:left="0"/>
        <w:rPr>
          <w:rFonts w:ascii="Arial" w:hAnsi="Arial" w:cs="Arial"/>
          <w:b/>
          <w:sz w:val="24"/>
          <w:szCs w:val="24"/>
        </w:rPr>
      </w:pPr>
    </w:p>
    <w:p w:rsidR="00D07F84" w:rsidRDefault="00D07F84" w:rsidP="00D07F84">
      <w:pPr>
        <w:pStyle w:val="BodyTextIndent2BodyTextIndent2Char"/>
        <w:ind w:left="0" w:firstLine="426"/>
        <w:jc w:val="center"/>
        <w:rPr>
          <w:rFonts w:ascii="Arial" w:hAnsi="Arial" w:cs="Arial"/>
          <w:sz w:val="24"/>
          <w:szCs w:val="24"/>
        </w:rPr>
      </w:pPr>
      <w:r>
        <w:rPr>
          <w:noProof/>
          <w:lang w:eastAsia="ro-RO"/>
        </w:rPr>
        <w:drawing>
          <wp:inline distT="0" distB="0" distL="0" distR="0">
            <wp:extent cx="5678194" cy="2301983"/>
            <wp:effectExtent l="19050" t="0" r="17756" b="3067"/>
            <wp:docPr id="65" name="Object 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2"/>
              </a:graphicData>
            </a:graphic>
          </wp:inline>
        </w:drawing>
      </w:r>
    </w:p>
    <w:p w:rsidR="00D07F84" w:rsidRPr="0025406D" w:rsidRDefault="00D07F84" w:rsidP="00D07F84">
      <w:pPr>
        <w:pStyle w:val="BodyTextIndent2BodyTextIndent2Char"/>
        <w:ind w:left="0"/>
        <w:jc w:val="center"/>
        <w:rPr>
          <w:rFonts w:ascii="Arial" w:hAnsi="Arial" w:cs="Arial"/>
          <w:b/>
          <w:sz w:val="24"/>
          <w:szCs w:val="24"/>
        </w:rPr>
      </w:pPr>
      <w:r w:rsidRPr="007B38E0">
        <w:rPr>
          <w:rFonts w:ascii="Arial" w:hAnsi="Arial" w:cs="Arial"/>
          <w:b/>
          <w:sz w:val="24"/>
          <w:szCs w:val="24"/>
        </w:rPr>
        <w:t xml:space="preserve">Fig.nr. </w:t>
      </w:r>
      <w:r>
        <w:rPr>
          <w:rFonts w:ascii="Arial" w:hAnsi="Arial" w:cs="Arial"/>
          <w:b/>
          <w:sz w:val="24"/>
          <w:szCs w:val="24"/>
        </w:rPr>
        <w:t>III.3.3-</w:t>
      </w:r>
      <w:r w:rsidRPr="007B38E0">
        <w:rPr>
          <w:rFonts w:ascii="Arial" w:hAnsi="Arial" w:cs="Arial"/>
          <w:b/>
          <w:sz w:val="24"/>
          <w:szCs w:val="24"/>
        </w:rPr>
        <w:t>1</w:t>
      </w:r>
      <w:r w:rsidR="00043583" w:rsidRPr="007B38E0">
        <w:fldChar w:fldCharType="begin" w:fldLock="1"/>
      </w:r>
      <w:r w:rsidRPr="007B38E0">
        <w:instrText xml:space="preserve">ref  SHAPE  \* MERGEFORMAT </w:instrText>
      </w:r>
      <w:r w:rsidR="00043583" w:rsidRPr="007B38E0">
        <w:fldChar w:fldCharType="end"/>
      </w:r>
    </w:p>
    <w:p w:rsidR="00D07F84" w:rsidRDefault="00D07F84" w:rsidP="00D07F84">
      <w:pPr>
        <w:pStyle w:val="BodyTextIndent2BodyTextIndent2Char"/>
        <w:ind w:left="0" w:firstLine="737"/>
        <w:rPr>
          <w:rFonts w:ascii="Arial" w:hAnsi="Arial" w:cs="Arial"/>
          <w:sz w:val="24"/>
          <w:szCs w:val="24"/>
        </w:rPr>
      </w:pPr>
    </w:p>
    <w:p w:rsidR="00D07F84" w:rsidRDefault="00D07F84" w:rsidP="00D07F84">
      <w:pPr>
        <w:pStyle w:val="BodyTextIndent2BodyTextIndent2Char"/>
        <w:ind w:left="0" w:firstLine="737"/>
        <w:rPr>
          <w:rFonts w:ascii="Arial" w:hAnsi="Arial" w:cs="Arial"/>
          <w:sz w:val="24"/>
          <w:szCs w:val="24"/>
        </w:rPr>
      </w:pPr>
    </w:p>
    <w:p w:rsidR="00D07F84" w:rsidRDefault="00D07F84" w:rsidP="00D07F84">
      <w:pPr>
        <w:pStyle w:val="BodyTextIndent2BodyTextIndent2Char"/>
        <w:ind w:left="0" w:firstLine="737"/>
        <w:rPr>
          <w:rFonts w:ascii="Arial" w:hAnsi="Arial" w:cs="Arial"/>
          <w:sz w:val="24"/>
          <w:szCs w:val="24"/>
        </w:rPr>
      </w:pPr>
    </w:p>
    <w:p w:rsidR="00D07F84" w:rsidRDefault="00D07F84" w:rsidP="00D07F84">
      <w:pPr>
        <w:pStyle w:val="BodyTextIndent2BodyTextIndent2Char"/>
        <w:ind w:left="0" w:firstLine="737"/>
        <w:rPr>
          <w:rFonts w:ascii="Arial" w:hAnsi="Arial" w:cs="Arial"/>
          <w:sz w:val="24"/>
          <w:szCs w:val="24"/>
        </w:rPr>
      </w:pPr>
    </w:p>
    <w:p w:rsidR="00D07F84" w:rsidRPr="007B38E0" w:rsidRDefault="00D07F84" w:rsidP="00D07F84">
      <w:pPr>
        <w:pStyle w:val="BodyTextIndent2BodyTextIndent2Char"/>
        <w:ind w:left="0"/>
        <w:rPr>
          <w:rFonts w:ascii="Arial" w:hAnsi="Arial" w:cs="Arial"/>
          <w:sz w:val="24"/>
          <w:szCs w:val="24"/>
        </w:rPr>
      </w:pPr>
      <w:r w:rsidRPr="007B38E0">
        <w:rPr>
          <w:rFonts w:ascii="Arial" w:hAnsi="Arial" w:cs="Arial"/>
          <w:sz w:val="24"/>
          <w:szCs w:val="24"/>
        </w:rPr>
        <w:t>Din evoluţia suprafeţelor irigate prezentate mai sus se observă scăderea acestora în anii 20</w:t>
      </w:r>
      <w:r>
        <w:rPr>
          <w:rFonts w:ascii="Arial" w:hAnsi="Arial" w:cs="Arial"/>
          <w:sz w:val="24"/>
          <w:szCs w:val="24"/>
        </w:rPr>
        <w:t>10</w:t>
      </w:r>
      <w:r w:rsidRPr="007B38E0">
        <w:rPr>
          <w:rFonts w:ascii="Arial" w:hAnsi="Arial" w:cs="Arial"/>
          <w:sz w:val="24"/>
          <w:szCs w:val="24"/>
        </w:rPr>
        <w:t>-201</w:t>
      </w:r>
      <w:r>
        <w:rPr>
          <w:rFonts w:ascii="Arial" w:hAnsi="Arial" w:cs="Arial"/>
          <w:sz w:val="24"/>
          <w:szCs w:val="24"/>
        </w:rPr>
        <w:t>4</w:t>
      </w:r>
      <w:r w:rsidRPr="007B38E0">
        <w:rPr>
          <w:rFonts w:ascii="Arial" w:hAnsi="Arial" w:cs="Arial"/>
          <w:sz w:val="24"/>
          <w:szCs w:val="24"/>
        </w:rPr>
        <w:t>, cu excepţia anului 20</w:t>
      </w:r>
      <w:r>
        <w:rPr>
          <w:rFonts w:ascii="Arial" w:hAnsi="Arial" w:cs="Arial"/>
          <w:sz w:val="24"/>
          <w:szCs w:val="24"/>
        </w:rPr>
        <w:t>12</w:t>
      </w:r>
      <w:r w:rsidRPr="007B38E0">
        <w:rPr>
          <w:rFonts w:ascii="Arial" w:hAnsi="Arial" w:cs="Arial"/>
          <w:sz w:val="24"/>
          <w:szCs w:val="24"/>
        </w:rPr>
        <w:t>, când se observă creşterea atât a suprafeţelor irigate cât şi a volumelor de apă cons</w:t>
      </w:r>
      <w:r>
        <w:rPr>
          <w:rFonts w:ascii="Arial" w:hAnsi="Arial" w:cs="Arial"/>
          <w:sz w:val="24"/>
          <w:szCs w:val="24"/>
        </w:rPr>
        <w:t>umate. În 2011</w:t>
      </w:r>
      <w:r w:rsidRPr="007B38E0">
        <w:rPr>
          <w:rFonts w:ascii="Arial" w:hAnsi="Arial" w:cs="Arial"/>
          <w:sz w:val="24"/>
          <w:szCs w:val="24"/>
        </w:rPr>
        <w:t>-201</w:t>
      </w:r>
      <w:r>
        <w:rPr>
          <w:rFonts w:ascii="Arial" w:hAnsi="Arial" w:cs="Arial"/>
          <w:sz w:val="24"/>
          <w:szCs w:val="24"/>
        </w:rPr>
        <w:t>2</w:t>
      </w:r>
      <w:r w:rsidRPr="007B38E0">
        <w:rPr>
          <w:rFonts w:ascii="Arial" w:hAnsi="Arial" w:cs="Arial"/>
          <w:sz w:val="24"/>
          <w:szCs w:val="24"/>
        </w:rPr>
        <w:t xml:space="preserve"> au crescut atât suprafeţele irigate, cât şi volumele de apă consumate pentru irigaţii.</w:t>
      </w:r>
    </w:p>
    <w:p w:rsidR="00D07F84" w:rsidRDefault="00D07F84" w:rsidP="00D07F84">
      <w:pPr>
        <w:pStyle w:val="BodyText"/>
        <w:spacing w:after="0" w:line="240" w:lineRule="auto"/>
        <w:jc w:val="both"/>
        <w:rPr>
          <w:rFonts w:ascii="Arial" w:eastAsia="SimSun" w:hAnsi="Arial" w:cs="Arial"/>
          <w:color w:val="000000"/>
          <w:sz w:val="24"/>
          <w:szCs w:val="24"/>
          <w:lang w:val="ro-RO"/>
        </w:rPr>
      </w:pPr>
      <w:r>
        <w:rPr>
          <w:rFonts w:ascii="Arial" w:hAnsi="Arial" w:cs="Arial"/>
          <w:color w:val="000000"/>
          <w:sz w:val="24"/>
          <w:szCs w:val="24"/>
          <w:lang w:val="ro-RO"/>
        </w:rPr>
        <w:t xml:space="preserve">                             </w:t>
      </w:r>
    </w:p>
    <w:p w:rsidR="00D07F84" w:rsidRDefault="00D07F84" w:rsidP="00D07F84">
      <w:pPr>
        <w:pStyle w:val="BodyText"/>
        <w:spacing w:after="0" w:line="240" w:lineRule="auto"/>
        <w:jc w:val="both"/>
        <w:rPr>
          <w:rFonts w:ascii="Arial" w:hAnsi="Arial" w:cs="Arial"/>
          <w:b/>
          <w:color w:val="000000"/>
          <w:sz w:val="24"/>
          <w:szCs w:val="24"/>
          <w:lang w:val="ro-RO"/>
        </w:rPr>
      </w:pPr>
      <w:r>
        <w:rPr>
          <w:rFonts w:ascii="Arial" w:hAnsi="Arial" w:cs="Arial"/>
          <w:b/>
          <w:color w:val="000000"/>
          <w:sz w:val="24"/>
          <w:szCs w:val="24"/>
          <w:lang w:val="ro-RO"/>
        </w:rPr>
        <w:t xml:space="preserve">     Tabel III.3.3-2 Situaţia suprafeţelor amenajate cu lucrări de îmbunătăţiri funciare                                                                                               </w:t>
      </w:r>
    </w:p>
    <w:tbl>
      <w:tblPr>
        <w:tblW w:w="9604" w:type="dxa"/>
        <w:jc w:val="center"/>
        <w:tblInd w:w="4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690"/>
        <w:gridCol w:w="2270"/>
        <w:gridCol w:w="1688"/>
        <w:gridCol w:w="1080"/>
        <w:gridCol w:w="1080"/>
        <w:gridCol w:w="1080"/>
        <w:gridCol w:w="900"/>
        <w:gridCol w:w="816"/>
      </w:tblGrid>
      <w:tr w:rsidR="00D07F84" w:rsidTr="00012F90">
        <w:trPr>
          <w:trHeight w:val="441"/>
          <w:jc w:val="center"/>
        </w:trPr>
        <w:tc>
          <w:tcPr>
            <w:tcW w:w="690"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center"/>
              <w:rPr>
                <w:rFonts w:ascii="Arial" w:hAnsi="Arial" w:cs="Arial"/>
                <w:b/>
                <w:color w:val="000000"/>
              </w:rPr>
            </w:pPr>
            <w:r>
              <w:rPr>
                <w:rFonts w:ascii="Arial" w:hAnsi="Arial" w:cs="Arial"/>
                <w:b/>
                <w:color w:val="000000"/>
              </w:rPr>
              <w:t>Nr.</w:t>
            </w:r>
          </w:p>
          <w:p w:rsidR="00D07F84" w:rsidRDefault="00D07F84" w:rsidP="00012F90">
            <w:pPr>
              <w:jc w:val="center"/>
              <w:rPr>
                <w:rFonts w:ascii="Arial" w:hAnsi="Arial" w:cs="Arial"/>
                <w:b/>
                <w:color w:val="000000"/>
              </w:rPr>
            </w:pPr>
            <w:r>
              <w:rPr>
                <w:rFonts w:ascii="Arial" w:hAnsi="Arial" w:cs="Arial"/>
                <w:b/>
                <w:color w:val="000000"/>
              </w:rPr>
              <w:t>crt.</w:t>
            </w:r>
          </w:p>
        </w:tc>
        <w:tc>
          <w:tcPr>
            <w:tcW w:w="2270" w:type="dxa"/>
            <w:vMerge w:val="restart"/>
            <w:tcBorders>
              <w:top w:val="single" w:sz="4" w:space="0" w:color="auto"/>
              <w:left w:val="single" w:sz="4" w:space="0" w:color="auto"/>
              <w:bottom w:val="single" w:sz="4" w:space="0" w:color="auto"/>
              <w:right w:val="single" w:sz="4" w:space="0" w:color="auto"/>
            </w:tcBorders>
            <w:shd w:val="clear" w:color="auto" w:fill="D9D9D9"/>
            <w:vAlign w:val="center"/>
          </w:tcPr>
          <w:p w:rsidR="00D07F84" w:rsidRDefault="00D07F84" w:rsidP="00012F90">
            <w:pPr>
              <w:jc w:val="center"/>
              <w:rPr>
                <w:rFonts w:ascii="Arial" w:hAnsi="Arial" w:cs="Arial"/>
                <w:b/>
                <w:color w:val="000000"/>
              </w:rPr>
            </w:pPr>
            <w:r>
              <w:rPr>
                <w:rFonts w:ascii="Arial" w:hAnsi="Arial" w:cs="Arial"/>
                <w:b/>
                <w:color w:val="000000"/>
              </w:rPr>
              <w:t>Denumirea</w:t>
            </w:r>
          </w:p>
          <w:p w:rsidR="00D07F84" w:rsidRDefault="00D07F84" w:rsidP="00012F90">
            <w:pPr>
              <w:jc w:val="center"/>
              <w:rPr>
                <w:rFonts w:ascii="Arial" w:hAnsi="Arial" w:cs="Arial"/>
                <w:b/>
                <w:color w:val="000000"/>
              </w:rPr>
            </w:pPr>
            <w:r>
              <w:rPr>
                <w:rFonts w:ascii="Arial" w:hAnsi="Arial" w:cs="Arial"/>
                <w:b/>
                <w:color w:val="000000"/>
              </w:rPr>
              <w:t>filială</w:t>
            </w:r>
          </w:p>
          <w:p w:rsidR="00D07F84" w:rsidRDefault="00D07F84" w:rsidP="00012F90">
            <w:pPr>
              <w:jc w:val="center"/>
              <w:rPr>
                <w:rFonts w:ascii="Arial" w:hAnsi="Arial" w:cs="Arial"/>
                <w:b/>
                <w:color w:val="000000"/>
              </w:rPr>
            </w:pPr>
          </w:p>
        </w:tc>
        <w:tc>
          <w:tcPr>
            <w:tcW w:w="6644" w:type="dxa"/>
            <w:gridSpan w:val="6"/>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center"/>
              <w:rPr>
                <w:rFonts w:ascii="Arial" w:hAnsi="Arial" w:cs="Arial"/>
                <w:b/>
                <w:color w:val="000000"/>
                <w:u w:val="single"/>
              </w:rPr>
            </w:pPr>
            <w:r>
              <w:rPr>
                <w:rFonts w:ascii="Arial" w:hAnsi="Arial" w:cs="Arial"/>
                <w:b/>
                <w:color w:val="000000"/>
              </w:rPr>
              <w:t>Suprafaţa amenajată la 31.12.2014</w:t>
            </w:r>
          </w:p>
          <w:p w:rsidR="00D07F84" w:rsidRDefault="00D07F84" w:rsidP="00012F90">
            <w:pPr>
              <w:jc w:val="center"/>
              <w:rPr>
                <w:rFonts w:ascii="Arial" w:hAnsi="Arial" w:cs="Arial"/>
                <w:b/>
                <w:color w:val="000000"/>
              </w:rPr>
            </w:pPr>
            <w:r>
              <w:rPr>
                <w:rFonts w:ascii="Arial" w:hAnsi="Arial" w:cs="Arial"/>
                <w:b/>
                <w:color w:val="000000"/>
              </w:rPr>
              <w:t>(ha)</w:t>
            </w:r>
          </w:p>
        </w:tc>
      </w:tr>
      <w:tr w:rsidR="00D07F84" w:rsidTr="00012F90">
        <w:trPr>
          <w:trHeight w:val="400"/>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Default="00D07F84" w:rsidP="00012F90">
            <w:pPr>
              <w:rPr>
                <w:rFonts w:ascii="Arial" w:hAnsi="Arial" w:cs="Arial"/>
                <w:b/>
                <w:color w:val="00000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D07F84" w:rsidRDefault="00D07F84" w:rsidP="00012F90">
            <w:pPr>
              <w:rPr>
                <w:rFonts w:ascii="Arial" w:hAnsi="Arial" w:cs="Arial"/>
                <w:b/>
                <w:color w:val="000000"/>
              </w:rPr>
            </w:pPr>
          </w:p>
        </w:tc>
        <w:tc>
          <w:tcPr>
            <w:tcW w:w="2768"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center"/>
              <w:rPr>
                <w:rFonts w:ascii="Arial" w:hAnsi="Arial" w:cs="Arial"/>
                <w:b/>
                <w:color w:val="000000"/>
              </w:rPr>
            </w:pPr>
            <w:r>
              <w:rPr>
                <w:rFonts w:ascii="Arial" w:hAnsi="Arial" w:cs="Arial"/>
                <w:b/>
                <w:color w:val="000000"/>
              </w:rPr>
              <w:t>Irigaţii</w:t>
            </w:r>
          </w:p>
        </w:tc>
        <w:tc>
          <w:tcPr>
            <w:tcW w:w="2160"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center"/>
              <w:rPr>
                <w:rFonts w:ascii="Arial" w:hAnsi="Arial" w:cs="Arial"/>
                <w:b/>
                <w:color w:val="000000"/>
              </w:rPr>
            </w:pPr>
            <w:r>
              <w:rPr>
                <w:rFonts w:ascii="Arial" w:hAnsi="Arial" w:cs="Arial"/>
                <w:b/>
                <w:color w:val="000000"/>
              </w:rPr>
              <w:t>Desecare</w:t>
            </w:r>
          </w:p>
        </w:tc>
        <w:tc>
          <w:tcPr>
            <w:tcW w:w="1716" w:type="dxa"/>
            <w:gridSpan w:val="2"/>
            <w:tcBorders>
              <w:top w:val="single" w:sz="4" w:space="0" w:color="auto"/>
              <w:left w:val="single" w:sz="4" w:space="0" w:color="auto"/>
              <w:bottom w:val="single" w:sz="4" w:space="0" w:color="auto"/>
              <w:right w:val="single" w:sz="4" w:space="0" w:color="auto"/>
            </w:tcBorders>
            <w:shd w:val="clear" w:color="auto" w:fill="D9D9D9"/>
            <w:vAlign w:val="center"/>
            <w:hideMark/>
          </w:tcPr>
          <w:p w:rsidR="00D07F84" w:rsidRDefault="00D07F84" w:rsidP="00012F90">
            <w:pPr>
              <w:jc w:val="center"/>
              <w:rPr>
                <w:rFonts w:ascii="Arial" w:hAnsi="Arial" w:cs="Arial"/>
                <w:b/>
                <w:color w:val="000000"/>
              </w:rPr>
            </w:pPr>
            <w:r>
              <w:rPr>
                <w:rFonts w:ascii="Arial" w:hAnsi="Arial" w:cs="Arial"/>
                <w:b/>
                <w:color w:val="000000"/>
              </w:rPr>
              <w:t>C.E.S.</w:t>
            </w:r>
          </w:p>
        </w:tc>
      </w:tr>
      <w:tr w:rsidR="00D07F84" w:rsidTr="00012F90">
        <w:trPr>
          <w:trHeight w:val="146"/>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D07F84" w:rsidRDefault="00D07F84" w:rsidP="00012F90">
            <w:pPr>
              <w:rPr>
                <w:rFonts w:ascii="Arial" w:hAnsi="Arial" w:cs="Arial"/>
                <w:b/>
                <w:color w:val="000000"/>
              </w:rPr>
            </w:pPr>
          </w:p>
        </w:tc>
        <w:tc>
          <w:tcPr>
            <w:tcW w:w="2270" w:type="dxa"/>
            <w:vMerge/>
            <w:tcBorders>
              <w:top w:val="single" w:sz="4" w:space="0" w:color="auto"/>
              <w:left w:val="single" w:sz="4" w:space="0" w:color="auto"/>
              <w:bottom w:val="single" w:sz="4" w:space="0" w:color="auto"/>
              <w:right w:val="single" w:sz="4" w:space="0" w:color="auto"/>
            </w:tcBorders>
            <w:vAlign w:val="center"/>
            <w:hideMark/>
          </w:tcPr>
          <w:p w:rsidR="00D07F84" w:rsidRDefault="00D07F84" w:rsidP="00012F90">
            <w:pPr>
              <w:rPr>
                <w:rFonts w:ascii="Arial" w:hAnsi="Arial" w:cs="Arial"/>
                <w:b/>
                <w:color w:val="000000"/>
              </w:rPr>
            </w:pP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b/>
                <w:color w:val="000000"/>
              </w:rPr>
            </w:pPr>
            <w:r>
              <w:rPr>
                <w:rFonts w:ascii="Arial" w:hAnsi="Arial" w:cs="Arial"/>
                <w:b/>
                <w:color w:val="000000"/>
              </w:rPr>
              <w:t>Brută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b/>
                <w:color w:val="000000"/>
              </w:rPr>
            </w:pPr>
            <w:r>
              <w:rPr>
                <w:rFonts w:ascii="Arial" w:hAnsi="Arial" w:cs="Arial"/>
                <w:b/>
                <w:color w:val="000000"/>
              </w:rPr>
              <w:t>Netă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b/>
                <w:color w:val="000000"/>
              </w:rPr>
            </w:pPr>
            <w:r>
              <w:rPr>
                <w:rFonts w:ascii="Arial" w:hAnsi="Arial" w:cs="Arial"/>
                <w:b/>
                <w:color w:val="000000"/>
              </w:rPr>
              <w:t>Brută</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b/>
                <w:color w:val="000000"/>
              </w:rPr>
            </w:pPr>
            <w:r>
              <w:rPr>
                <w:rFonts w:ascii="Arial" w:hAnsi="Arial" w:cs="Arial"/>
                <w:b/>
                <w:color w:val="000000"/>
              </w:rPr>
              <w:t>Netă</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b/>
                <w:color w:val="000000"/>
              </w:rPr>
            </w:pPr>
            <w:r>
              <w:rPr>
                <w:rFonts w:ascii="Arial" w:hAnsi="Arial" w:cs="Arial"/>
                <w:b/>
                <w:color w:val="000000"/>
              </w:rPr>
              <w:t>Brută</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b/>
                <w:color w:val="000000"/>
              </w:rPr>
            </w:pPr>
            <w:r>
              <w:rPr>
                <w:rFonts w:ascii="Arial" w:hAnsi="Arial" w:cs="Arial"/>
                <w:b/>
                <w:color w:val="000000"/>
              </w:rPr>
              <w:t>Netă</w:t>
            </w:r>
          </w:p>
        </w:tc>
      </w:tr>
      <w:tr w:rsidR="00D07F84" w:rsidTr="00012F90">
        <w:trPr>
          <w:trHeight w:val="64"/>
          <w:jc w:val="center"/>
        </w:trPr>
        <w:tc>
          <w:tcPr>
            <w:tcW w:w="69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tabs>
                <w:tab w:val="left" w:pos="360"/>
                <w:tab w:val="center" w:pos="1676"/>
              </w:tabs>
              <w:jc w:val="center"/>
              <w:rPr>
                <w:rFonts w:ascii="Arial" w:hAnsi="Arial" w:cs="Arial"/>
                <w:color w:val="000000"/>
              </w:rPr>
            </w:pPr>
            <w:r>
              <w:rPr>
                <w:rFonts w:ascii="Arial" w:hAnsi="Arial" w:cs="Arial"/>
                <w:color w:val="000000"/>
              </w:rPr>
              <w:t>1</w:t>
            </w:r>
          </w:p>
        </w:tc>
        <w:tc>
          <w:tcPr>
            <w:tcW w:w="227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tabs>
                <w:tab w:val="left" w:pos="360"/>
                <w:tab w:val="center" w:pos="1676"/>
              </w:tabs>
              <w:jc w:val="center"/>
              <w:rPr>
                <w:rFonts w:ascii="Arial" w:hAnsi="Arial" w:cs="Arial"/>
                <w:color w:val="000000"/>
                <w:u w:val="single"/>
              </w:rPr>
            </w:pPr>
            <w:r>
              <w:rPr>
                <w:rFonts w:ascii="Arial" w:hAnsi="Arial" w:cs="Arial"/>
                <w:color w:val="000000"/>
              </w:rPr>
              <w:t>Filiala judeţeană Brăila</w:t>
            </w:r>
          </w:p>
        </w:tc>
        <w:tc>
          <w:tcPr>
            <w:tcW w:w="1688"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color w:val="000000"/>
              </w:rPr>
            </w:pPr>
            <w:r>
              <w:rPr>
                <w:rFonts w:ascii="Arial" w:hAnsi="Arial" w:cs="Arial"/>
                <w:color w:val="000000"/>
              </w:rPr>
              <w:t>377077</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color w:val="000000"/>
              </w:rPr>
            </w:pPr>
            <w:r>
              <w:rPr>
                <w:rFonts w:ascii="Arial" w:hAnsi="Arial" w:cs="Arial"/>
                <w:color w:val="000000"/>
              </w:rPr>
              <w:t>357488</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color w:val="000000"/>
              </w:rPr>
            </w:pPr>
            <w:r>
              <w:rPr>
                <w:rFonts w:ascii="Arial" w:hAnsi="Arial" w:cs="Arial"/>
                <w:color w:val="000000"/>
              </w:rPr>
              <w:t>268100</w:t>
            </w:r>
          </w:p>
        </w:tc>
        <w:tc>
          <w:tcPr>
            <w:tcW w:w="108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color w:val="000000"/>
              </w:rPr>
            </w:pPr>
            <w:r>
              <w:rPr>
                <w:rFonts w:ascii="Arial" w:hAnsi="Arial" w:cs="Arial"/>
                <w:color w:val="000000"/>
              </w:rPr>
              <w:t>247914</w:t>
            </w:r>
          </w:p>
        </w:tc>
        <w:tc>
          <w:tcPr>
            <w:tcW w:w="900"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color w:val="000000"/>
              </w:rPr>
            </w:pPr>
            <w:r>
              <w:rPr>
                <w:rFonts w:ascii="Arial" w:hAnsi="Arial" w:cs="Arial"/>
                <w:color w:val="000000"/>
              </w:rPr>
              <w:t>0</w:t>
            </w:r>
          </w:p>
        </w:tc>
        <w:tc>
          <w:tcPr>
            <w:tcW w:w="816" w:type="dxa"/>
            <w:tcBorders>
              <w:top w:val="single" w:sz="4" w:space="0" w:color="auto"/>
              <w:left w:val="single" w:sz="4" w:space="0" w:color="auto"/>
              <w:bottom w:val="single" w:sz="4" w:space="0" w:color="auto"/>
              <w:right w:val="single" w:sz="4" w:space="0" w:color="auto"/>
            </w:tcBorders>
            <w:shd w:val="clear" w:color="auto" w:fill="F3FFFF"/>
            <w:vAlign w:val="center"/>
            <w:hideMark/>
          </w:tcPr>
          <w:p w:rsidR="00D07F84" w:rsidRDefault="00D07F84" w:rsidP="00012F90">
            <w:pPr>
              <w:jc w:val="center"/>
              <w:rPr>
                <w:rFonts w:ascii="Arial" w:hAnsi="Arial" w:cs="Arial"/>
                <w:color w:val="000000"/>
              </w:rPr>
            </w:pPr>
            <w:r>
              <w:rPr>
                <w:rFonts w:ascii="Arial" w:hAnsi="Arial" w:cs="Arial"/>
                <w:color w:val="000000"/>
              </w:rPr>
              <w:t>0</w:t>
            </w:r>
          </w:p>
        </w:tc>
      </w:tr>
    </w:tbl>
    <w:p w:rsidR="00D07F84" w:rsidRDefault="00D07F84" w:rsidP="00D07F84">
      <w:pPr>
        <w:jc w:val="both"/>
        <w:rPr>
          <w:rFonts w:ascii="Arial" w:hAnsi="Arial" w:cs="Arial"/>
          <w:color w:val="000000"/>
        </w:rPr>
      </w:pPr>
      <w:r>
        <w:rPr>
          <w:rFonts w:ascii="Arial" w:hAnsi="Arial" w:cs="Arial"/>
          <w:i/>
          <w:color w:val="000000"/>
        </w:rPr>
        <w:t xml:space="preserve">NOTA: </w:t>
      </w:r>
      <w:r>
        <w:rPr>
          <w:rFonts w:ascii="Arial" w:hAnsi="Arial" w:cs="Arial"/>
          <w:color w:val="000000"/>
        </w:rPr>
        <w:t xml:space="preserve">     C.E.S.= combaterea eroziunii solului   </w:t>
      </w:r>
    </w:p>
    <w:p w:rsidR="00D07F84" w:rsidRDefault="00D07F84" w:rsidP="00D07F84">
      <w:pPr>
        <w:jc w:val="both"/>
        <w:rPr>
          <w:rFonts w:ascii="Arial" w:hAnsi="Arial" w:cs="Arial"/>
          <w:color w:val="000000"/>
        </w:rPr>
      </w:pPr>
      <w:r>
        <w:rPr>
          <w:rFonts w:ascii="Arial" w:hAnsi="Arial" w:cs="Arial"/>
          <w:color w:val="000000"/>
        </w:rPr>
        <w:lastRenderedPageBreak/>
        <w:t xml:space="preserve"> </w:t>
      </w:r>
    </w:p>
    <w:p w:rsidR="00D07F84" w:rsidRPr="00026D8C" w:rsidRDefault="00D07F84" w:rsidP="00D07F84">
      <w:pPr>
        <w:jc w:val="both"/>
        <w:rPr>
          <w:rFonts w:ascii="Arial" w:eastAsia="Times New Roman" w:hAnsi="Arial" w:cs="Arial"/>
          <w:b/>
          <w:lang w:val="it-IT"/>
        </w:rPr>
      </w:pPr>
      <w:r w:rsidRPr="00026D8C">
        <w:rPr>
          <w:rFonts w:ascii="Arial" w:eastAsia="Times New Roman" w:hAnsi="Arial" w:cs="Arial"/>
          <w:b/>
          <w:lang w:val="it-IT"/>
        </w:rPr>
        <w:t>III.4 Prognoze și acțiuni întreprinse pentru ameliorarea stării de calitate a solurilor</w:t>
      </w:r>
    </w:p>
    <w:p w:rsidR="00D07F84" w:rsidRDefault="00D07F84" w:rsidP="00D07F84">
      <w:pPr>
        <w:pStyle w:val="Footer"/>
        <w:tabs>
          <w:tab w:val="left" w:pos="0"/>
        </w:tabs>
        <w:jc w:val="both"/>
        <w:rPr>
          <w:rFonts w:ascii="Arial" w:hAnsi="Arial" w:cs="Arial"/>
          <w:b/>
          <w:color w:val="000000"/>
          <w:sz w:val="24"/>
          <w:szCs w:val="24"/>
          <w:lang w:val="it-IT"/>
        </w:rPr>
      </w:pPr>
    </w:p>
    <w:p w:rsidR="00D07F84" w:rsidRDefault="00D07F84" w:rsidP="00D07F84">
      <w:pPr>
        <w:jc w:val="both"/>
        <w:rPr>
          <w:rFonts w:ascii="Arial" w:hAnsi="Arial" w:cs="Arial"/>
          <w:b/>
          <w:lang w:val="it-IT"/>
        </w:rPr>
      </w:pPr>
      <w:r w:rsidRPr="007B38E0">
        <w:rPr>
          <w:rFonts w:ascii="Arial" w:hAnsi="Arial" w:cs="Arial"/>
          <w:b/>
          <w:lang w:val="it-IT"/>
        </w:rPr>
        <w:t>Inventarul siturilor contaminate</w:t>
      </w:r>
    </w:p>
    <w:p w:rsidR="00D07F84" w:rsidRPr="007B38E0" w:rsidRDefault="00D07F84" w:rsidP="00D07F84">
      <w:pPr>
        <w:jc w:val="both"/>
        <w:rPr>
          <w:rFonts w:ascii="Arial" w:hAnsi="Arial" w:cs="Arial"/>
          <w:b/>
          <w:lang w:val="it-IT"/>
        </w:rPr>
      </w:pPr>
    </w:p>
    <w:p w:rsidR="00D07F84" w:rsidRPr="00026D8C" w:rsidRDefault="00D07F84" w:rsidP="00D07F84">
      <w:pPr>
        <w:ind w:right="-3"/>
        <w:jc w:val="both"/>
        <w:rPr>
          <w:rFonts w:ascii="Arial" w:hAnsi="Arial" w:cs="Arial"/>
          <w:lang w:val="it-IT"/>
        </w:rPr>
      </w:pPr>
      <w:r w:rsidRPr="007B38E0">
        <w:rPr>
          <w:rFonts w:ascii="Arial" w:hAnsi="Arial" w:cs="Arial"/>
          <w:lang w:val="it-IT"/>
        </w:rPr>
        <w:t xml:space="preserve">În cursul anului 2008 au fost realizate acţiuni în scopul identificării preliminare </w:t>
      </w:r>
      <w:r w:rsidRPr="00026D8C">
        <w:rPr>
          <w:rFonts w:ascii="Arial" w:hAnsi="Arial" w:cs="Arial"/>
          <w:lang w:val="it-IT"/>
        </w:rPr>
        <w:t>a siturilor contaminate. Conform HG 1408/2007 privind modalităţile de investigare şi evaluare a poluării solului şi subsolului, Agenţia pentru Protecţia Mediului Brăila a transmis chestionare unui număr de 54 de operatori economici şi 44 primării. Chestionarele primite (48 de la operatorii economici şi 43 de la primăriile care au răspuns solicitărilor) au fost verificate, completate şi transmise Agenţiei Regionale pentru Protecţia Mediului.</w:t>
      </w:r>
    </w:p>
    <w:p w:rsidR="00D07F84" w:rsidRPr="00026D8C" w:rsidRDefault="00D07F84" w:rsidP="00D07F84">
      <w:pPr>
        <w:ind w:right="-3"/>
        <w:jc w:val="both"/>
        <w:rPr>
          <w:rFonts w:ascii="Arial" w:hAnsi="Arial" w:cs="Arial"/>
          <w:lang w:val="it-IT"/>
        </w:rPr>
      </w:pPr>
      <w:r w:rsidRPr="00026D8C">
        <w:rPr>
          <w:rFonts w:ascii="Arial" w:hAnsi="Arial" w:cs="Arial"/>
          <w:lang w:val="it-IT"/>
        </w:rPr>
        <w:t xml:space="preserve">Pentru a inventaria siturile contaminate a fost creată o bază de date „on-line”, CoSIS 2.0, accesibilă pe site-ul Agenţiei Naţionale pentru Protecţia Mediului, secţiunea „Inventar Naţional, situri contaminate – faza pilot”, în care agenţiile teritoriale au completat datele privind siturile potenţial contaminate. În urma analizării şi evaluării informaţiilor deţinute de APM Brăila au fost introduse date cu privire la 26 amplasamente posibil contaminate. </w:t>
      </w:r>
    </w:p>
    <w:p w:rsidR="00D07F84" w:rsidRPr="00026D8C" w:rsidRDefault="00D07F84" w:rsidP="00D07F84">
      <w:pPr>
        <w:ind w:right="-3"/>
        <w:jc w:val="both"/>
        <w:rPr>
          <w:rFonts w:ascii="Arial" w:hAnsi="Arial" w:cs="Arial"/>
          <w:lang w:val="it-IT"/>
        </w:rPr>
      </w:pPr>
      <w:r w:rsidRPr="00026D8C">
        <w:rPr>
          <w:rFonts w:ascii="Arial" w:hAnsi="Arial" w:cs="Arial"/>
          <w:lang w:val="it-IT"/>
        </w:rPr>
        <w:t>În cursul anului 2009, în scopul identificării preliminare a siturilor potenţial contaminate (zone definite geografic, delimitate în suprafaţă şi adâncime, poluate cu substanţe biologice sau chimice) au fost analizate şi evaluate informaţiile deţinute şi au fost introduse completări în baza de date „on-line”. Conform  Planului de implementare a HG nr. 1408/2007 au fost întocmite şi transmise către ARPM Galaţi propunerile APM Brăila privind lista siturilor contaminate şi lista siturilor potenţial</w:t>
      </w:r>
      <w:r w:rsidRPr="007B38E0">
        <w:rPr>
          <w:rFonts w:ascii="Arial" w:hAnsi="Arial" w:cs="Arial"/>
          <w:lang w:val="it-IT"/>
        </w:rPr>
        <w:t xml:space="preserve"> </w:t>
      </w:r>
      <w:r w:rsidRPr="00026D8C">
        <w:rPr>
          <w:rFonts w:ascii="Arial" w:hAnsi="Arial" w:cs="Arial"/>
          <w:lang w:val="it-IT"/>
        </w:rPr>
        <w:t>contaminate din judeţul Brăila. Cele două liste conţin 19 situri contaminate şi 2 situri potenţial contaminate şi cuprind amplasamente aparţinând SC Petrom SA, SC Mioriţa SA, SC PAL SA, SC Termoelectrica SA:</w:t>
      </w:r>
    </w:p>
    <w:p w:rsidR="00D07F84" w:rsidRPr="00026D8C" w:rsidRDefault="00D07F84" w:rsidP="00D07F84">
      <w:pPr>
        <w:ind w:firstLine="720"/>
        <w:jc w:val="both"/>
        <w:rPr>
          <w:rFonts w:ascii="Arial" w:hAnsi="Arial" w:cs="Arial"/>
          <w:lang w:val="it-IT"/>
        </w:rPr>
      </w:pPr>
    </w:p>
    <w:p w:rsidR="00D07F84" w:rsidRDefault="00D07F84" w:rsidP="00D07F84">
      <w:pPr>
        <w:pStyle w:val="BodyText"/>
        <w:spacing w:after="0" w:line="240" w:lineRule="auto"/>
        <w:jc w:val="both"/>
        <w:rPr>
          <w:rFonts w:ascii="Arial" w:eastAsia="SimSun" w:hAnsi="Arial" w:cs="Arial"/>
          <w:sz w:val="24"/>
          <w:szCs w:val="24"/>
          <w:lang w:val="it-IT"/>
        </w:rPr>
      </w:pPr>
      <w:r>
        <w:rPr>
          <w:rFonts w:ascii="Arial" w:hAnsi="Arial" w:cs="Arial"/>
          <w:b/>
          <w:color w:val="000000"/>
          <w:sz w:val="24"/>
          <w:szCs w:val="24"/>
          <w:lang w:val="ro-RO"/>
        </w:rPr>
        <w:t xml:space="preserve">Tabel III.4-1 </w:t>
      </w:r>
      <w:r w:rsidRPr="00026D8C">
        <w:rPr>
          <w:rFonts w:ascii="Arial" w:eastAsia="SimSun" w:hAnsi="Arial" w:cs="Arial"/>
          <w:sz w:val="24"/>
          <w:szCs w:val="24"/>
          <w:lang w:val="it-IT"/>
        </w:rPr>
        <w:t>Lista siturilor contaminate</w:t>
      </w:r>
      <w:r>
        <w:rPr>
          <w:rFonts w:ascii="Arial" w:eastAsia="SimSun" w:hAnsi="Arial" w:cs="Arial"/>
          <w:sz w:val="24"/>
          <w:szCs w:val="24"/>
          <w:lang w:val="it-IT"/>
        </w:rPr>
        <w:t xml:space="preserve"> propusă de Agenția pentru protecția Mediului</w:t>
      </w:r>
    </w:p>
    <w:p w:rsidR="00D07F84" w:rsidRPr="00164D3C" w:rsidRDefault="00D07F84" w:rsidP="00D07F84">
      <w:pPr>
        <w:pStyle w:val="BodyText"/>
        <w:spacing w:after="0" w:line="240" w:lineRule="auto"/>
        <w:jc w:val="both"/>
        <w:rPr>
          <w:rFonts w:ascii="Arial" w:eastAsia="SimSun" w:hAnsi="Arial" w:cs="Arial"/>
          <w:sz w:val="24"/>
          <w:szCs w:val="24"/>
          <w:lang w:val="ro-RO"/>
        </w:rPr>
      </w:pPr>
    </w:p>
    <w:tbl>
      <w:tblPr>
        <w:tblW w:w="9930" w:type="dxa"/>
        <w:tblLayout w:type="fixed"/>
        <w:tblLook w:val="04A0"/>
      </w:tblPr>
      <w:tblGrid>
        <w:gridCol w:w="541"/>
        <w:gridCol w:w="3829"/>
        <w:gridCol w:w="1267"/>
        <w:gridCol w:w="1628"/>
        <w:gridCol w:w="2665"/>
      </w:tblGrid>
      <w:tr w:rsidR="00D07F84" w:rsidRPr="00026D8C" w:rsidTr="00012F90">
        <w:trPr>
          <w:trHeight w:val="188"/>
        </w:trPr>
        <w:tc>
          <w:tcPr>
            <w:tcW w:w="541" w:type="dxa"/>
            <w:tcBorders>
              <w:top w:val="single" w:sz="4" w:space="0" w:color="auto"/>
              <w:left w:val="single" w:sz="4" w:space="0" w:color="auto"/>
              <w:bottom w:val="single" w:sz="4" w:space="0" w:color="auto"/>
              <w:right w:val="single" w:sz="4" w:space="0" w:color="auto"/>
            </w:tcBorders>
            <w:shd w:val="clear" w:color="auto" w:fill="FFFFFF"/>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Nr. crt</w:t>
            </w:r>
          </w:p>
        </w:tc>
        <w:tc>
          <w:tcPr>
            <w:tcW w:w="3829" w:type="dxa"/>
            <w:tcBorders>
              <w:top w:val="single" w:sz="4" w:space="0" w:color="auto"/>
              <w:left w:val="single" w:sz="4" w:space="0" w:color="auto"/>
              <w:bottom w:val="single" w:sz="4" w:space="0" w:color="auto"/>
              <w:right w:val="single" w:sz="4" w:space="0" w:color="auto"/>
            </w:tcBorders>
            <w:shd w:val="clear" w:color="auto" w:fill="FFFFFF"/>
            <w:vAlign w:val="center"/>
          </w:tcPr>
          <w:p w:rsidR="00D07F84" w:rsidRPr="00026D8C" w:rsidRDefault="00D07F84" w:rsidP="00012F90">
            <w:pPr>
              <w:jc w:val="center"/>
              <w:rPr>
                <w:rFonts w:ascii="Arial" w:hAnsi="Arial" w:cs="Arial"/>
                <w:lang w:val="it-IT"/>
              </w:rPr>
            </w:pPr>
            <w:r w:rsidRPr="00026D8C">
              <w:rPr>
                <w:rFonts w:ascii="Arial" w:hAnsi="Arial" w:cs="Arial"/>
                <w:lang w:val="it-IT"/>
              </w:rPr>
              <w:t>Denumirea sitului/ Domeniul de activitate</w:t>
            </w:r>
          </w:p>
          <w:p w:rsidR="00D07F84" w:rsidRPr="00026D8C" w:rsidRDefault="00D07F84" w:rsidP="00012F90">
            <w:pPr>
              <w:jc w:val="center"/>
              <w:rPr>
                <w:rFonts w:ascii="Arial" w:hAnsi="Arial" w:cs="Arial"/>
                <w:lang w:val="it-IT"/>
              </w:rPr>
            </w:pPr>
            <w:r w:rsidRPr="00026D8C">
              <w:rPr>
                <w:rFonts w:ascii="Arial" w:hAnsi="Arial" w:cs="Arial"/>
                <w:lang w:val="it-IT"/>
              </w:rPr>
              <w:t>care a produs contaminarea</w:t>
            </w:r>
          </w:p>
          <w:p w:rsidR="00D07F84" w:rsidRPr="00026D8C" w:rsidRDefault="00D07F84" w:rsidP="00012F90">
            <w:pPr>
              <w:jc w:val="center"/>
              <w:rPr>
                <w:rFonts w:ascii="Arial" w:hAnsi="Arial" w:cs="Arial"/>
                <w:lang w:val="it-IT"/>
              </w:rPr>
            </w:pPr>
          </w:p>
        </w:tc>
        <w:tc>
          <w:tcPr>
            <w:tcW w:w="1267" w:type="dxa"/>
            <w:tcBorders>
              <w:top w:val="single" w:sz="4" w:space="0" w:color="auto"/>
              <w:left w:val="nil"/>
              <w:bottom w:val="single" w:sz="4" w:space="0" w:color="auto"/>
              <w:right w:val="single" w:sz="4" w:space="0" w:color="auto"/>
            </w:tcBorders>
            <w:shd w:val="clear" w:color="auto" w:fill="FFFFFF"/>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Locația sitului</w:t>
            </w:r>
          </w:p>
        </w:tc>
        <w:tc>
          <w:tcPr>
            <w:tcW w:w="1628" w:type="dxa"/>
            <w:tcBorders>
              <w:top w:val="single" w:sz="4" w:space="0" w:color="auto"/>
              <w:left w:val="nil"/>
              <w:bottom w:val="single" w:sz="4" w:space="0" w:color="auto"/>
              <w:right w:val="single" w:sz="4" w:space="0" w:color="auto"/>
            </w:tcBorders>
            <w:shd w:val="clear" w:color="auto" w:fill="FFFFFF"/>
            <w:vAlign w:val="center"/>
          </w:tcPr>
          <w:p w:rsidR="00D07F84" w:rsidRPr="00026D8C" w:rsidRDefault="00D07F84" w:rsidP="00012F90">
            <w:pPr>
              <w:jc w:val="center"/>
              <w:rPr>
                <w:rFonts w:ascii="Arial" w:hAnsi="Arial" w:cs="Arial"/>
                <w:lang w:val="it-IT"/>
              </w:rPr>
            </w:pPr>
          </w:p>
          <w:p w:rsidR="00D07F84" w:rsidRPr="00026D8C" w:rsidRDefault="00D07F84" w:rsidP="00012F90">
            <w:pPr>
              <w:jc w:val="center"/>
              <w:rPr>
                <w:rFonts w:ascii="Arial" w:hAnsi="Arial" w:cs="Arial"/>
                <w:lang w:val="it-IT"/>
              </w:rPr>
            </w:pPr>
            <w:r w:rsidRPr="00026D8C">
              <w:rPr>
                <w:rFonts w:ascii="Arial" w:hAnsi="Arial" w:cs="Arial"/>
                <w:lang w:val="it-IT"/>
              </w:rPr>
              <w:t>Proprietar</w:t>
            </w:r>
          </w:p>
        </w:tc>
        <w:tc>
          <w:tcPr>
            <w:tcW w:w="2665" w:type="dxa"/>
            <w:tcBorders>
              <w:top w:val="single" w:sz="4" w:space="0" w:color="auto"/>
              <w:left w:val="nil"/>
              <w:bottom w:val="single" w:sz="4" w:space="0" w:color="auto"/>
              <w:right w:val="single" w:sz="4" w:space="0" w:color="auto"/>
            </w:tcBorders>
            <w:shd w:val="clear" w:color="auto" w:fill="FFFFFF"/>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Lucrări de investigare executate/Lucrări de reconstrucție ecologică</w:t>
            </w:r>
          </w:p>
          <w:p w:rsidR="00D07F84" w:rsidRPr="00026D8C" w:rsidRDefault="00D07F84" w:rsidP="00012F90">
            <w:pPr>
              <w:jc w:val="center"/>
              <w:rPr>
                <w:rFonts w:ascii="Arial" w:hAnsi="Arial" w:cs="Arial"/>
                <w:lang w:val="it-IT"/>
              </w:rPr>
            </w:pPr>
            <w:r w:rsidRPr="00026D8C">
              <w:rPr>
                <w:rFonts w:ascii="Arial" w:hAnsi="Arial" w:cs="Arial"/>
                <w:lang w:val="it-IT"/>
              </w:rPr>
              <w:t>şi de ameliorare a calității solului desfășurate</w:t>
            </w:r>
          </w:p>
        </w:tc>
      </w:tr>
      <w:tr w:rsidR="00D07F84" w:rsidRPr="00026D8C" w:rsidTr="00012F90">
        <w:trPr>
          <w:trHeight w:val="899"/>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Teren deținut de SC Miorita SA pe amplasamentul fostului combinat chimic SC Dunacor SA Brăila/ industria chimică   </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Sos Viziru Km. 10 Brăila</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Miorita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683"/>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2</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Teren deținut de SC PAL SA pe amplasamentul fostului combinat chimic SC Dunacor SA Brăila/ industria chimică  </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Sos Viziru Km. 10 Brăila</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Pal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 în cadrul BM II</w:t>
            </w:r>
          </w:p>
        </w:tc>
      </w:tr>
      <w:tr w:rsidR="00D07F84" w:rsidRPr="00026D8C" w:rsidTr="00012F90">
        <w:trPr>
          <w:trHeight w:val="521"/>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3</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abandonare 142 sonde în structura Jugureanu/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comunele Ulmu şi Ciresu</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238"/>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4</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Parc 3 Jugureanu (Ulmu)/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Ulmu</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278"/>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5</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SC Petrom SA – abandonare 44 sonde de pe structura Padina/ industria extractivă petrolieră </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Ciocile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287"/>
        </w:trPr>
        <w:tc>
          <w:tcPr>
            <w:tcW w:w="541" w:type="dxa"/>
            <w:tcBorders>
              <w:top w:val="single" w:sz="4" w:space="0" w:color="auto"/>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lastRenderedPageBreak/>
              <w:t>6</w:t>
            </w:r>
          </w:p>
        </w:tc>
        <w:tc>
          <w:tcPr>
            <w:tcW w:w="3829" w:type="dxa"/>
            <w:tcBorders>
              <w:top w:val="single" w:sz="4" w:space="0" w:color="auto"/>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Depozit vechi de reziduuri petroliere Oprişeneşti (vechi)</w:t>
            </w:r>
          </w:p>
        </w:tc>
        <w:tc>
          <w:tcPr>
            <w:tcW w:w="1267"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Oprişeneşti</w:t>
            </w:r>
          </w:p>
        </w:tc>
        <w:tc>
          <w:tcPr>
            <w:tcW w:w="1628"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studiului “Investigaţii detaliate privind poluarea solului şi a apei subterane în zona batalului vechi Oprişeneşti, judeţul Brăila”</w:t>
            </w:r>
          </w:p>
        </w:tc>
      </w:tr>
      <w:tr w:rsidR="00D07F84" w:rsidRPr="00026D8C" w:rsidTr="00012F90">
        <w:trPr>
          <w:trHeight w:val="296"/>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7</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Parc 5 Oprişeneşti/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 xml:space="preserve"> Oprişeneşti</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346"/>
        </w:trPr>
        <w:tc>
          <w:tcPr>
            <w:tcW w:w="541" w:type="dxa"/>
            <w:tcBorders>
              <w:top w:val="single" w:sz="4" w:space="0" w:color="auto"/>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8</w:t>
            </w:r>
          </w:p>
        </w:tc>
        <w:tc>
          <w:tcPr>
            <w:tcW w:w="3829" w:type="dxa"/>
            <w:tcBorders>
              <w:top w:val="single" w:sz="4" w:space="0" w:color="auto"/>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Parc 8 Liscoteanca şi  15 sonde pe structura Liscoteanca/ industria extractivă petrolieră</w:t>
            </w:r>
          </w:p>
        </w:tc>
        <w:tc>
          <w:tcPr>
            <w:tcW w:w="1267"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oras Insuratei</w:t>
            </w:r>
          </w:p>
        </w:tc>
        <w:tc>
          <w:tcPr>
            <w:tcW w:w="1628"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709"/>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9</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SC Petrom SA – Suc. PECO  depozit produse petroliere Brăila Port </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Str. Vadu Ghecetului, nr.1, Brăila</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503"/>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10</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SC Petrom SA – Suc. PECO depozit produse petroliere Faurei  </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Faurei</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 şi a Studiului tehnico-economic</w:t>
            </w:r>
          </w:p>
          <w:p w:rsidR="00D07F84" w:rsidRPr="00026D8C" w:rsidRDefault="00D07F84" w:rsidP="00012F90">
            <w:pPr>
              <w:rPr>
                <w:rFonts w:ascii="Arial" w:hAnsi="Arial" w:cs="Arial"/>
                <w:lang w:val="it-IT"/>
              </w:rPr>
            </w:pPr>
            <w:r w:rsidRPr="00026D8C">
              <w:rPr>
                <w:rFonts w:ascii="Arial" w:hAnsi="Arial" w:cs="Arial"/>
                <w:lang w:val="it-IT"/>
              </w:rPr>
              <w:t>s-au finalizat  lucrările de remediere si este in curs de derulare programul de monitorizare postremediere care a relevat incadrarea tuturor indicatorilor.</w:t>
            </w:r>
          </w:p>
          <w:p w:rsidR="00D07F84" w:rsidRPr="00026D8C" w:rsidRDefault="00D07F84" w:rsidP="00012F90">
            <w:pPr>
              <w:rPr>
                <w:rFonts w:ascii="Arial" w:hAnsi="Arial" w:cs="Arial"/>
                <w:lang w:val="it-IT"/>
              </w:rPr>
            </w:pPr>
          </w:p>
        </w:tc>
      </w:tr>
      <w:tr w:rsidR="00D07F84" w:rsidRPr="00026D8C" w:rsidTr="00012F90">
        <w:trPr>
          <w:trHeight w:val="328"/>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11</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Suc. PECO depozit produse petroliere Ianca</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Ianca</w:t>
            </w:r>
          </w:p>
          <w:p w:rsidR="00D07F84" w:rsidRPr="00026D8C" w:rsidRDefault="00D07F84" w:rsidP="00012F90">
            <w:pPr>
              <w:jc w:val="center"/>
              <w:rPr>
                <w:rFonts w:ascii="Arial" w:hAnsi="Arial" w:cs="Arial"/>
                <w:lang w:val="it-IT"/>
              </w:rPr>
            </w:pPr>
            <w:r w:rsidRPr="00026D8C">
              <w:rPr>
                <w:rFonts w:ascii="Arial" w:hAnsi="Arial" w:cs="Arial"/>
                <w:lang w:val="it-IT"/>
              </w:rPr>
              <w:t xml:space="preserve"> str. Gării</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 şi a Studiului tehnico-economic/notificare proiect remediere 2010</w:t>
            </w:r>
          </w:p>
        </w:tc>
      </w:tr>
      <w:tr w:rsidR="00D07F84" w:rsidRPr="00026D8C" w:rsidTr="00012F90">
        <w:trPr>
          <w:trHeight w:val="490"/>
        </w:trPr>
        <w:tc>
          <w:tcPr>
            <w:tcW w:w="541" w:type="dxa"/>
            <w:tcBorders>
              <w:top w:val="single" w:sz="4" w:space="0" w:color="auto"/>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12</w:t>
            </w:r>
          </w:p>
        </w:tc>
        <w:tc>
          <w:tcPr>
            <w:tcW w:w="3829" w:type="dxa"/>
            <w:tcBorders>
              <w:top w:val="single" w:sz="4" w:space="0" w:color="auto"/>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SC Petrom SA – Suc. PECO-depozit produse petroliere Brăila Oraș                                   </w:t>
            </w:r>
          </w:p>
        </w:tc>
        <w:tc>
          <w:tcPr>
            <w:tcW w:w="1267"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str. Baldovinestinr.10, Brăila</w:t>
            </w:r>
          </w:p>
        </w:tc>
        <w:tc>
          <w:tcPr>
            <w:tcW w:w="1628"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single" w:sz="4" w:space="0" w:color="auto"/>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 şi a Studiului tehnico-economic/ notificare proiect remediere 2010</w:t>
            </w:r>
          </w:p>
        </w:tc>
      </w:tr>
      <w:tr w:rsidR="00D07F84" w:rsidRPr="00026D8C" w:rsidTr="00012F90">
        <w:trPr>
          <w:trHeight w:val="328"/>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13</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SA-depozit tratare Jugureanu/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Ulmu</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328"/>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14</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 - Parcul 9 Insurăței (Lișcoteanca) /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sat Lișcoteancacom. Bordei Verde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350"/>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15</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SC Petrom SA-Depozit tratare Bordei Verde/ industria extractivă </w:t>
            </w:r>
            <w:r w:rsidRPr="00026D8C">
              <w:rPr>
                <w:rFonts w:ascii="Arial" w:hAnsi="Arial" w:cs="Arial"/>
                <w:lang w:val="it-IT"/>
              </w:rPr>
              <w:lastRenderedPageBreak/>
              <w:t>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lastRenderedPageBreak/>
              <w:t xml:space="preserve">com. Bordei </w:t>
            </w:r>
            <w:r w:rsidRPr="00026D8C">
              <w:rPr>
                <w:rFonts w:ascii="Arial" w:hAnsi="Arial" w:cs="Arial"/>
                <w:lang w:val="it-IT"/>
              </w:rPr>
              <w:lastRenderedPageBreak/>
              <w:t>Verde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lastRenderedPageBreak/>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256"/>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lastRenderedPageBreak/>
              <w:t>16</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SA-Parc 10 Bordei Verde/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Bordei Verde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184"/>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17</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SA-Parc 11 Bordei Verde/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Bordei Verde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 în cadrul BM II</w:t>
            </w:r>
          </w:p>
        </w:tc>
      </w:tr>
      <w:tr w:rsidR="00D07F84" w:rsidRPr="00026D8C" w:rsidTr="00012F90">
        <w:trPr>
          <w:trHeight w:val="121"/>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18</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SA-Parc 6 Bordei Verde/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Bordei Verde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 xml:space="preserve"> în cadrul BM II</w:t>
            </w:r>
          </w:p>
        </w:tc>
      </w:tr>
      <w:tr w:rsidR="00D07F84" w:rsidRPr="00026D8C" w:rsidTr="00012F90">
        <w:trPr>
          <w:trHeight w:val="413"/>
        </w:trPr>
        <w:tc>
          <w:tcPr>
            <w:tcW w:w="541"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19</w:t>
            </w:r>
          </w:p>
        </w:tc>
        <w:tc>
          <w:tcPr>
            <w:tcW w:w="3829" w:type="dxa"/>
            <w:tcBorders>
              <w:top w:val="nil"/>
              <w:left w:val="single" w:sz="4" w:space="0" w:color="auto"/>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SA-Stația de injecție Bordei Verde/ industria extractivă petrolieră</w:t>
            </w:r>
          </w:p>
        </w:tc>
        <w:tc>
          <w:tcPr>
            <w:tcW w:w="1267" w:type="dxa"/>
            <w:tcBorders>
              <w:top w:val="nil"/>
              <w:left w:val="nil"/>
              <w:bottom w:val="single" w:sz="4" w:space="0" w:color="auto"/>
              <w:right w:val="single" w:sz="4" w:space="0" w:color="auto"/>
            </w:tcBorders>
            <w:vAlign w:val="center"/>
            <w:hideMark/>
          </w:tcPr>
          <w:p w:rsidR="00D07F84" w:rsidRPr="00026D8C" w:rsidRDefault="00D07F84" w:rsidP="00012F90">
            <w:pPr>
              <w:jc w:val="center"/>
              <w:rPr>
                <w:rFonts w:ascii="Arial" w:hAnsi="Arial" w:cs="Arial"/>
                <w:lang w:val="it-IT"/>
              </w:rPr>
            </w:pPr>
            <w:r w:rsidRPr="00026D8C">
              <w:rPr>
                <w:rFonts w:ascii="Arial" w:hAnsi="Arial" w:cs="Arial"/>
                <w:lang w:val="it-IT"/>
              </w:rPr>
              <w:t>com. Bordei Verde</w:t>
            </w:r>
          </w:p>
        </w:tc>
        <w:tc>
          <w:tcPr>
            <w:tcW w:w="1628"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665" w:type="dxa"/>
            <w:tcBorders>
              <w:top w:val="nil"/>
              <w:left w:val="nil"/>
              <w:bottom w:val="single" w:sz="4" w:space="0" w:color="auto"/>
              <w:right w:val="single" w:sz="4" w:space="0" w:color="auto"/>
            </w:tcBorders>
            <w:vAlign w:val="center"/>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bl>
    <w:p w:rsidR="00D07F84" w:rsidRPr="00026D8C" w:rsidRDefault="00D07F84" w:rsidP="00D07F84">
      <w:pPr>
        <w:pStyle w:val="BodyText"/>
        <w:spacing w:after="0" w:line="240" w:lineRule="auto"/>
        <w:jc w:val="both"/>
        <w:rPr>
          <w:rFonts w:ascii="Arial" w:eastAsia="SimSun" w:hAnsi="Arial" w:cs="Arial"/>
          <w:sz w:val="24"/>
          <w:szCs w:val="24"/>
          <w:lang w:val="it-IT"/>
        </w:rPr>
      </w:pPr>
    </w:p>
    <w:p w:rsidR="00D07F84" w:rsidRPr="00026D8C" w:rsidRDefault="00D07F84" w:rsidP="00D07F84">
      <w:pPr>
        <w:pStyle w:val="BodyText"/>
        <w:spacing w:after="0" w:line="240" w:lineRule="auto"/>
        <w:jc w:val="both"/>
        <w:rPr>
          <w:rFonts w:ascii="Arial" w:eastAsia="SimSun" w:hAnsi="Arial" w:cs="Arial"/>
          <w:sz w:val="24"/>
          <w:szCs w:val="24"/>
          <w:lang w:val="it-IT"/>
        </w:rPr>
      </w:pPr>
      <w:r w:rsidRPr="00026D8C">
        <w:rPr>
          <w:rFonts w:ascii="Arial" w:eastAsia="SimSun" w:hAnsi="Arial" w:cs="Arial"/>
          <w:sz w:val="24"/>
          <w:szCs w:val="24"/>
          <w:lang w:val="it-IT"/>
        </w:rPr>
        <w:t>Lista siturilor potenţial contaminate</w:t>
      </w:r>
    </w:p>
    <w:p w:rsidR="00D07F84" w:rsidRPr="00026D8C" w:rsidRDefault="00D07F84" w:rsidP="00D07F84">
      <w:pPr>
        <w:pStyle w:val="BodyText"/>
        <w:spacing w:after="0" w:line="240" w:lineRule="auto"/>
        <w:rPr>
          <w:rFonts w:ascii="Arial" w:eastAsia="SimSun" w:hAnsi="Arial" w:cs="Arial"/>
          <w:sz w:val="24"/>
          <w:szCs w:val="24"/>
          <w:lang w:val="it-IT"/>
        </w:rPr>
      </w:pPr>
      <w:r>
        <w:rPr>
          <w:rFonts w:ascii="Arial" w:eastAsia="SimSun" w:hAnsi="Arial" w:cs="Arial"/>
          <w:sz w:val="24"/>
          <w:szCs w:val="24"/>
          <w:lang w:val="it-IT"/>
        </w:rPr>
        <w:t>Tabel III</w:t>
      </w:r>
      <w:r w:rsidRPr="00026D8C">
        <w:rPr>
          <w:rFonts w:ascii="Arial" w:eastAsia="SimSun" w:hAnsi="Arial" w:cs="Arial"/>
          <w:sz w:val="24"/>
          <w:szCs w:val="24"/>
          <w:lang w:val="it-IT"/>
        </w:rPr>
        <w:t>.4.</w:t>
      </w:r>
      <w:r>
        <w:rPr>
          <w:rFonts w:ascii="Arial" w:eastAsia="SimSun" w:hAnsi="Arial" w:cs="Arial"/>
          <w:sz w:val="24"/>
          <w:szCs w:val="24"/>
          <w:lang w:val="it-IT"/>
        </w:rPr>
        <w:t>2</w:t>
      </w:r>
    </w:p>
    <w:tbl>
      <w:tblPr>
        <w:tblW w:w="9927" w:type="dxa"/>
        <w:tblInd w:w="108" w:type="dxa"/>
        <w:tblLook w:val="04A0"/>
      </w:tblPr>
      <w:tblGrid>
        <w:gridCol w:w="572"/>
        <w:gridCol w:w="3838"/>
        <w:gridCol w:w="1293"/>
        <w:gridCol w:w="1804"/>
        <w:gridCol w:w="2420"/>
      </w:tblGrid>
      <w:tr w:rsidR="00D07F84" w:rsidRPr="00026D8C" w:rsidTr="00012F90">
        <w:trPr>
          <w:trHeight w:val="503"/>
          <w:tblHeader/>
        </w:trPr>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Nr. crt.</w:t>
            </w:r>
          </w:p>
        </w:tc>
        <w:tc>
          <w:tcPr>
            <w:tcW w:w="3838" w:type="dxa"/>
            <w:tcBorders>
              <w:top w:val="single" w:sz="4" w:space="0" w:color="auto"/>
              <w:left w:val="single" w:sz="4" w:space="0" w:color="auto"/>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Denumirea sitului / Domeniul de activitate care a produs contaminarea</w:t>
            </w:r>
          </w:p>
        </w:tc>
        <w:tc>
          <w:tcPr>
            <w:tcW w:w="1293"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Locația sitului</w:t>
            </w:r>
          </w:p>
        </w:tc>
        <w:tc>
          <w:tcPr>
            <w:tcW w:w="1804"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Proprietar</w:t>
            </w:r>
          </w:p>
        </w:tc>
        <w:tc>
          <w:tcPr>
            <w:tcW w:w="2420"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Lucrări de investigare executate</w:t>
            </w:r>
          </w:p>
        </w:tc>
      </w:tr>
      <w:tr w:rsidR="00D07F84" w:rsidRPr="00026D8C" w:rsidTr="00012F90">
        <w:trPr>
          <w:trHeight w:val="404"/>
          <w:tblHeader/>
        </w:trPr>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1.</w:t>
            </w:r>
          </w:p>
        </w:tc>
        <w:tc>
          <w:tcPr>
            <w:tcW w:w="3838" w:type="dxa"/>
            <w:tcBorders>
              <w:top w:val="single" w:sz="4" w:space="0" w:color="auto"/>
              <w:left w:val="single" w:sz="4" w:space="0" w:color="auto"/>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SC Petrom SA-Parc 18 Bordei Verde/ industria extractivă petrolieră</w:t>
            </w:r>
          </w:p>
        </w:tc>
        <w:tc>
          <w:tcPr>
            <w:tcW w:w="1293"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Oraș Insuratei,</w:t>
            </w:r>
          </w:p>
        </w:tc>
        <w:tc>
          <w:tcPr>
            <w:tcW w:w="1804"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SC Petrom SA</w:t>
            </w:r>
          </w:p>
        </w:tc>
        <w:tc>
          <w:tcPr>
            <w:tcW w:w="2420"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în cadrul BM II</w:t>
            </w:r>
          </w:p>
        </w:tc>
      </w:tr>
      <w:tr w:rsidR="00D07F84" w:rsidRPr="00026D8C" w:rsidTr="00012F90">
        <w:trPr>
          <w:trHeight w:val="647"/>
          <w:tblHeader/>
        </w:trPr>
        <w:tc>
          <w:tcPr>
            <w:tcW w:w="572" w:type="dxa"/>
            <w:tcBorders>
              <w:top w:val="single" w:sz="4" w:space="0" w:color="auto"/>
              <w:left w:val="single" w:sz="4" w:space="0" w:color="auto"/>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2.</w:t>
            </w:r>
          </w:p>
        </w:tc>
        <w:tc>
          <w:tcPr>
            <w:tcW w:w="3838" w:type="dxa"/>
            <w:tcBorders>
              <w:top w:val="single" w:sz="4" w:space="0" w:color="auto"/>
              <w:left w:val="single" w:sz="4" w:space="0" w:color="auto"/>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SC Termoelectrica SA, Bucureşti, Centrala Termică Ianca/ Industria energetică</w:t>
            </w:r>
          </w:p>
        </w:tc>
        <w:tc>
          <w:tcPr>
            <w:tcW w:w="1293"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 xml:space="preserve">Oraș Ianca, </w:t>
            </w:r>
          </w:p>
        </w:tc>
        <w:tc>
          <w:tcPr>
            <w:tcW w:w="1804"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SC Termoelectrica SA</w:t>
            </w:r>
          </w:p>
        </w:tc>
        <w:tc>
          <w:tcPr>
            <w:tcW w:w="2420" w:type="dxa"/>
            <w:tcBorders>
              <w:top w:val="single" w:sz="4" w:space="0" w:color="auto"/>
              <w:left w:val="nil"/>
              <w:bottom w:val="single" w:sz="4" w:space="0" w:color="auto"/>
              <w:right w:val="single" w:sz="4" w:space="0" w:color="auto"/>
            </w:tcBorders>
            <w:shd w:val="clear" w:color="auto" w:fill="FFFFFF"/>
            <w:hideMark/>
          </w:tcPr>
          <w:p w:rsidR="00D07F84" w:rsidRPr="00026D8C" w:rsidRDefault="00D07F84" w:rsidP="00012F90">
            <w:pPr>
              <w:rPr>
                <w:rFonts w:ascii="Arial" w:hAnsi="Arial" w:cs="Arial"/>
                <w:lang w:val="it-IT"/>
              </w:rPr>
            </w:pPr>
            <w:r w:rsidRPr="00026D8C">
              <w:rPr>
                <w:rFonts w:ascii="Arial" w:hAnsi="Arial" w:cs="Arial"/>
                <w:lang w:val="it-IT"/>
              </w:rPr>
              <w:t>în cadrul BM II şi a</w:t>
            </w:r>
          </w:p>
          <w:p w:rsidR="00D07F84" w:rsidRPr="00026D8C" w:rsidRDefault="00D07F84" w:rsidP="00012F90">
            <w:pPr>
              <w:rPr>
                <w:rFonts w:ascii="Arial" w:hAnsi="Arial" w:cs="Arial"/>
                <w:lang w:val="it-IT"/>
              </w:rPr>
            </w:pPr>
            <w:r w:rsidRPr="00026D8C">
              <w:rPr>
                <w:rFonts w:ascii="Arial" w:hAnsi="Arial" w:cs="Arial"/>
                <w:lang w:val="it-IT"/>
              </w:rPr>
              <w:t xml:space="preserve">Studiului geologic şi hidrologic </w:t>
            </w:r>
          </w:p>
        </w:tc>
      </w:tr>
    </w:tbl>
    <w:p w:rsidR="00D07F84" w:rsidRPr="00026D8C" w:rsidRDefault="00D07F84" w:rsidP="00D07F84">
      <w:pPr>
        <w:ind w:right="204" w:firstLine="720"/>
        <w:jc w:val="both"/>
        <w:rPr>
          <w:rFonts w:ascii="Arial" w:hAnsi="Arial" w:cs="Arial"/>
          <w:lang w:val="it-IT"/>
        </w:rPr>
      </w:pPr>
      <w:r w:rsidRPr="00026D8C">
        <w:rPr>
          <w:rFonts w:ascii="Arial" w:hAnsi="Arial" w:cs="Arial"/>
          <w:lang w:val="it-IT"/>
        </w:rPr>
        <w:t>*) BMII-bilanţ de mediu de nivel II</w:t>
      </w:r>
    </w:p>
    <w:p w:rsidR="00D07F84" w:rsidRDefault="00D07F84" w:rsidP="00D07F84">
      <w:pPr>
        <w:pStyle w:val="Footer"/>
        <w:jc w:val="both"/>
        <w:rPr>
          <w:rFonts w:ascii="Arial" w:eastAsia="SimSun" w:hAnsi="Arial" w:cs="Arial"/>
          <w:sz w:val="24"/>
          <w:szCs w:val="24"/>
          <w:lang w:val="it-IT"/>
        </w:rPr>
      </w:pPr>
    </w:p>
    <w:p w:rsidR="00D07F84" w:rsidRPr="00026D8C" w:rsidRDefault="00D07F84" w:rsidP="00D07F84">
      <w:pPr>
        <w:pStyle w:val="Footer"/>
        <w:jc w:val="both"/>
        <w:rPr>
          <w:rFonts w:ascii="Arial" w:eastAsia="SimSun" w:hAnsi="Arial" w:cs="Arial"/>
          <w:sz w:val="24"/>
          <w:szCs w:val="24"/>
          <w:lang w:val="it-IT"/>
        </w:rPr>
      </w:pPr>
    </w:p>
    <w:p w:rsidR="00D07F84" w:rsidRPr="00026D8C" w:rsidRDefault="00D07F84" w:rsidP="00D07F84">
      <w:pPr>
        <w:pStyle w:val="Footer"/>
        <w:jc w:val="both"/>
        <w:rPr>
          <w:rFonts w:ascii="Arial" w:eastAsia="SimSun" w:hAnsi="Arial" w:cs="Arial"/>
          <w:sz w:val="24"/>
          <w:szCs w:val="24"/>
          <w:lang w:val="it-IT"/>
        </w:rPr>
      </w:pPr>
      <w:r w:rsidRPr="00026D8C">
        <w:rPr>
          <w:rFonts w:ascii="Arial" w:eastAsia="SimSun" w:hAnsi="Arial" w:cs="Arial"/>
          <w:sz w:val="24"/>
          <w:szCs w:val="24"/>
          <w:lang w:val="it-IT"/>
        </w:rPr>
        <w:t xml:space="preserve">Acţiuni întreprinse pentru remedierea terenurilor contaminate </w:t>
      </w:r>
    </w:p>
    <w:p w:rsidR="00D07F84" w:rsidRPr="00026D8C" w:rsidRDefault="00D07F84" w:rsidP="00D07F84">
      <w:pPr>
        <w:ind w:right="-3"/>
        <w:jc w:val="both"/>
        <w:rPr>
          <w:rFonts w:ascii="Arial" w:hAnsi="Arial" w:cs="Arial"/>
          <w:lang w:val="it-IT"/>
        </w:rPr>
      </w:pPr>
      <w:r w:rsidRPr="00026D8C">
        <w:rPr>
          <w:rFonts w:ascii="Arial" w:hAnsi="Arial" w:cs="Arial"/>
          <w:lang w:val="it-IT"/>
        </w:rPr>
        <w:t xml:space="preserve">Modalităţile de investigare şi evaluare a poluării solului şi subsolului se vor stabili potrivit HG 1408/2007 utilizând metode specifice geologice şi pedologice, în baza metodologiilor de investigare şi evaluare a poluării solului şi subsolului. </w:t>
      </w:r>
    </w:p>
    <w:p w:rsidR="00D07F84" w:rsidRPr="00026D8C" w:rsidRDefault="00D07F84" w:rsidP="00D07F84">
      <w:pPr>
        <w:ind w:right="-3"/>
        <w:jc w:val="both"/>
        <w:rPr>
          <w:rFonts w:ascii="Arial" w:hAnsi="Arial" w:cs="Arial"/>
          <w:lang w:val="it-IT"/>
        </w:rPr>
      </w:pPr>
      <w:r w:rsidRPr="00026D8C">
        <w:rPr>
          <w:rFonts w:ascii="Arial" w:hAnsi="Arial" w:cs="Arial"/>
          <w:lang w:val="it-IT"/>
        </w:rPr>
        <w:t xml:space="preserve">Investigarea, evaluarea şi refacerea siturilor contaminate se va realiza prin: </w:t>
      </w:r>
    </w:p>
    <w:p w:rsidR="00D07F84" w:rsidRPr="00026D8C" w:rsidRDefault="00D07F84" w:rsidP="00D07F84">
      <w:pPr>
        <w:ind w:right="-3" w:firstLine="720"/>
        <w:jc w:val="both"/>
        <w:rPr>
          <w:rFonts w:ascii="Arial" w:hAnsi="Arial" w:cs="Arial"/>
          <w:lang w:val="it-IT"/>
        </w:rPr>
      </w:pPr>
      <w:r w:rsidRPr="00026D8C">
        <w:rPr>
          <w:rFonts w:ascii="Arial" w:hAnsi="Arial" w:cs="Arial"/>
          <w:lang w:val="it-IT"/>
        </w:rPr>
        <w:t>-întocmirea inventarului de situri contaminate, bazat pe completarea chestionarelor;</w:t>
      </w:r>
    </w:p>
    <w:p w:rsidR="00D07F84" w:rsidRPr="00026D8C" w:rsidRDefault="00D07F84" w:rsidP="00D07F84">
      <w:pPr>
        <w:ind w:right="-3" w:firstLine="720"/>
        <w:jc w:val="both"/>
        <w:rPr>
          <w:rFonts w:ascii="Arial" w:hAnsi="Arial" w:cs="Arial"/>
          <w:lang w:val="it-IT"/>
        </w:rPr>
      </w:pPr>
      <w:r w:rsidRPr="00026D8C">
        <w:rPr>
          <w:rFonts w:ascii="Arial" w:hAnsi="Arial" w:cs="Arial"/>
          <w:lang w:val="it-IT"/>
        </w:rPr>
        <w:t>-stabilirea modalităţilor de investigare şi evaluare a poluării solului şi subsolului;</w:t>
      </w:r>
    </w:p>
    <w:p w:rsidR="00D07F84" w:rsidRPr="00026D8C" w:rsidRDefault="00D07F84" w:rsidP="00D07F84">
      <w:pPr>
        <w:ind w:right="-3" w:firstLine="720"/>
        <w:jc w:val="both"/>
        <w:rPr>
          <w:rFonts w:ascii="Arial" w:hAnsi="Arial" w:cs="Arial"/>
          <w:lang w:val="it-IT"/>
        </w:rPr>
      </w:pPr>
      <w:r w:rsidRPr="00026D8C">
        <w:rPr>
          <w:rFonts w:ascii="Arial" w:hAnsi="Arial" w:cs="Arial"/>
          <w:lang w:val="it-IT"/>
        </w:rPr>
        <w:t xml:space="preserve">-realizarea celor trei etape principale ale investigării şi evaluării poluării mediului geologic, având ca finalitate identificarea şi caracterizarea siturilor contaminate: </w:t>
      </w:r>
    </w:p>
    <w:p w:rsidR="00D07F84" w:rsidRPr="00026D8C" w:rsidRDefault="00D07F84" w:rsidP="005E6B2E">
      <w:pPr>
        <w:numPr>
          <w:ilvl w:val="1"/>
          <w:numId w:val="29"/>
        </w:numPr>
        <w:ind w:right="-3"/>
        <w:jc w:val="both"/>
        <w:rPr>
          <w:rFonts w:ascii="Arial" w:hAnsi="Arial" w:cs="Arial"/>
          <w:lang w:val="it-IT"/>
        </w:rPr>
      </w:pPr>
      <w:r w:rsidRPr="00026D8C">
        <w:rPr>
          <w:rFonts w:ascii="Arial" w:hAnsi="Arial" w:cs="Arial"/>
          <w:lang w:val="it-IT"/>
        </w:rPr>
        <w:t xml:space="preserve">analiza şi interpretarea datelor existente, </w:t>
      </w:r>
    </w:p>
    <w:p w:rsidR="00D07F84" w:rsidRPr="00026D8C" w:rsidRDefault="00D07F84" w:rsidP="005E6B2E">
      <w:pPr>
        <w:numPr>
          <w:ilvl w:val="1"/>
          <w:numId w:val="29"/>
        </w:numPr>
        <w:ind w:right="-3"/>
        <w:jc w:val="both"/>
        <w:rPr>
          <w:rFonts w:ascii="Arial" w:hAnsi="Arial" w:cs="Arial"/>
          <w:lang w:val="it-IT"/>
        </w:rPr>
      </w:pPr>
      <w:r w:rsidRPr="00026D8C">
        <w:rPr>
          <w:rFonts w:ascii="Arial" w:hAnsi="Arial" w:cs="Arial"/>
          <w:lang w:val="it-IT"/>
        </w:rPr>
        <w:t xml:space="preserve">etapa de investigare şi evaluare preliminară (ale cărei rezultate sunt cuprinse în raportul geologic de evaluare şi investigare preliminară), </w:t>
      </w:r>
    </w:p>
    <w:p w:rsidR="00D07F84" w:rsidRPr="00026D8C" w:rsidRDefault="00D07F84" w:rsidP="005E6B2E">
      <w:pPr>
        <w:numPr>
          <w:ilvl w:val="1"/>
          <w:numId w:val="29"/>
        </w:numPr>
        <w:ind w:right="-3"/>
        <w:jc w:val="both"/>
        <w:rPr>
          <w:rFonts w:ascii="Arial" w:hAnsi="Arial" w:cs="Arial"/>
          <w:lang w:val="it-IT"/>
        </w:rPr>
      </w:pPr>
      <w:r w:rsidRPr="00026D8C">
        <w:rPr>
          <w:rFonts w:ascii="Arial" w:hAnsi="Arial" w:cs="Arial"/>
          <w:lang w:val="it-IT"/>
        </w:rPr>
        <w:t>etapa de investigare şi evaluare detaliată (ale cărei rezultate sunt cuprinse în raportul geologic final de evaluare şi investigare).</w:t>
      </w:r>
    </w:p>
    <w:p w:rsidR="00D07F84" w:rsidRPr="00026D8C" w:rsidRDefault="00D07F84" w:rsidP="00D07F84">
      <w:pPr>
        <w:pStyle w:val="Corptext"/>
        <w:spacing w:after="0" w:line="115" w:lineRule="atLeast"/>
        <w:rPr>
          <w:rFonts w:eastAsia="SimSun"/>
          <w:color w:val="auto"/>
          <w:sz w:val="24"/>
          <w:szCs w:val="24"/>
        </w:rPr>
      </w:pPr>
      <w:r w:rsidRPr="00026D8C">
        <w:rPr>
          <w:rFonts w:eastAsia="SimSun"/>
          <w:color w:val="auto"/>
          <w:sz w:val="24"/>
          <w:szCs w:val="24"/>
        </w:rPr>
        <w:t xml:space="preserve">Au fost reglementate trei proiecte de decontaminare pentru depozitele OMV Petrom Brăila Oraş, Făurei şi Ianca. </w:t>
      </w:r>
    </w:p>
    <w:p w:rsidR="00D07F84" w:rsidRPr="00026D8C" w:rsidRDefault="00D07F84" w:rsidP="00D07F84">
      <w:pPr>
        <w:pStyle w:val="Corptext"/>
        <w:spacing w:after="0" w:line="115" w:lineRule="atLeast"/>
        <w:rPr>
          <w:rFonts w:eastAsia="SimSun"/>
          <w:color w:val="auto"/>
          <w:sz w:val="24"/>
          <w:szCs w:val="24"/>
        </w:rPr>
      </w:pPr>
      <w:r w:rsidRPr="00026D8C">
        <w:rPr>
          <w:rFonts w:eastAsia="SimSun"/>
          <w:color w:val="auto"/>
          <w:sz w:val="24"/>
          <w:szCs w:val="24"/>
        </w:rPr>
        <w:t xml:space="preserve">Primul este în derulare, se realizează monitorizarea lucrărilor de remediere a solului care se vor continua până la atingerea obiectivelor de remediere. Lucrările de decontaminare a apelor subterane nu au fost încă iniţiate urmând să se desfăşoare după obţinerea avizului privind gospodărirea apelor. </w:t>
      </w:r>
    </w:p>
    <w:p w:rsidR="00D07F84" w:rsidRPr="00026D8C" w:rsidRDefault="00D07F84" w:rsidP="00D07F84">
      <w:pPr>
        <w:pStyle w:val="Corptext"/>
        <w:spacing w:after="0" w:line="115" w:lineRule="atLeast"/>
        <w:rPr>
          <w:rFonts w:eastAsia="SimSun"/>
          <w:color w:val="auto"/>
          <w:sz w:val="24"/>
          <w:szCs w:val="24"/>
        </w:rPr>
      </w:pPr>
      <w:r w:rsidRPr="00026D8C">
        <w:rPr>
          <w:rFonts w:eastAsia="SimSun"/>
          <w:color w:val="auto"/>
          <w:sz w:val="24"/>
          <w:szCs w:val="24"/>
        </w:rPr>
        <w:t xml:space="preserve">La depozitul Făurei s-au recepționat lucrările de remediere, iar rapoartele de monitorizare analizate în cursul anului 2014 (primul an de monitorizare postremediere) au relevat </w:t>
      </w:r>
      <w:r w:rsidRPr="00026D8C">
        <w:rPr>
          <w:rFonts w:eastAsia="SimSun"/>
          <w:color w:val="auto"/>
          <w:sz w:val="24"/>
          <w:szCs w:val="24"/>
        </w:rPr>
        <w:lastRenderedPageBreak/>
        <w:t>încadrarea tuturor indicatorilor în limitele impuse prin actul de reglementare, ca urmare considerându-se a fi remediat.</w:t>
      </w:r>
    </w:p>
    <w:p w:rsidR="00D07F84" w:rsidRPr="00026D8C" w:rsidRDefault="00D07F84" w:rsidP="00D07F84">
      <w:pPr>
        <w:pStyle w:val="Corptext"/>
        <w:spacing w:after="0" w:line="115" w:lineRule="atLeast"/>
        <w:rPr>
          <w:rFonts w:eastAsia="SimSun"/>
          <w:color w:val="auto"/>
          <w:sz w:val="24"/>
          <w:szCs w:val="24"/>
        </w:rPr>
      </w:pPr>
      <w:r w:rsidRPr="00026D8C">
        <w:rPr>
          <w:rFonts w:eastAsia="SimSun"/>
          <w:color w:val="auto"/>
          <w:sz w:val="24"/>
          <w:szCs w:val="24"/>
        </w:rPr>
        <w:t>Pentru batalurile de reziduuri petroliere închise au fost realizate investigaţii privind poluarea solului şi a fost finalizat în cursul anului 2014 proiectul de remediere pentru batalul nou Oprișenești.</w:t>
      </w:r>
    </w:p>
    <w:p w:rsidR="00D07F84" w:rsidRPr="00026D8C" w:rsidRDefault="00D07F84" w:rsidP="00D07F84">
      <w:pPr>
        <w:ind w:right="-3"/>
        <w:jc w:val="both"/>
        <w:rPr>
          <w:rFonts w:ascii="Arial" w:hAnsi="Arial" w:cs="Arial"/>
          <w:lang w:val="it-IT"/>
        </w:rPr>
      </w:pPr>
      <w:r w:rsidRPr="00771694">
        <w:rPr>
          <w:rFonts w:ascii="Arial" w:hAnsi="Arial" w:cs="Arial"/>
          <w:lang w:val="it-IT"/>
        </w:rPr>
        <w:t>Pentru sondele de extracţie petrol care au fost abandonate, OMV Petrom a întocmit documentaţiile necesare reglementării din punctul de vedere al protecţiei mediului şi stabilirii obligaţiilor de mediu, după caz. Au fost reglementate proiecte de dezafectare şi remediere a terenului pentru sondele la care, ca urmare a analizelor chimice efectuate, s-au constatat depăşiri ale indicatorului hidrocarburi totale din petrol, conform prevederilor Odr. MAPPM 756/1997</w:t>
      </w:r>
      <w:r w:rsidRPr="00026D8C">
        <w:rPr>
          <w:rFonts w:ascii="Arial" w:hAnsi="Arial" w:cs="Arial"/>
          <w:lang w:val="it-IT"/>
        </w:rPr>
        <w:t xml:space="preserve"> pentru aprobarea Reglementării privind evaluarea poluării mediului.</w:t>
      </w:r>
    </w:p>
    <w:p w:rsidR="00691934" w:rsidRDefault="00691934" w:rsidP="00691934">
      <w:pPr>
        <w:pStyle w:val="ListParagraph"/>
        <w:tabs>
          <w:tab w:val="left" w:pos="720"/>
        </w:tabs>
        <w:suppressAutoHyphens/>
        <w:autoSpaceDE w:val="0"/>
        <w:autoSpaceDN w:val="0"/>
        <w:adjustRightInd w:val="0"/>
        <w:jc w:val="both"/>
        <w:rPr>
          <w:rFonts w:ascii="Arial" w:hAnsi="Arial" w:cs="Arial"/>
          <w:noProof/>
        </w:rPr>
      </w:pPr>
    </w:p>
    <w:p w:rsidR="00E61919" w:rsidRDefault="00E61919" w:rsidP="00E61919"/>
    <w:p w:rsidR="00E61919" w:rsidRPr="00CD4D6C" w:rsidRDefault="00E61919" w:rsidP="00D203CA">
      <w:pPr>
        <w:rPr>
          <w:b/>
        </w:rPr>
      </w:pPr>
      <w:r w:rsidRPr="00CD4D6C">
        <w:rPr>
          <w:b/>
        </w:rPr>
        <w:t>IV. UTILIZAREA TERENURILOR</w:t>
      </w:r>
    </w:p>
    <w:p w:rsidR="00E61919" w:rsidRDefault="00E61919" w:rsidP="00D203CA">
      <w:pPr>
        <w:rPr>
          <w:rFonts w:ascii="Arial" w:hAnsi="Arial" w:cs="Arial"/>
          <w:b/>
        </w:rPr>
      </w:pPr>
    </w:p>
    <w:p w:rsidR="00E61919" w:rsidRDefault="00E61919" w:rsidP="00D203CA">
      <w:pPr>
        <w:ind w:left="284"/>
        <w:rPr>
          <w:rFonts w:ascii="Arial" w:hAnsi="Arial" w:cs="Arial"/>
          <w:b/>
        </w:rPr>
      </w:pPr>
      <w:r>
        <w:rPr>
          <w:rFonts w:ascii="Arial" w:hAnsi="Arial" w:cs="Arial"/>
          <w:b/>
        </w:rPr>
        <w:t>IV.1. Stare și tendințe</w:t>
      </w:r>
    </w:p>
    <w:p w:rsidR="00E61919" w:rsidRPr="00CD4D6C" w:rsidRDefault="00E61919" w:rsidP="00E61919">
      <w:pPr>
        <w:ind w:left="284"/>
        <w:jc w:val="center"/>
        <w:rPr>
          <w:rFonts w:ascii="Arial" w:hAnsi="Arial" w:cs="Arial"/>
          <w:b/>
          <w:lang w:val="ro-RO"/>
        </w:rPr>
      </w:pPr>
    </w:p>
    <w:p w:rsidR="00E61919" w:rsidRPr="00B14198" w:rsidRDefault="00E61919" w:rsidP="00E61919">
      <w:pPr>
        <w:tabs>
          <w:tab w:val="left" w:pos="2160"/>
          <w:tab w:val="left" w:leader="dot" w:pos="8640"/>
        </w:tabs>
        <w:ind w:right="-38" w:firstLine="720"/>
        <w:jc w:val="both"/>
        <w:rPr>
          <w:rFonts w:ascii="Arial" w:hAnsi="Arial" w:cs="Arial"/>
          <w:lang w:val="ro-RO"/>
        </w:rPr>
      </w:pPr>
      <w:r>
        <w:rPr>
          <w:rFonts w:ascii="Arial" w:hAnsi="Arial" w:cs="Arial"/>
          <w:color w:val="00B050"/>
          <w:lang w:val="ro-RO"/>
        </w:rPr>
        <w:t xml:space="preserve">  </w:t>
      </w:r>
      <w:r w:rsidRPr="00B14198">
        <w:rPr>
          <w:rFonts w:ascii="Arial" w:hAnsi="Arial" w:cs="Arial"/>
          <w:lang w:val="ro-RO"/>
        </w:rPr>
        <w:t>Solul se formează printr-un proces foarte lent, el poate fi considerat ca resursă neregenerabilă. El serveşte drept platformă pentru activităţile umane, arhivă culturală şi joacă un rol esenţial pentru habitat. Solul depozitează, filtrează şi transformă multe substanţe, incluzând apa, nutrienţii şi carbonul. Solul este principalul suport al tuturor activităţilor socio-economice şi constituie factorul de mediu expus cel mai uşor la poluare.</w:t>
      </w:r>
    </w:p>
    <w:p w:rsidR="00E61919" w:rsidRDefault="00E61919" w:rsidP="00E61919">
      <w:pPr>
        <w:tabs>
          <w:tab w:val="left" w:pos="2160"/>
          <w:tab w:val="left" w:leader="dot" w:pos="8640"/>
        </w:tabs>
        <w:ind w:right="-38" w:firstLine="720"/>
        <w:jc w:val="both"/>
        <w:rPr>
          <w:rFonts w:ascii="Arial" w:hAnsi="Arial" w:cs="Arial"/>
          <w:lang w:val="ro-RO"/>
        </w:rPr>
      </w:pPr>
      <w:r w:rsidRPr="00B14198">
        <w:rPr>
          <w:rFonts w:ascii="Arial" w:hAnsi="Arial" w:cs="Arial"/>
          <w:lang w:val="ro-RO"/>
        </w:rPr>
        <w:t>Calitatea solului este determinată de factori naturali cum sunt relieful, clima, vegetaţia,  dar şi de factori antropici. Astfel, practicile agricole neadaptate la condiţiile de mediu, tratamentele şi fertilizările făcute fără fundamentare agro-pedologică, agrotehnică, deversările de substanţe chimice periculoase, depozitările de deşeuri de toate categoriile, reprezintă factori antropici care modifică sensibil şi rapid calitatea solurilor.</w:t>
      </w:r>
    </w:p>
    <w:p w:rsidR="00E61919" w:rsidRPr="00AE5989" w:rsidRDefault="00E61919" w:rsidP="00E61919">
      <w:pPr>
        <w:autoSpaceDE w:val="0"/>
        <w:autoSpaceDN w:val="0"/>
        <w:adjustRightInd w:val="0"/>
        <w:ind w:firstLine="708"/>
        <w:jc w:val="both"/>
        <w:rPr>
          <w:rFonts w:ascii="Arial" w:hAnsi="Arial" w:cs="Arial"/>
          <w:lang w:val="ro-RO"/>
        </w:rPr>
      </w:pPr>
      <w:r w:rsidRPr="00AE5989">
        <w:rPr>
          <w:rFonts w:ascii="Arial" w:hAnsi="Arial" w:cs="Arial"/>
          <w:lang w:val="ro-RO"/>
        </w:rPr>
        <w:t xml:space="preserve">Terenurile sunt o resursă finită și modul în care sunt exploatate reprezintă unul dintre principalii factori determinanţi ai schimbărilor de mediu, cu impact semnificativ asupra calităţii vieţii şi a ecosistemelor, precum şi asupra gestionării infrastructurii. </w:t>
      </w:r>
    </w:p>
    <w:p w:rsidR="00E61919" w:rsidRPr="00AE5989" w:rsidRDefault="00E61919" w:rsidP="00E61919">
      <w:pPr>
        <w:autoSpaceDE w:val="0"/>
        <w:autoSpaceDN w:val="0"/>
        <w:adjustRightInd w:val="0"/>
        <w:jc w:val="both"/>
        <w:rPr>
          <w:rFonts w:ascii="Arial" w:hAnsi="Arial" w:cs="Arial"/>
          <w:lang w:val="ro-RO"/>
        </w:rPr>
      </w:pPr>
      <w:r w:rsidRPr="00AE5989">
        <w:rPr>
          <w:rFonts w:ascii="Arial" w:hAnsi="Arial" w:cs="Arial"/>
          <w:lang w:val="ro-RO"/>
        </w:rPr>
        <w:t xml:space="preserve">Utilizarea terenurilor este determinată de o serie de factori importanţi: </w:t>
      </w:r>
    </w:p>
    <w:p w:rsidR="00E61919" w:rsidRPr="00AE5989" w:rsidRDefault="00E61919" w:rsidP="005E6B2E">
      <w:pPr>
        <w:pStyle w:val="ListParagraph"/>
        <w:numPr>
          <w:ilvl w:val="0"/>
          <w:numId w:val="30"/>
        </w:numPr>
        <w:autoSpaceDE w:val="0"/>
        <w:autoSpaceDN w:val="0"/>
        <w:adjustRightInd w:val="0"/>
        <w:jc w:val="both"/>
        <w:rPr>
          <w:rFonts w:ascii="Arial" w:eastAsia="SimSun" w:hAnsi="Arial" w:cs="Arial"/>
          <w:lang w:eastAsia="en-US"/>
        </w:rPr>
      </w:pPr>
      <w:r w:rsidRPr="00AE5989">
        <w:rPr>
          <w:rFonts w:ascii="Arial" w:eastAsia="SimSun" w:hAnsi="Arial" w:cs="Arial"/>
          <w:lang w:eastAsia="en-US"/>
        </w:rPr>
        <w:t xml:space="preserve">creşterea cererii pentru spaţii de locuit/persoană; </w:t>
      </w:r>
    </w:p>
    <w:p w:rsidR="00E61919" w:rsidRPr="00AE5989" w:rsidRDefault="00E61919" w:rsidP="005E6B2E">
      <w:pPr>
        <w:pStyle w:val="ListParagraph"/>
        <w:numPr>
          <w:ilvl w:val="0"/>
          <w:numId w:val="30"/>
        </w:numPr>
        <w:autoSpaceDE w:val="0"/>
        <w:autoSpaceDN w:val="0"/>
        <w:adjustRightInd w:val="0"/>
        <w:jc w:val="both"/>
        <w:rPr>
          <w:rFonts w:ascii="Arial" w:eastAsia="SimSun" w:hAnsi="Arial" w:cs="Arial"/>
          <w:lang w:eastAsia="en-US"/>
        </w:rPr>
      </w:pPr>
      <w:r w:rsidRPr="00AE5989">
        <w:rPr>
          <w:rFonts w:ascii="Arial" w:eastAsia="SimSun" w:hAnsi="Arial" w:cs="Arial"/>
          <w:lang w:eastAsia="en-US"/>
        </w:rPr>
        <w:t>legătura dintre activitatea economică, creşterea mobilităţii şi creşterea infrastructurii de transport care conduce la absorbţia de teren în zona urbană;</w:t>
      </w:r>
    </w:p>
    <w:p w:rsidR="00E61919" w:rsidRPr="00AE5989" w:rsidRDefault="00E61919" w:rsidP="005E6B2E">
      <w:pPr>
        <w:pStyle w:val="ListParagraph"/>
        <w:numPr>
          <w:ilvl w:val="0"/>
          <w:numId w:val="30"/>
        </w:numPr>
        <w:autoSpaceDE w:val="0"/>
        <w:autoSpaceDN w:val="0"/>
        <w:adjustRightInd w:val="0"/>
        <w:jc w:val="both"/>
        <w:rPr>
          <w:rFonts w:ascii="Arial" w:eastAsia="SimSun" w:hAnsi="Arial" w:cs="Arial"/>
          <w:lang w:eastAsia="en-US"/>
        </w:rPr>
      </w:pPr>
      <w:r w:rsidRPr="00AE5989">
        <w:rPr>
          <w:rFonts w:ascii="Arial" w:eastAsia="SimSun" w:hAnsi="Arial" w:cs="Arial"/>
          <w:lang w:eastAsia="en-US"/>
        </w:rPr>
        <w:t>creşterea cererii pentru spaţii de recreere şi petrecerea timpului liber, etc.</w:t>
      </w:r>
    </w:p>
    <w:p w:rsidR="00E61919" w:rsidRPr="00AE5989" w:rsidRDefault="00E61919" w:rsidP="00E61919">
      <w:pPr>
        <w:pStyle w:val="Footer"/>
        <w:tabs>
          <w:tab w:val="left" w:pos="8265"/>
        </w:tabs>
        <w:ind w:left="360"/>
        <w:jc w:val="both"/>
        <w:rPr>
          <w:rFonts w:ascii="Arial" w:eastAsia="SimSun" w:hAnsi="Arial" w:cs="Arial"/>
          <w:sz w:val="24"/>
          <w:szCs w:val="24"/>
          <w:lang w:val="ro-RO"/>
        </w:rPr>
      </w:pPr>
      <w:r w:rsidRPr="00AE5989">
        <w:rPr>
          <w:rFonts w:ascii="Arial" w:eastAsia="SimSun" w:hAnsi="Arial" w:cs="Arial"/>
          <w:sz w:val="24"/>
          <w:szCs w:val="24"/>
          <w:lang w:val="ro-RO"/>
        </w:rPr>
        <w:tab/>
      </w:r>
    </w:p>
    <w:p w:rsidR="00E61919" w:rsidRPr="00B14198" w:rsidRDefault="00E61919" w:rsidP="00E61919">
      <w:pPr>
        <w:pStyle w:val="Footer"/>
        <w:jc w:val="both"/>
        <w:rPr>
          <w:rFonts w:ascii="Arial" w:hAnsi="Arial" w:cs="Arial"/>
          <w:sz w:val="24"/>
          <w:szCs w:val="24"/>
          <w:lang w:val="ro-RO"/>
        </w:rPr>
      </w:pPr>
      <w:r>
        <w:rPr>
          <w:rFonts w:ascii="Arial" w:hAnsi="Arial" w:cs="Arial"/>
          <w:b/>
          <w:sz w:val="24"/>
          <w:szCs w:val="24"/>
          <w:lang w:val="ro-RO"/>
        </w:rPr>
        <w:t>IV</w:t>
      </w:r>
      <w:r w:rsidRPr="00B14198">
        <w:rPr>
          <w:rFonts w:ascii="Arial" w:hAnsi="Arial" w:cs="Arial"/>
          <w:b/>
          <w:sz w:val="24"/>
          <w:szCs w:val="24"/>
          <w:lang w:val="ro-RO"/>
        </w:rPr>
        <w:t>.1.1.</w:t>
      </w:r>
      <w:r>
        <w:rPr>
          <w:rFonts w:ascii="Arial" w:hAnsi="Arial" w:cs="Arial"/>
          <w:b/>
          <w:sz w:val="24"/>
          <w:szCs w:val="24"/>
          <w:lang w:val="ro-RO"/>
        </w:rPr>
        <w:t xml:space="preserve"> </w:t>
      </w:r>
      <w:r w:rsidRPr="00B14198">
        <w:rPr>
          <w:rFonts w:ascii="Arial" w:hAnsi="Arial" w:cs="Arial"/>
          <w:b/>
          <w:sz w:val="24"/>
          <w:szCs w:val="24"/>
          <w:lang w:val="ro-RO"/>
        </w:rPr>
        <w:t xml:space="preserve">Repartiţia </w:t>
      </w:r>
      <w:r>
        <w:rPr>
          <w:rFonts w:ascii="Arial" w:hAnsi="Arial" w:cs="Arial"/>
          <w:b/>
          <w:sz w:val="24"/>
          <w:szCs w:val="24"/>
          <w:lang w:val="ro-RO"/>
        </w:rPr>
        <w:t>terenurilor pe categorii de acoperire/utilizare</w:t>
      </w:r>
      <w:r w:rsidRPr="00B14198">
        <w:rPr>
          <w:rFonts w:ascii="Arial" w:hAnsi="Arial" w:cs="Arial"/>
          <w:sz w:val="24"/>
          <w:szCs w:val="24"/>
          <w:lang w:val="ro-RO"/>
        </w:rPr>
        <w:t xml:space="preserve"> </w:t>
      </w:r>
    </w:p>
    <w:p w:rsidR="00E61919" w:rsidRPr="00B14198" w:rsidRDefault="00E61919" w:rsidP="00E61919">
      <w:pPr>
        <w:tabs>
          <w:tab w:val="left" w:pos="2160"/>
          <w:tab w:val="left" w:leader="dot" w:pos="8640"/>
        </w:tabs>
        <w:ind w:right="-38" w:firstLine="720"/>
        <w:jc w:val="both"/>
        <w:rPr>
          <w:rFonts w:ascii="Arial" w:hAnsi="Arial" w:cs="Arial"/>
          <w:lang w:val="ro-RO"/>
        </w:rPr>
      </w:pPr>
      <w:r w:rsidRPr="00B14198">
        <w:rPr>
          <w:rFonts w:ascii="Arial" w:hAnsi="Arial" w:cs="Arial"/>
          <w:lang w:val="ro-RO"/>
        </w:rPr>
        <w:t>Fondul funciar reprezintă cea mai importantă resursă naturală a ţării şi cuprinde totalitatea terenurilor, indiferent de destinaţie, de titlul pe baza căruia sunt deţinute sau de domeniul public sau privat din care fac parte. Fondul funciar a fost reglementat prin Legea nr. 18/1991, cu modificările şi completările ulterioare.</w:t>
      </w:r>
    </w:p>
    <w:p w:rsidR="00E61919" w:rsidRPr="00B14198" w:rsidRDefault="00E61919" w:rsidP="00E61919">
      <w:pPr>
        <w:tabs>
          <w:tab w:val="left" w:pos="2160"/>
          <w:tab w:val="left" w:leader="dot" w:pos="8640"/>
        </w:tabs>
        <w:ind w:right="-38"/>
        <w:jc w:val="both"/>
        <w:rPr>
          <w:rFonts w:ascii="Arial" w:hAnsi="Arial" w:cs="Arial"/>
          <w:lang w:val="ro-RO"/>
        </w:rPr>
      </w:pPr>
      <w:r w:rsidRPr="00B14198">
        <w:rPr>
          <w:rFonts w:ascii="Arial" w:hAnsi="Arial" w:cs="Arial"/>
          <w:lang w:val="ro-RO"/>
        </w:rPr>
        <w:t>În funcţie de destinaţie, terenurile sunt :</w:t>
      </w:r>
    </w:p>
    <w:p w:rsidR="00E61919" w:rsidRPr="00B14198" w:rsidRDefault="00E61919" w:rsidP="005E6B2E">
      <w:pPr>
        <w:numPr>
          <w:ilvl w:val="0"/>
          <w:numId w:val="25"/>
        </w:numPr>
        <w:jc w:val="both"/>
        <w:rPr>
          <w:rFonts w:ascii="Arial" w:hAnsi="Arial" w:cs="Arial"/>
        </w:rPr>
      </w:pPr>
      <w:r w:rsidRPr="00B14198">
        <w:rPr>
          <w:rFonts w:ascii="Arial" w:hAnsi="Arial" w:cs="Arial"/>
        </w:rPr>
        <w:t>terenuri cu destinaţie agricolă ;</w:t>
      </w:r>
    </w:p>
    <w:p w:rsidR="00E61919" w:rsidRPr="00B14198" w:rsidRDefault="00E61919" w:rsidP="005E6B2E">
      <w:pPr>
        <w:numPr>
          <w:ilvl w:val="0"/>
          <w:numId w:val="25"/>
        </w:numPr>
        <w:jc w:val="both"/>
        <w:rPr>
          <w:rFonts w:ascii="Arial" w:hAnsi="Arial" w:cs="Arial"/>
        </w:rPr>
      </w:pPr>
      <w:r w:rsidRPr="00B14198">
        <w:rPr>
          <w:rFonts w:ascii="Arial" w:hAnsi="Arial" w:cs="Arial"/>
        </w:rPr>
        <w:t>terenuri cu destinaţie forestieră ;</w:t>
      </w:r>
    </w:p>
    <w:p w:rsidR="00E61919" w:rsidRPr="00B14198" w:rsidRDefault="00E61919" w:rsidP="005E6B2E">
      <w:pPr>
        <w:numPr>
          <w:ilvl w:val="0"/>
          <w:numId w:val="25"/>
        </w:numPr>
        <w:jc w:val="both"/>
        <w:rPr>
          <w:rFonts w:ascii="Arial" w:hAnsi="Arial" w:cs="Arial"/>
          <w:lang w:val="it-IT"/>
        </w:rPr>
      </w:pPr>
      <w:r w:rsidRPr="00B14198">
        <w:rPr>
          <w:rFonts w:ascii="Arial" w:hAnsi="Arial" w:cs="Arial"/>
          <w:lang w:val="it-IT"/>
        </w:rPr>
        <w:t>terenuri aflate permanent sub ape ;</w:t>
      </w:r>
    </w:p>
    <w:p w:rsidR="00E61919" w:rsidRPr="00B14198" w:rsidRDefault="00E61919" w:rsidP="005E6B2E">
      <w:pPr>
        <w:numPr>
          <w:ilvl w:val="0"/>
          <w:numId w:val="25"/>
        </w:numPr>
        <w:jc w:val="both"/>
        <w:rPr>
          <w:rFonts w:ascii="Arial" w:hAnsi="Arial" w:cs="Arial"/>
          <w:lang w:val="it-IT"/>
        </w:rPr>
      </w:pPr>
      <w:r w:rsidRPr="00B14198">
        <w:rPr>
          <w:rFonts w:ascii="Arial" w:hAnsi="Arial" w:cs="Arial"/>
          <w:lang w:val="it-IT"/>
        </w:rPr>
        <w:t>terenuri din intravilan, aferente localităţilor urbane şi rurale pe care sunt amplasate construcţiile, alte amenajări ale localităţilor, inclusiv terenurile agricole şi forestiere ;</w:t>
      </w:r>
    </w:p>
    <w:p w:rsidR="00E61919" w:rsidRPr="00B14198" w:rsidRDefault="00E61919" w:rsidP="005E6B2E">
      <w:pPr>
        <w:numPr>
          <w:ilvl w:val="0"/>
          <w:numId w:val="25"/>
        </w:numPr>
        <w:jc w:val="both"/>
        <w:rPr>
          <w:rFonts w:ascii="Arial" w:hAnsi="Arial" w:cs="Arial"/>
          <w:lang w:val="it-IT"/>
        </w:rPr>
      </w:pPr>
      <w:r w:rsidRPr="00B14198">
        <w:rPr>
          <w:rFonts w:ascii="Arial" w:hAnsi="Arial" w:cs="Arial"/>
          <w:lang w:val="it-IT"/>
        </w:rPr>
        <w:t>terenuri cu destinaţii speciale cum sunt cele folosite cele pentru transporturile rutiere, feroviare, navale şi aeriene, plajele, rezervaţiile, monumentele naturii, ansamblurile şi siturile arheologice şi istorice etc.</w:t>
      </w:r>
    </w:p>
    <w:p w:rsidR="00E61919" w:rsidRPr="00B14198" w:rsidRDefault="00E61919" w:rsidP="00E61919">
      <w:pPr>
        <w:tabs>
          <w:tab w:val="left" w:pos="2160"/>
          <w:tab w:val="left" w:leader="dot" w:pos="8640"/>
        </w:tabs>
        <w:ind w:right="-38" w:firstLine="720"/>
        <w:jc w:val="both"/>
        <w:rPr>
          <w:rFonts w:ascii="Arial" w:hAnsi="Arial" w:cs="Arial"/>
          <w:lang w:val="ro-RO"/>
        </w:rPr>
      </w:pPr>
      <w:r w:rsidRPr="00B14198">
        <w:rPr>
          <w:rFonts w:ascii="Arial" w:hAnsi="Arial" w:cs="Arial"/>
          <w:lang w:val="ro-RO"/>
        </w:rPr>
        <w:t>În categoria terenurilor cu destinaţie agricolă intră :</w:t>
      </w:r>
    </w:p>
    <w:p w:rsidR="00E61919" w:rsidRPr="00B14198" w:rsidRDefault="00E61919" w:rsidP="005E6B2E">
      <w:pPr>
        <w:numPr>
          <w:ilvl w:val="0"/>
          <w:numId w:val="25"/>
        </w:numPr>
        <w:jc w:val="both"/>
        <w:rPr>
          <w:rFonts w:ascii="Arial" w:hAnsi="Arial" w:cs="Arial"/>
          <w:lang w:val="ro-RO"/>
        </w:rPr>
      </w:pPr>
      <w:r w:rsidRPr="00B14198">
        <w:rPr>
          <w:rFonts w:ascii="Arial" w:hAnsi="Arial" w:cs="Arial"/>
          <w:lang w:val="ro-RO"/>
        </w:rPr>
        <w:lastRenderedPageBreak/>
        <w:t>terenurile agricole productive – terenurile arabile, viile livezile, pepinierele viticole, pomicole,  păşunile, fâneţele, serele, solariile, răsadniţele etc.</w:t>
      </w:r>
    </w:p>
    <w:p w:rsidR="00E61919" w:rsidRPr="00B14198" w:rsidRDefault="00E61919" w:rsidP="005E6B2E">
      <w:pPr>
        <w:numPr>
          <w:ilvl w:val="0"/>
          <w:numId w:val="25"/>
        </w:numPr>
        <w:jc w:val="both"/>
        <w:rPr>
          <w:rFonts w:ascii="Arial" w:hAnsi="Arial" w:cs="Arial"/>
          <w:lang w:val="ro-RO"/>
        </w:rPr>
      </w:pPr>
      <w:r w:rsidRPr="00B14198">
        <w:rPr>
          <w:rFonts w:ascii="Arial" w:hAnsi="Arial" w:cs="Arial"/>
          <w:lang w:val="ro-RO"/>
        </w:rPr>
        <w:t>terenurile cu vegetaţie forestieră dacă nu fac parte din amenajamentele silvice, păşunile împădurite;</w:t>
      </w:r>
    </w:p>
    <w:p w:rsidR="00E61919" w:rsidRPr="00B14198" w:rsidRDefault="00E61919" w:rsidP="005E6B2E">
      <w:pPr>
        <w:numPr>
          <w:ilvl w:val="0"/>
          <w:numId w:val="25"/>
        </w:numPr>
        <w:jc w:val="both"/>
        <w:rPr>
          <w:rFonts w:ascii="Arial" w:hAnsi="Arial" w:cs="Arial"/>
          <w:lang w:val="ro-RO"/>
        </w:rPr>
      </w:pPr>
      <w:r w:rsidRPr="00B14198">
        <w:rPr>
          <w:rFonts w:ascii="Arial" w:hAnsi="Arial" w:cs="Arial"/>
          <w:lang w:val="ro-RO"/>
        </w:rPr>
        <w:t>terenurile ocupate cu construcţii şi instalaţii agrozootehnice, amenajări piscicole şi de îmbunătăţiri funciare, drumuri tehnologice etc.</w:t>
      </w:r>
    </w:p>
    <w:p w:rsidR="00E61919" w:rsidRPr="00B14198" w:rsidRDefault="00E61919" w:rsidP="005E6B2E">
      <w:pPr>
        <w:numPr>
          <w:ilvl w:val="0"/>
          <w:numId w:val="25"/>
        </w:numPr>
        <w:jc w:val="both"/>
        <w:rPr>
          <w:rFonts w:ascii="Arial" w:hAnsi="Arial" w:cs="Arial"/>
          <w:lang w:val="ro-RO"/>
        </w:rPr>
      </w:pPr>
      <w:r w:rsidRPr="00B14198">
        <w:rPr>
          <w:rFonts w:ascii="Arial" w:hAnsi="Arial" w:cs="Arial"/>
          <w:lang w:val="ro-RO"/>
        </w:rPr>
        <w:t>terenuri neproductive care pot fi amenajate şi folosite pentru producţia agricolă.</w:t>
      </w:r>
    </w:p>
    <w:p w:rsidR="00E61919" w:rsidRPr="00B14198" w:rsidRDefault="00E61919" w:rsidP="00E61919">
      <w:pPr>
        <w:tabs>
          <w:tab w:val="left" w:pos="2160"/>
          <w:tab w:val="left" w:leader="dot" w:pos="8640"/>
        </w:tabs>
        <w:ind w:right="-38" w:firstLine="720"/>
        <w:jc w:val="both"/>
        <w:rPr>
          <w:rFonts w:ascii="Arial" w:hAnsi="Arial" w:cs="Arial"/>
          <w:lang w:val="ro-RO"/>
        </w:rPr>
      </w:pPr>
      <w:r w:rsidRPr="00B14198">
        <w:rPr>
          <w:rFonts w:ascii="Arial" w:hAnsi="Arial" w:cs="Arial"/>
          <w:lang w:val="ro-RO"/>
        </w:rPr>
        <w:t xml:space="preserve">Structura fondului funciar din judeţul Brăila (date furnizate de Direcţia pentru Agricultură Judeţeană Brăila): </w:t>
      </w:r>
    </w:p>
    <w:p w:rsidR="00E61919" w:rsidRDefault="00E61919" w:rsidP="00E61919">
      <w:pPr>
        <w:pStyle w:val="Heading1"/>
        <w:spacing w:before="0" w:after="0"/>
        <w:ind w:left="5896" w:firstLine="737"/>
        <w:jc w:val="both"/>
        <w:rPr>
          <w:color w:val="000000"/>
          <w:sz w:val="24"/>
          <w:szCs w:val="24"/>
        </w:rPr>
      </w:pPr>
      <w:r>
        <w:rPr>
          <w:color w:val="000000"/>
          <w:sz w:val="24"/>
          <w:szCs w:val="24"/>
        </w:rPr>
        <w:t>Tabelul IV.1.1-1</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599"/>
        <w:gridCol w:w="1903"/>
        <w:gridCol w:w="1404"/>
      </w:tblGrid>
      <w:tr w:rsidR="00E61919" w:rsidRPr="00CC1F72" w:rsidTr="00012F90">
        <w:trPr>
          <w:cantSplit/>
          <w:jc w:val="center"/>
        </w:trPr>
        <w:tc>
          <w:tcPr>
            <w:tcW w:w="3599" w:type="dxa"/>
            <w:vMerge w:val="restart"/>
            <w:tcBorders>
              <w:top w:val="single" w:sz="4" w:space="0" w:color="auto"/>
              <w:left w:val="single" w:sz="4" w:space="0" w:color="auto"/>
              <w:bottom w:val="single" w:sz="4" w:space="0" w:color="auto"/>
              <w:right w:val="single" w:sz="4" w:space="0" w:color="auto"/>
            </w:tcBorders>
            <w:shd w:val="clear" w:color="auto" w:fill="D9D9D9"/>
            <w:hideMark/>
          </w:tcPr>
          <w:p w:rsidR="00E61919" w:rsidRPr="00CC1F72" w:rsidRDefault="00E61919" w:rsidP="00012F90">
            <w:pPr>
              <w:jc w:val="center"/>
              <w:rPr>
                <w:rFonts w:ascii="Arial" w:hAnsi="Arial" w:cs="Arial"/>
                <w:b/>
              </w:rPr>
            </w:pPr>
            <w:r w:rsidRPr="00CC1F72">
              <w:rPr>
                <w:rFonts w:ascii="Arial" w:hAnsi="Arial" w:cs="Arial"/>
                <w:b/>
              </w:rPr>
              <w:t>Tipuri de folosinţă</w:t>
            </w:r>
          </w:p>
        </w:tc>
        <w:tc>
          <w:tcPr>
            <w:tcW w:w="3307"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61919" w:rsidRPr="00CC1F72" w:rsidRDefault="00E61919" w:rsidP="00012F90">
            <w:pPr>
              <w:jc w:val="center"/>
              <w:rPr>
                <w:rFonts w:ascii="Arial" w:hAnsi="Arial" w:cs="Arial"/>
                <w:b/>
              </w:rPr>
            </w:pPr>
            <w:r w:rsidRPr="00CC1F72">
              <w:rPr>
                <w:rFonts w:ascii="Arial" w:hAnsi="Arial" w:cs="Arial"/>
                <w:b/>
              </w:rPr>
              <w:t>Suprafaţa</w:t>
            </w:r>
          </w:p>
        </w:tc>
      </w:tr>
      <w:tr w:rsidR="00E61919" w:rsidRPr="00CC1F72" w:rsidTr="00012F90">
        <w:trPr>
          <w:cantSplit/>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919" w:rsidRPr="00CC1F72" w:rsidRDefault="00E61919" w:rsidP="00012F90">
            <w:pPr>
              <w:rPr>
                <w:rFonts w:ascii="Arial" w:hAnsi="Arial" w:cs="Arial"/>
                <w:b/>
              </w:rPr>
            </w:pPr>
          </w:p>
        </w:tc>
        <w:tc>
          <w:tcPr>
            <w:tcW w:w="1903" w:type="dxa"/>
            <w:tcBorders>
              <w:top w:val="single" w:sz="4" w:space="0" w:color="auto"/>
              <w:left w:val="single" w:sz="4" w:space="0" w:color="auto"/>
              <w:bottom w:val="single" w:sz="4" w:space="0" w:color="auto"/>
              <w:right w:val="single" w:sz="4" w:space="0" w:color="auto"/>
            </w:tcBorders>
            <w:shd w:val="clear" w:color="auto" w:fill="D9D9D9"/>
            <w:hideMark/>
          </w:tcPr>
          <w:p w:rsidR="00E61919" w:rsidRPr="00CC1F72" w:rsidRDefault="00E61919" w:rsidP="00012F90">
            <w:pPr>
              <w:jc w:val="center"/>
              <w:rPr>
                <w:rFonts w:ascii="Arial" w:hAnsi="Arial" w:cs="Arial"/>
                <w:b/>
              </w:rPr>
            </w:pPr>
            <w:r w:rsidRPr="00CC1F72">
              <w:rPr>
                <w:rFonts w:ascii="Arial" w:hAnsi="Arial" w:cs="Arial"/>
                <w:b/>
              </w:rPr>
              <w:t>ha</w:t>
            </w:r>
          </w:p>
        </w:tc>
        <w:tc>
          <w:tcPr>
            <w:tcW w:w="1404" w:type="dxa"/>
            <w:tcBorders>
              <w:top w:val="single" w:sz="4" w:space="0" w:color="auto"/>
              <w:left w:val="single" w:sz="4" w:space="0" w:color="auto"/>
              <w:bottom w:val="single" w:sz="4" w:space="0" w:color="auto"/>
              <w:right w:val="single" w:sz="4" w:space="0" w:color="auto"/>
            </w:tcBorders>
            <w:shd w:val="clear" w:color="auto" w:fill="D9D9D9"/>
            <w:hideMark/>
          </w:tcPr>
          <w:p w:rsidR="00E61919" w:rsidRPr="00CC1F72" w:rsidRDefault="00E61919" w:rsidP="00012F90">
            <w:pPr>
              <w:jc w:val="center"/>
              <w:rPr>
                <w:rFonts w:ascii="Arial" w:hAnsi="Arial" w:cs="Arial"/>
                <w:b/>
              </w:rPr>
            </w:pPr>
            <w:r w:rsidRPr="00CC1F72">
              <w:rPr>
                <w:rFonts w:ascii="Arial" w:hAnsi="Arial" w:cs="Arial"/>
                <w:b/>
              </w:rPr>
              <w:t>%</w:t>
            </w:r>
          </w:p>
        </w:tc>
      </w:tr>
      <w:tr w:rsidR="00E61919" w:rsidRPr="00CC1F72" w:rsidTr="00012F90">
        <w:trPr>
          <w:trHeight w:val="709"/>
          <w:jc w:val="center"/>
        </w:trPr>
        <w:tc>
          <w:tcPr>
            <w:tcW w:w="3599" w:type="dxa"/>
            <w:tcBorders>
              <w:top w:val="single" w:sz="4" w:space="0" w:color="auto"/>
              <w:left w:val="single" w:sz="4" w:space="0" w:color="auto"/>
              <w:bottom w:val="single" w:sz="4" w:space="0" w:color="auto"/>
              <w:right w:val="single" w:sz="4" w:space="0" w:color="auto"/>
            </w:tcBorders>
            <w:shd w:val="clear" w:color="auto" w:fill="FBF3F3"/>
          </w:tcPr>
          <w:p w:rsidR="00E61919" w:rsidRDefault="00E61919" w:rsidP="00012F90">
            <w:pPr>
              <w:rPr>
                <w:rFonts w:ascii="Arial" w:hAnsi="Arial" w:cs="Arial"/>
              </w:rPr>
            </w:pPr>
            <w:r>
              <w:rPr>
                <w:rFonts w:ascii="Arial" w:hAnsi="Arial" w:cs="Arial"/>
              </w:rPr>
              <w:t>Terenuri a</w:t>
            </w:r>
            <w:r w:rsidRPr="00CC1F72">
              <w:rPr>
                <w:rFonts w:ascii="Arial" w:hAnsi="Arial" w:cs="Arial"/>
              </w:rPr>
              <w:t>gricol</w:t>
            </w:r>
            <w:r>
              <w:rPr>
                <w:rFonts w:ascii="Arial" w:hAnsi="Arial" w:cs="Arial"/>
              </w:rPr>
              <w:t>, din care:</w:t>
            </w:r>
            <w:r w:rsidRPr="00CC1F72">
              <w:rPr>
                <w:rFonts w:ascii="Arial" w:hAnsi="Arial" w:cs="Arial"/>
              </w:rPr>
              <w:t xml:space="preserve"> </w:t>
            </w:r>
          </w:p>
          <w:p w:rsidR="00E61919" w:rsidRDefault="00E61919" w:rsidP="00012F90">
            <w:pPr>
              <w:ind w:left="360"/>
              <w:rPr>
                <w:rFonts w:ascii="Arial" w:hAnsi="Arial" w:cs="Arial"/>
              </w:rPr>
            </w:pPr>
          </w:p>
          <w:p w:rsidR="00E61919" w:rsidRPr="008B2FC0" w:rsidRDefault="00E61919" w:rsidP="00012F90">
            <w:pPr>
              <w:ind w:left="360"/>
              <w:rPr>
                <w:rFonts w:ascii="Arial" w:hAnsi="Arial" w:cs="Arial"/>
                <w:i/>
              </w:rPr>
            </w:pPr>
            <w:r w:rsidRPr="00FB32F9">
              <w:rPr>
                <w:rFonts w:ascii="Arial" w:hAnsi="Arial" w:cs="Arial"/>
                <w:i/>
              </w:rPr>
              <w:t>Teren</w:t>
            </w:r>
            <w:r>
              <w:rPr>
                <w:rFonts w:ascii="Arial" w:hAnsi="Arial" w:cs="Arial"/>
              </w:rPr>
              <w:t xml:space="preserve"> a</w:t>
            </w:r>
            <w:r w:rsidRPr="008B2FC0">
              <w:rPr>
                <w:rFonts w:ascii="Arial" w:hAnsi="Arial" w:cs="Arial"/>
                <w:i/>
              </w:rPr>
              <w:t>rabil</w:t>
            </w:r>
          </w:p>
          <w:p w:rsidR="00E61919" w:rsidRDefault="00E61919" w:rsidP="00012F90">
            <w:pPr>
              <w:rPr>
                <w:rFonts w:ascii="Arial" w:hAnsi="Arial" w:cs="Arial"/>
              </w:rPr>
            </w:pPr>
          </w:p>
          <w:p w:rsidR="00E61919" w:rsidRPr="00CC1F72" w:rsidRDefault="00E61919" w:rsidP="00012F90">
            <w:pPr>
              <w:rPr>
                <w:rFonts w:ascii="Arial" w:hAnsi="Arial" w:cs="Arial"/>
              </w:rPr>
            </w:pPr>
            <w:r>
              <w:rPr>
                <w:rFonts w:ascii="Arial" w:hAnsi="Arial" w:cs="Arial"/>
              </w:rPr>
              <w:t>Terenuri n</w:t>
            </w:r>
            <w:r w:rsidRPr="00CC1F72">
              <w:rPr>
                <w:rFonts w:ascii="Arial" w:hAnsi="Arial" w:cs="Arial"/>
              </w:rPr>
              <w:t>eagricol</w:t>
            </w:r>
            <w:r>
              <w:rPr>
                <w:rFonts w:ascii="Arial" w:hAnsi="Arial" w:cs="Arial"/>
              </w:rPr>
              <w:t>, din care:</w:t>
            </w:r>
          </w:p>
          <w:p w:rsidR="00E61919" w:rsidRDefault="00E61919" w:rsidP="00012F90">
            <w:pPr>
              <w:tabs>
                <w:tab w:val="num" w:pos="1092"/>
              </w:tabs>
              <w:ind w:left="360"/>
              <w:rPr>
                <w:rFonts w:ascii="Arial" w:hAnsi="Arial" w:cs="Arial"/>
              </w:rPr>
            </w:pPr>
          </w:p>
          <w:p w:rsidR="00E61919" w:rsidRPr="00FB32F9" w:rsidRDefault="00E61919" w:rsidP="00012F90">
            <w:pPr>
              <w:tabs>
                <w:tab w:val="num" w:pos="1092"/>
              </w:tabs>
              <w:ind w:left="360"/>
              <w:rPr>
                <w:rFonts w:ascii="Arial" w:hAnsi="Arial" w:cs="Arial"/>
                <w:i/>
              </w:rPr>
            </w:pPr>
            <w:r w:rsidRPr="00FB32F9">
              <w:rPr>
                <w:rFonts w:ascii="Arial" w:hAnsi="Arial" w:cs="Arial"/>
                <w:i/>
              </w:rPr>
              <w:t>Păduri</w:t>
            </w:r>
          </w:p>
          <w:p w:rsidR="00E61919" w:rsidRPr="00FB32F9" w:rsidRDefault="00E61919" w:rsidP="00012F90">
            <w:pPr>
              <w:tabs>
                <w:tab w:val="num" w:pos="1092"/>
              </w:tabs>
              <w:ind w:left="360"/>
              <w:rPr>
                <w:rFonts w:ascii="Arial" w:hAnsi="Arial" w:cs="Arial"/>
                <w:i/>
              </w:rPr>
            </w:pPr>
            <w:r w:rsidRPr="00FB32F9">
              <w:rPr>
                <w:rFonts w:ascii="Arial" w:hAnsi="Arial" w:cs="Arial"/>
                <w:i/>
              </w:rPr>
              <w:t>Ape</w:t>
            </w:r>
          </w:p>
          <w:p w:rsidR="00E61919" w:rsidRPr="00FB32F9" w:rsidRDefault="00E61919" w:rsidP="00012F90">
            <w:pPr>
              <w:tabs>
                <w:tab w:val="num" w:pos="1092"/>
              </w:tabs>
              <w:ind w:left="360"/>
              <w:rPr>
                <w:rFonts w:ascii="Arial" w:hAnsi="Arial" w:cs="Arial"/>
                <w:i/>
              </w:rPr>
            </w:pPr>
            <w:r w:rsidRPr="00FB32F9">
              <w:rPr>
                <w:rFonts w:ascii="Arial" w:hAnsi="Arial" w:cs="Arial"/>
                <w:i/>
              </w:rPr>
              <w:t>Drumuri şi căi ferate</w:t>
            </w:r>
          </w:p>
          <w:p w:rsidR="00E61919" w:rsidRPr="00FB32F9" w:rsidRDefault="00E61919" w:rsidP="00012F90">
            <w:pPr>
              <w:tabs>
                <w:tab w:val="left" w:pos="652"/>
                <w:tab w:val="left" w:pos="1078"/>
              </w:tabs>
              <w:ind w:left="360"/>
              <w:rPr>
                <w:rFonts w:ascii="Arial" w:hAnsi="Arial" w:cs="Arial"/>
                <w:i/>
              </w:rPr>
            </w:pPr>
            <w:r w:rsidRPr="00FB32F9">
              <w:rPr>
                <w:rFonts w:ascii="Arial" w:hAnsi="Arial" w:cs="Arial"/>
                <w:i/>
              </w:rPr>
              <w:t>Curţi şi construcţii</w:t>
            </w:r>
          </w:p>
          <w:p w:rsidR="00E61919" w:rsidRPr="00CC1F72" w:rsidRDefault="00E61919" w:rsidP="00012F90">
            <w:pPr>
              <w:tabs>
                <w:tab w:val="left" w:pos="652"/>
                <w:tab w:val="left" w:pos="1078"/>
              </w:tabs>
              <w:ind w:left="360"/>
              <w:rPr>
                <w:rFonts w:ascii="Arial" w:hAnsi="Arial" w:cs="Arial"/>
              </w:rPr>
            </w:pPr>
            <w:r w:rsidRPr="00FB32F9">
              <w:rPr>
                <w:rFonts w:ascii="Arial" w:hAnsi="Arial" w:cs="Arial"/>
                <w:i/>
              </w:rPr>
              <w:t>Neproductive</w:t>
            </w:r>
          </w:p>
          <w:p w:rsidR="00E61919" w:rsidRPr="00CC1F72" w:rsidRDefault="00E61919" w:rsidP="00012F90">
            <w:pPr>
              <w:jc w:val="center"/>
              <w:rPr>
                <w:rFonts w:ascii="Arial" w:hAnsi="Arial" w:cs="Arial"/>
              </w:rPr>
            </w:pPr>
          </w:p>
          <w:p w:rsidR="00E61919" w:rsidRPr="00CC1F72" w:rsidRDefault="00E61919" w:rsidP="00012F90">
            <w:pPr>
              <w:rPr>
                <w:rFonts w:ascii="Arial" w:hAnsi="Arial" w:cs="Arial"/>
              </w:rPr>
            </w:pPr>
            <w:r w:rsidRPr="00CC1F72">
              <w:rPr>
                <w:rFonts w:ascii="Arial" w:hAnsi="Arial" w:cs="Arial"/>
              </w:rPr>
              <w:t>Total</w:t>
            </w:r>
          </w:p>
        </w:tc>
        <w:tc>
          <w:tcPr>
            <w:tcW w:w="1903" w:type="dxa"/>
            <w:tcBorders>
              <w:top w:val="single" w:sz="4" w:space="0" w:color="auto"/>
              <w:left w:val="single" w:sz="4" w:space="0" w:color="auto"/>
              <w:bottom w:val="single" w:sz="4" w:space="0" w:color="auto"/>
              <w:right w:val="single" w:sz="4" w:space="0" w:color="auto"/>
            </w:tcBorders>
            <w:shd w:val="clear" w:color="auto" w:fill="FBF3F3"/>
            <w:vAlign w:val="center"/>
            <w:hideMark/>
          </w:tcPr>
          <w:p w:rsidR="00E61919" w:rsidRPr="00CC1F72" w:rsidRDefault="00E61919" w:rsidP="00012F90">
            <w:pPr>
              <w:jc w:val="right"/>
              <w:rPr>
                <w:rFonts w:ascii="Arial" w:hAnsi="Arial" w:cs="Arial"/>
              </w:rPr>
            </w:pPr>
            <w:r w:rsidRPr="00CC1F72">
              <w:rPr>
                <w:rFonts w:ascii="Arial" w:hAnsi="Arial" w:cs="Arial"/>
              </w:rPr>
              <w:t>387.</w:t>
            </w:r>
            <w:r>
              <w:rPr>
                <w:rFonts w:ascii="Arial" w:hAnsi="Arial" w:cs="Arial"/>
              </w:rPr>
              <w:t>750</w:t>
            </w:r>
          </w:p>
          <w:p w:rsidR="00E61919" w:rsidRDefault="00E61919" w:rsidP="00012F90">
            <w:pPr>
              <w:rPr>
                <w:rFonts w:ascii="Arial" w:hAnsi="Arial" w:cs="Arial"/>
              </w:rPr>
            </w:pPr>
          </w:p>
          <w:p w:rsidR="00E61919" w:rsidRPr="008B2FC0" w:rsidRDefault="00E61919" w:rsidP="00012F90">
            <w:pPr>
              <w:rPr>
                <w:rFonts w:ascii="Arial" w:hAnsi="Arial" w:cs="Arial"/>
                <w:i/>
              </w:rPr>
            </w:pPr>
            <w:r>
              <w:rPr>
                <w:rFonts w:ascii="Arial" w:hAnsi="Arial" w:cs="Arial"/>
              </w:rPr>
              <w:t xml:space="preserve"> </w:t>
            </w:r>
            <w:r w:rsidRPr="008B2FC0">
              <w:rPr>
                <w:rFonts w:ascii="Arial" w:hAnsi="Arial" w:cs="Arial"/>
                <w:i/>
              </w:rPr>
              <w:t xml:space="preserve">351.420   </w:t>
            </w:r>
          </w:p>
          <w:p w:rsidR="00E61919" w:rsidRDefault="00E61919" w:rsidP="00012F90">
            <w:pPr>
              <w:jc w:val="right"/>
              <w:rPr>
                <w:rFonts w:ascii="Arial" w:hAnsi="Arial" w:cs="Arial"/>
              </w:rPr>
            </w:pPr>
            <w:r w:rsidRPr="00CC1F72">
              <w:rPr>
                <w:rFonts w:ascii="Arial" w:hAnsi="Arial" w:cs="Arial"/>
              </w:rPr>
              <w:t xml:space="preserve">  </w:t>
            </w:r>
          </w:p>
          <w:p w:rsidR="00E61919" w:rsidRPr="00CC1F72" w:rsidRDefault="00E61919" w:rsidP="00012F90">
            <w:pPr>
              <w:jc w:val="right"/>
              <w:rPr>
                <w:rFonts w:ascii="Arial" w:hAnsi="Arial" w:cs="Arial"/>
              </w:rPr>
            </w:pPr>
            <w:r w:rsidRPr="00CC1F72">
              <w:rPr>
                <w:rFonts w:ascii="Arial" w:hAnsi="Arial" w:cs="Arial"/>
              </w:rPr>
              <w:t xml:space="preserve"> 88.</w:t>
            </w:r>
            <w:r>
              <w:rPr>
                <w:rFonts w:ascii="Arial" w:hAnsi="Arial" w:cs="Arial"/>
              </w:rPr>
              <w:t>826</w:t>
            </w:r>
          </w:p>
          <w:p w:rsidR="00E61919" w:rsidRDefault="00E61919" w:rsidP="00012F90">
            <w:pPr>
              <w:rPr>
                <w:rFonts w:ascii="Arial" w:hAnsi="Arial" w:cs="Arial"/>
              </w:rPr>
            </w:pPr>
            <w:r w:rsidRPr="00CC1F72">
              <w:rPr>
                <w:rFonts w:ascii="Arial" w:hAnsi="Arial" w:cs="Arial"/>
              </w:rPr>
              <w:t xml:space="preserve"> </w:t>
            </w:r>
          </w:p>
          <w:p w:rsidR="00E61919" w:rsidRPr="00FB32F9" w:rsidRDefault="00E61919" w:rsidP="00012F90">
            <w:pPr>
              <w:rPr>
                <w:rFonts w:ascii="Arial" w:hAnsi="Arial" w:cs="Arial"/>
                <w:i/>
              </w:rPr>
            </w:pPr>
            <w:r w:rsidRPr="00FB32F9">
              <w:rPr>
                <w:rFonts w:ascii="Arial" w:hAnsi="Arial" w:cs="Arial"/>
                <w:i/>
              </w:rPr>
              <w:t>28687</w:t>
            </w:r>
          </w:p>
          <w:p w:rsidR="00E61919" w:rsidRPr="00FB32F9" w:rsidRDefault="00E61919" w:rsidP="00012F90">
            <w:pPr>
              <w:rPr>
                <w:rFonts w:ascii="Arial" w:hAnsi="Arial" w:cs="Arial"/>
                <w:i/>
              </w:rPr>
            </w:pPr>
            <w:r w:rsidRPr="00FB32F9">
              <w:rPr>
                <w:rFonts w:ascii="Arial" w:hAnsi="Arial" w:cs="Arial"/>
                <w:i/>
              </w:rPr>
              <w:t>30331</w:t>
            </w:r>
          </w:p>
          <w:p w:rsidR="00E61919" w:rsidRPr="00FB32F9" w:rsidRDefault="00E61919" w:rsidP="00012F90">
            <w:pPr>
              <w:rPr>
                <w:rFonts w:ascii="Arial" w:hAnsi="Arial" w:cs="Arial"/>
                <w:i/>
              </w:rPr>
            </w:pPr>
            <w:r w:rsidRPr="00FB32F9">
              <w:rPr>
                <w:rFonts w:ascii="Arial" w:hAnsi="Arial" w:cs="Arial"/>
                <w:i/>
              </w:rPr>
              <w:t xml:space="preserve">  8586</w:t>
            </w:r>
          </w:p>
          <w:p w:rsidR="00E61919" w:rsidRPr="00FB32F9" w:rsidRDefault="00E61919" w:rsidP="00012F90">
            <w:pPr>
              <w:rPr>
                <w:rFonts w:ascii="Arial" w:hAnsi="Arial" w:cs="Arial"/>
                <w:i/>
              </w:rPr>
            </w:pPr>
            <w:r w:rsidRPr="00FB32F9">
              <w:rPr>
                <w:rFonts w:ascii="Arial" w:hAnsi="Arial" w:cs="Arial"/>
                <w:i/>
              </w:rPr>
              <w:t>13294</w:t>
            </w:r>
          </w:p>
          <w:p w:rsidR="00E61919" w:rsidRPr="00CC1F72" w:rsidRDefault="00E61919" w:rsidP="00012F90">
            <w:pPr>
              <w:rPr>
                <w:rFonts w:ascii="Arial" w:hAnsi="Arial" w:cs="Arial"/>
              </w:rPr>
            </w:pPr>
            <w:r w:rsidRPr="00FB32F9">
              <w:rPr>
                <w:rFonts w:ascii="Arial" w:hAnsi="Arial" w:cs="Arial"/>
                <w:i/>
              </w:rPr>
              <w:t xml:space="preserve">  7928</w:t>
            </w:r>
          </w:p>
          <w:p w:rsidR="00E61919" w:rsidRPr="00CC1F72" w:rsidRDefault="00E61919" w:rsidP="00012F90">
            <w:pPr>
              <w:jc w:val="right"/>
              <w:rPr>
                <w:rFonts w:ascii="Arial" w:hAnsi="Arial" w:cs="Arial"/>
              </w:rPr>
            </w:pPr>
            <w:r w:rsidRPr="00CC1F72">
              <w:rPr>
                <w:rFonts w:ascii="Arial" w:hAnsi="Arial" w:cs="Arial"/>
              </w:rPr>
              <w:t xml:space="preserve">  </w:t>
            </w:r>
          </w:p>
          <w:p w:rsidR="00E61919" w:rsidRPr="00CC1F72" w:rsidRDefault="00E61919" w:rsidP="00012F90">
            <w:pPr>
              <w:jc w:val="right"/>
              <w:rPr>
                <w:rFonts w:ascii="Arial" w:hAnsi="Arial" w:cs="Arial"/>
              </w:rPr>
            </w:pPr>
            <w:r w:rsidRPr="00CC1F72">
              <w:rPr>
                <w:rFonts w:ascii="Arial" w:hAnsi="Arial" w:cs="Arial"/>
              </w:rPr>
              <w:t>476576</w:t>
            </w:r>
          </w:p>
        </w:tc>
        <w:tc>
          <w:tcPr>
            <w:tcW w:w="1404" w:type="dxa"/>
            <w:tcBorders>
              <w:top w:val="single" w:sz="4" w:space="0" w:color="auto"/>
              <w:left w:val="single" w:sz="4" w:space="0" w:color="auto"/>
              <w:bottom w:val="single" w:sz="4" w:space="0" w:color="auto"/>
              <w:right w:val="single" w:sz="4" w:space="0" w:color="auto"/>
            </w:tcBorders>
            <w:shd w:val="clear" w:color="auto" w:fill="FBF3F3"/>
            <w:hideMark/>
          </w:tcPr>
          <w:p w:rsidR="00E61919" w:rsidRPr="00CC1F72" w:rsidRDefault="00E61919" w:rsidP="00012F90">
            <w:pPr>
              <w:jc w:val="right"/>
              <w:rPr>
                <w:rFonts w:ascii="Arial" w:hAnsi="Arial" w:cs="Arial"/>
              </w:rPr>
            </w:pPr>
            <w:r>
              <w:rPr>
                <w:rFonts w:ascii="Arial" w:hAnsi="Arial" w:cs="Arial"/>
              </w:rPr>
              <w:t>81,36</w:t>
            </w:r>
          </w:p>
          <w:p w:rsidR="00E61919" w:rsidRDefault="00E61919" w:rsidP="00012F90">
            <w:pPr>
              <w:jc w:val="right"/>
              <w:rPr>
                <w:rFonts w:ascii="Arial" w:hAnsi="Arial" w:cs="Arial"/>
              </w:rPr>
            </w:pPr>
            <w:r w:rsidRPr="00CC1F72">
              <w:rPr>
                <w:rFonts w:ascii="Arial" w:hAnsi="Arial" w:cs="Arial"/>
              </w:rPr>
              <w:t xml:space="preserve">      </w:t>
            </w:r>
          </w:p>
          <w:p w:rsidR="00E61919" w:rsidRPr="008B2FC0" w:rsidRDefault="00E61919" w:rsidP="00012F90">
            <w:pPr>
              <w:rPr>
                <w:rFonts w:ascii="Arial" w:hAnsi="Arial" w:cs="Arial"/>
                <w:i/>
              </w:rPr>
            </w:pPr>
            <w:r w:rsidRPr="00CC1F72">
              <w:rPr>
                <w:rFonts w:ascii="Arial" w:hAnsi="Arial" w:cs="Arial"/>
              </w:rPr>
              <w:t xml:space="preserve"> </w:t>
            </w:r>
            <w:r w:rsidRPr="008B2FC0">
              <w:rPr>
                <w:rFonts w:ascii="Arial" w:hAnsi="Arial" w:cs="Arial"/>
                <w:i/>
              </w:rPr>
              <w:t>73,62</w:t>
            </w:r>
          </w:p>
          <w:p w:rsidR="00E61919" w:rsidRDefault="00E61919" w:rsidP="00012F90">
            <w:pPr>
              <w:jc w:val="right"/>
              <w:rPr>
                <w:rFonts w:ascii="Arial" w:hAnsi="Arial" w:cs="Arial"/>
              </w:rPr>
            </w:pPr>
          </w:p>
          <w:p w:rsidR="00E61919" w:rsidRPr="00CC1F72" w:rsidRDefault="00E61919" w:rsidP="00012F90">
            <w:pPr>
              <w:jc w:val="right"/>
              <w:rPr>
                <w:rFonts w:ascii="Arial" w:hAnsi="Arial" w:cs="Arial"/>
              </w:rPr>
            </w:pPr>
            <w:r>
              <w:rPr>
                <w:rFonts w:ascii="Arial" w:hAnsi="Arial" w:cs="Arial"/>
              </w:rPr>
              <w:t>18,64</w:t>
            </w:r>
          </w:p>
          <w:p w:rsidR="00E61919" w:rsidRDefault="00E61919" w:rsidP="00012F90">
            <w:pPr>
              <w:rPr>
                <w:rFonts w:ascii="Arial" w:hAnsi="Arial" w:cs="Arial"/>
              </w:rPr>
            </w:pPr>
          </w:p>
          <w:p w:rsidR="00E61919" w:rsidRPr="00FB32F9" w:rsidRDefault="00E61919" w:rsidP="00012F90">
            <w:pPr>
              <w:rPr>
                <w:rFonts w:ascii="Arial" w:hAnsi="Arial" w:cs="Arial"/>
                <w:i/>
              </w:rPr>
            </w:pPr>
            <w:r w:rsidRPr="00FB32F9">
              <w:rPr>
                <w:rFonts w:ascii="Arial" w:hAnsi="Arial" w:cs="Arial"/>
                <w:i/>
              </w:rPr>
              <w:t>6,02</w:t>
            </w:r>
          </w:p>
          <w:p w:rsidR="00E61919" w:rsidRPr="00FB32F9" w:rsidRDefault="00E61919" w:rsidP="00012F90">
            <w:pPr>
              <w:rPr>
                <w:rFonts w:ascii="Arial" w:hAnsi="Arial" w:cs="Arial"/>
                <w:i/>
              </w:rPr>
            </w:pPr>
            <w:r w:rsidRPr="00FB32F9">
              <w:rPr>
                <w:rFonts w:ascii="Arial" w:hAnsi="Arial" w:cs="Arial"/>
                <w:i/>
              </w:rPr>
              <w:t>6,37</w:t>
            </w:r>
          </w:p>
          <w:p w:rsidR="00E61919" w:rsidRPr="00FB32F9" w:rsidRDefault="00E61919" w:rsidP="00012F90">
            <w:pPr>
              <w:rPr>
                <w:rFonts w:ascii="Arial" w:hAnsi="Arial" w:cs="Arial"/>
                <w:i/>
              </w:rPr>
            </w:pPr>
            <w:r w:rsidRPr="00FB32F9">
              <w:rPr>
                <w:rFonts w:ascii="Arial" w:hAnsi="Arial" w:cs="Arial"/>
                <w:i/>
              </w:rPr>
              <w:t>1,80</w:t>
            </w:r>
          </w:p>
          <w:p w:rsidR="00E61919" w:rsidRPr="00FB32F9" w:rsidRDefault="00E61919" w:rsidP="00012F90">
            <w:pPr>
              <w:rPr>
                <w:rFonts w:ascii="Arial" w:hAnsi="Arial" w:cs="Arial"/>
                <w:i/>
              </w:rPr>
            </w:pPr>
            <w:r w:rsidRPr="00FB32F9">
              <w:rPr>
                <w:rFonts w:ascii="Arial" w:hAnsi="Arial" w:cs="Arial"/>
                <w:i/>
              </w:rPr>
              <w:t>2,79</w:t>
            </w:r>
          </w:p>
          <w:p w:rsidR="00E61919" w:rsidRPr="00FB32F9" w:rsidRDefault="00E61919" w:rsidP="00012F90">
            <w:pPr>
              <w:rPr>
                <w:rFonts w:ascii="Arial" w:hAnsi="Arial" w:cs="Arial"/>
                <w:i/>
              </w:rPr>
            </w:pPr>
            <w:r w:rsidRPr="00FB32F9">
              <w:rPr>
                <w:rFonts w:ascii="Arial" w:hAnsi="Arial" w:cs="Arial"/>
                <w:i/>
              </w:rPr>
              <w:t>1,66</w:t>
            </w:r>
          </w:p>
          <w:p w:rsidR="00E61919" w:rsidRPr="00CC1F72" w:rsidRDefault="00E61919" w:rsidP="00012F90">
            <w:pPr>
              <w:jc w:val="right"/>
              <w:rPr>
                <w:rFonts w:ascii="Arial" w:hAnsi="Arial" w:cs="Arial"/>
              </w:rPr>
            </w:pPr>
            <w:r w:rsidRPr="00CC1F72">
              <w:rPr>
                <w:rFonts w:ascii="Arial" w:hAnsi="Arial" w:cs="Arial"/>
              </w:rPr>
              <w:t xml:space="preserve">   </w:t>
            </w:r>
          </w:p>
          <w:p w:rsidR="00E61919" w:rsidRPr="00CC1F72" w:rsidRDefault="00E61919" w:rsidP="00012F90">
            <w:pPr>
              <w:jc w:val="right"/>
              <w:rPr>
                <w:rFonts w:ascii="Arial" w:hAnsi="Arial" w:cs="Arial"/>
              </w:rPr>
            </w:pPr>
            <w:r w:rsidRPr="00CC1F72">
              <w:rPr>
                <w:rFonts w:ascii="Arial" w:hAnsi="Arial" w:cs="Arial"/>
              </w:rPr>
              <w:t>100,00</w:t>
            </w:r>
          </w:p>
        </w:tc>
      </w:tr>
    </w:tbl>
    <w:p w:rsidR="00E61919" w:rsidRDefault="00E61919" w:rsidP="00E61919">
      <w:pPr>
        <w:tabs>
          <w:tab w:val="left" w:pos="2160"/>
          <w:tab w:val="left" w:leader="dot" w:pos="8640"/>
        </w:tabs>
        <w:ind w:right="-38" w:firstLine="720"/>
        <w:jc w:val="both"/>
        <w:rPr>
          <w:rFonts w:ascii="Arial" w:hAnsi="Arial" w:cs="Arial"/>
          <w:color w:val="00B050"/>
          <w:lang w:val="ro-RO"/>
        </w:rPr>
      </w:pPr>
    </w:p>
    <w:p w:rsidR="00E61919" w:rsidRDefault="00E61919" w:rsidP="00E61919">
      <w:pPr>
        <w:tabs>
          <w:tab w:val="left" w:pos="2160"/>
          <w:tab w:val="left" w:leader="dot" w:pos="8640"/>
        </w:tabs>
        <w:ind w:right="-38" w:firstLine="720"/>
        <w:jc w:val="both"/>
        <w:rPr>
          <w:rFonts w:ascii="Arial" w:hAnsi="Arial" w:cs="Arial"/>
          <w:lang w:val="ro-RO"/>
        </w:rPr>
      </w:pPr>
      <w:r w:rsidRPr="00CC1F72">
        <w:rPr>
          <w:rFonts w:ascii="Arial" w:hAnsi="Arial" w:cs="Arial"/>
          <w:lang w:val="ro-RO"/>
        </w:rPr>
        <w:t xml:space="preserve">Ponderea principală a terenurilor din judeţul Brăila o </w:t>
      </w:r>
      <w:r>
        <w:rPr>
          <w:rFonts w:ascii="Arial" w:hAnsi="Arial" w:cs="Arial"/>
          <w:lang w:val="ro-RO"/>
        </w:rPr>
        <w:t>deţin terenurile agricole (81,36</w:t>
      </w:r>
      <w:r w:rsidRPr="00CC1F72">
        <w:rPr>
          <w:rFonts w:ascii="Arial" w:hAnsi="Arial" w:cs="Arial"/>
          <w:lang w:val="ro-RO"/>
        </w:rPr>
        <w:t xml:space="preserve">%), urmate de </w:t>
      </w:r>
      <w:r>
        <w:rPr>
          <w:rFonts w:ascii="Arial" w:hAnsi="Arial" w:cs="Arial"/>
          <w:lang w:val="ro-RO"/>
        </w:rPr>
        <w:t xml:space="preserve">ape (6,37%) și </w:t>
      </w:r>
      <w:r w:rsidRPr="00CC1F72">
        <w:rPr>
          <w:rFonts w:ascii="Arial" w:hAnsi="Arial" w:cs="Arial"/>
          <w:lang w:val="ro-RO"/>
        </w:rPr>
        <w:t>păduri şi alte terenu</w:t>
      </w:r>
      <w:r>
        <w:rPr>
          <w:rFonts w:ascii="Arial" w:hAnsi="Arial" w:cs="Arial"/>
          <w:lang w:val="ro-RO"/>
        </w:rPr>
        <w:t>ri cu vegetaţie forestieră (6,02</w:t>
      </w:r>
      <w:r w:rsidRPr="00CC1F72">
        <w:rPr>
          <w:rFonts w:ascii="Arial" w:hAnsi="Arial" w:cs="Arial"/>
          <w:lang w:val="ro-RO"/>
        </w:rPr>
        <w:t>%). Alte c</w:t>
      </w:r>
      <w:r>
        <w:rPr>
          <w:rFonts w:ascii="Arial" w:hAnsi="Arial" w:cs="Arial"/>
          <w:lang w:val="ro-RO"/>
        </w:rPr>
        <w:t>ategorii de terenuri ocupă 12,62</w:t>
      </w:r>
      <w:r w:rsidRPr="00CC1F72">
        <w:rPr>
          <w:rFonts w:ascii="Arial" w:hAnsi="Arial" w:cs="Arial"/>
          <w:lang w:val="ro-RO"/>
        </w:rPr>
        <w:t xml:space="preserve"> % (ape, drumuri şi căi ferate, curţi şi construcţii etc.)</w:t>
      </w:r>
    </w:p>
    <w:p w:rsidR="001F6C27" w:rsidRDefault="001F6C27" w:rsidP="00E61919">
      <w:pPr>
        <w:tabs>
          <w:tab w:val="left" w:pos="2160"/>
          <w:tab w:val="left" w:leader="dot" w:pos="8640"/>
        </w:tabs>
        <w:ind w:right="-38" w:firstLine="720"/>
        <w:jc w:val="both"/>
        <w:rPr>
          <w:rFonts w:ascii="Arial" w:hAnsi="Arial" w:cs="Arial"/>
          <w:lang w:val="ro-RO"/>
        </w:rPr>
      </w:pPr>
    </w:p>
    <w:p w:rsidR="001F6C27" w:rsidRDefault="001F6C27" w:rsidP="00E61919">
      <w:pPr>
        <w:tabs>
          <w:tab w:val="left" w:pos="2160"/>
          <w:tab w:val="left" w:leader="dot" w:pos="8640"/>
        </w:tabs>
        <w:ind w:right="-38" w:firstLine="720"/>
        <w:jc w:val="both"/>
        <w:rPr>
          <w:rFonts w:ascii="Arial" w:hAnsi="Arial" w:cs="Arial"/>
          <w:lang w:val="ro-RO"/>
        </w:rPr>
      </w:pPr>
    </w:p>
    <w:p w:rsidR="00E61919" w:rsidRDefault="00E61919" w:rsidP="00E61919">
      <w:pPr>
        <w:tabs>
          <w:tab w:val="left" w:pos="2160"/>
          <w:tab w:val="left" w:leader="dot" w:pos="8640"/>
        </w:tabs>
        <w:ind w:right="-38"/>
        <w:jc w:val="center"/>
      </w:pPr>
      <w:r w:rsidRPr="006D0B2F">
        <w:rPr>
          <w:rFonts w:ascii="Arial" w:hAnsi="Arial" w:cs="Arial"/>
          <w:noProof/>
          <w:lang w:val="ro-RO" w:eastAsia="ro-RO"/>
        </w:rPr>
        <w:drawing>
          <wp:inline distT="0" distB="0" distL="0" distR="0">
            <wp:extent cx="5017243" cy="1923690"/>
            <wp:effectExtent l="19050" t="0" r="11957" b="360"/>
            <wp:docPr id="6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3"/>
              </a:graphicData>
            </a:graphic>
          </wp:inline>
        </w:drawing>
      </w:r>
    </w:p>
    <w:p w:rsidR="00E61919" w:rsidRDefault="00E61919" w:rsidP="00E61919">
      <w:pPr>
        <w:tabs>
          <w:tab w:val="left" w:pos="2160"/>
          <w:tab w:val="left" w:leader="dot" w:pos="8640"/>
        </w:tabs>
        <w:ind w:right="-38"/>
        <w:jc w:val="both"/>
      </w:pPr>
    </w:p>
    <w:p w:rsidR="00E61919" w:rsidRDefault="00E61919" w:rsidP="00E61919">
      <w:pPr>
        <w:tabs>
          <w:tab w:val="left" w:pos="2160"/>
          <w:tab w:val="left" w:leader="dot" w:pos="8640"/>
        </w:tabs>
        <w:ind w:right="-38"/>
        <w:jc w:val="both"/>
      </w:pPr>
    </w:p>
    <w:p w:rsidR="00E61919" w:rsidRPr="00B73CAA" w:rsidRDefault="00E61919" w:rsidP="00E61919">
      <w:pPr>
        <w:tabs>
          <w:tab w:val="left" w:pos="2160"/>
          <w:tab w:val="left" w:leader="dot" w:pos="8640"/>
        </w:tabs>
        <w:ind w:right="-38"/>
        <w:jc w:val="center"/>
        <w:rPr>
          <w:rFonts w:ascii="Arial" w:hAnsi="Arial" w:cs="Arial"/>
          <w:b/>
          <w:kern w:val="32"/>
        </w:rPr>
      </w:pPr>
      <w:r w:rsidRPr="00B73CAA">
        <w:rPr>
          <w:rFonts w:ascii="Arial" w:hAnsi="Arial" w:cs="Arial"/>
          <w:b/>
          <w:kern w:val="32"/>
        </w:rPr>
        <w:t>Fig.IV.1.1-1</w:t>
      </w:r>
    </w:p>
    <w:p w:rsidR="00E61919" w:rsidRDefault="00E61919" w:rsidP="00E61919">
      <w:pPr>
        <w:pStyle w:val="Heading1"/>
        <w:spacing w:before="0" w:after="0"/>
        <w:jc w:val="center"/>
        <w:rPr>
          <w:b w:val="0"/>
          <w:bCs w:val="0"/>
          <w:color w:val="000000"/>
          <w:sz w:val="24"/>
          <w:szCs w:val="24"/>
        </w:rPr>
      </w:pPr>
      <w:r>
        <w:rPr>
          <w:noProof/>
          <w:lang w:val="ro-RO" w:eastAsia="ro-RO"/>
        </w:rPr>
        <w:lastRenderedPageBreak/>
        <w:drawing>
          <wp:inline distT="0" distB="0" distL="0" distR="0">
            <wp:extent cx="5312074" cy="1846053"/>
            <wp:effectExtent l="19050" t="0" r="21926" b="1797"/>
            <wp:docPr id="67" name="Object 3"/>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4"/>
              </a:graphicData>
            </a:graphic>
          </wp:inline>
        </w:drawing>
      </w:r>
    </w:p>
    <w:p w:rsidR="00E61919" w:rsidRPr="004E0917" w:rsidRDefault="00E61919" w:rsidP="00E61919">
      <w:pPr>
        <w:pStyle w:val="Heading1"/>
        <w:spacing w:before="0" w:after="0"/>
        <w:ind w:left="2211" w:firstLine="737"/>
        <w:jc w:val="both"/>
        <w:rPr>
          <w:bCs w:val="0"/>
          <w:sz w:val="24"/>
          <w:szCs w:val="24"/>
        </w:rPr>
      </w:pPr>
      <w:r w:rsidRPr="00CC1F72">
        <w:rPr>
          <w:bCs w:val="0"/>
          <w:sz w:val="24"/>
          <w:szCs w:val="24"/>
        </w:rPr>
        <w:t xml:space="preserve">Fig. nr. </w:t>
      </w:r>
      <w:r>
        <w:rPr>
          <w:bCs w:val="0"/>
          <w:sz w:val="24"/>
          <w:szCs w:val="24"/>
        </w:rPr>
        <w:t>IV.1.1-2</w:t>
      </w:r>
    </w:p>
    <w:p w:rsidR="00E61919" w:rsidRDefault="00E61919" w:rsidP="00E61919">
      <w:pPr>
        <w:pStyle w:val="Heading1"/>
        <w:spacing w:before="0" w:after="0"/>
        <w:jc w:val="both"/>
        <w:rPr>
          <w:bCs w:val="0"/>
          <w:color w:val="000000"/>
          <w:sz w:val="24"/>
          <w:szCs w:val="24"/>
        </w:rPr>
      </w:pPr>
    </w:p>
    <w:p w:rsidR="00E61919" w:rsidRPr="00D336E8" w:rsidRDefault="00E61919" w:rsidP="001F6C27">
      <w:pPr>
        <w:jc w:val="both"/>
      </w:pPr>
      <w:r>
        <w:rPr>
          <w:rFonts w:ascii="Arial" w:hAnsi="Arial" w:cs="Arial"/>
          <w:b/>
          <w:color w:val="000000"/>
        </w:rPr>
        <w:t xml:space="preserve">Tabelul IV.1.1-2. </w:t>
      </w:r>
      <w:r w:rsidRPr="009D696E">
        <w:rPr>
          <w:rFonts w:ascii="Arial" w:hAnsi="Arial" w:cs="Arial"/>
          <w:b/>
          <w:color w:val="000000"/>
        </w:rPr>
        <w:t>Utilizarea terenurilor agricole la nivelul anului 2014</w:t>
      </w:r>
    </w:p>
    <w:p w:rsidR="00E61919" w:rsidRDefault="00E61919" w:rsidP="00E61919">
      <w:pPr>
        <w:ind w:left="2948" w:firstLine="737"/>
        <w:jc w:val="both"/>
        <w:rPr>
          <w:rFonts w:ascii="Arial" w:hAnsi="Arial" w:cs="Arial"/>
          <w:b/>
          <w:color w:val="000000"/>
        </w:rPr>
      </w:pPr>
    </w:p>
    <w:tbl>
      <w:tblPr>
        <w:tblW w:w="0" w:type="auto"/>
        <w:jc w:val="center"/>
        <w:tblInd w:w="90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582"/>
        <w:gridCol w:w="1582"/>
        <w:gridCol w:w="1566"/>
      </w:tblGrid>
      <w:tr w:rsidR="00E61919" w:rsidTr="00012F90">
        <w:trPr>
          <w:cantSplit/>
          <w:trHeight w:val="333"/>
          <w:jc w:val="center"/>
        </w:trPr>
        <w:tc>
          <w:tcPr>
            <w:tcW w:w="2582" w:type="dxa"/>
            <w:vMerge w:val="restart"/>
            <w:tcBorders>
              <w:top w:val="single" w:sz="4" w:space="0" w:color="auto"/>
              <w:left w:val="single" w:sz="4" w:space="0" w:color="auto"/>
              <w:bottom w:val="single" w:sz="4" w:space="0" w:color="auto"/>
              <w:right w:val="single" w:sz="4" w:space="0" w:color="auto"/>
            </w:tcBorders>
            <w:shd w:val="clear" w:color="auto" w:fill="D9D9D9"/>
            <w:vAlign w:val="center"/>
            <w:hideMark/>
          </w:tcPr>
          <w:p w:rsidR="00E61919" w:rsidRDefault="00E61919" w:rsidP="00012F90">
            <w:pPr>
              <w:jc w:val="both"/>
              <w:rPr>
                <w:rFonts w:ascii="Arial" w:hAnsi="Arial" w:cs="Arial"/>
                <w:b/>
                <w:color w:val="000000"/>
              </w:rPr>
            </w:pPr>
            <w:r>
              <w:rPr>
                <w:rFonts w:ascii="Arial" w:hAnsi="Arial" w:cs="Arial"/>
                <w:b/>
                <w:color w:val="000000"/>
              </w:rPr>
              <w:t>Tipuri de folosinţă</w:t>
            </w:r>
          </w:p>
        </w:tc>
        <w:tc>
          <w:tcPr>
            <w:tcW w:w="3148" w:type="dxa"/>
            <w:gridSpan w:val="2"/>
            <w:tcBorders>
              <w:top w:val="single" w:sz="4" w:space="0" w:color="auto"/>
              <w:left w:val="single" w:sz="4" w:space="0" w:color="auto"/>
              <w:bottom w:val="single" w:sz="4" w:space="0" w:color="auto"/>
              <w:right w:val="single" w:sz="4" w:space="0" w:color="auto"/>
            </w:tcBorders>
            <w:shd w:val="clear" w:color="auto" w:fill="D9D9D9"/>
            <w:hideMark/>
          </w:tcPr>
          <w:p w:rsidR="00E61919" w:rsidRDefault="00E61919" w:rsidP="00012F90">
            <w:pPr>
              <w:jc w:val="center"/>
              <w:rPr>
                <w:rFonts w:ascii="Arial" w:hAnsi="Arial" w:cs="Arial"/>
                <w:b/>
                <w:color w:val="000000"/>
              </w:rPr>
            </w:pPr>
            <w:r>
              <w:rPr>
                <w:rFonts w:ascii="Arial" w:hAnsi="Arial" w:cs="Arial"/>
                <w:b/>
                <w:color w:val="000000"/>
              </w:rPr>
              <w:t>Suprafaţa</w:t>
            </w:r>
          </w:p>
        </w:tc>
      </w:tr>
      <w:tr w:rsidR="00E61919" w:rsidTr="00012F90">
        <w:trPr>
          <w:cantSplit/>
          <w:trHeight w:val="422"/>
          <w:jc w:val="center"/>
        </w:trPr>
        <w:tc>
          <w:tcPr>
            <w:tcW w:w="0" w:type="auto"/>
            <w:vMerge/>
            <w:tcBorders>
              <w:top w:val="single" w:sz="4" w:space="0" w:color="auto"/>
              <w:left w:val="single" w:sz="4" w:space="0" w:color="auto"/>
              <w:bottom w:val="single" w:sz="4" w:space="0" w:color="auto"/>
              <w:right w:val="single" w:sz="4" w:space="0" w:color="auto"/>
            </w:tcBorders>
            <w:vAlign w:val="center"/>
            <w:hideMark/>
          </w:tcPr>
          <w:p w:rsidR="00E61919" w:rsidRDefault="00E61919" w:rsidP="00012F90">
            <w:pPr>
              <w:rPr>
                <w:rFonts w:ascii="Arial" w:hAnsi="Arial" w:cs="Arial"/>
                <w:b/>
                <w:color w:val="000000"/>
              </w:rPr>
            </w:pPr>
          </w:p>
        </w:tc>
        <w:tc>
          <w:tcPr>
            <w:tcW w:w="1582"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1919" w:rsidRDefault="00E61919" w:rsidP="00012F90">
            <w:pPr>
              <w:jc w:val="center"/>
              <w:rPr>
                <w:rFonts w:ascii="Arial" w:hAnsi="Arial" w:cs="Arial"/>
                <w:b/>
                <w:color w:val="000000"/>
              </w:rPr>
            </w:pPr>
            <w:r>
              <w:rPr>
                <w:rFonts w:ascii="Arial" w:hAnsi="Arial" w:cs="Arial"/>
                <w:b/>
                <w:color w:val="000000"/>
              </w:rPr>
              <w:t>ha</w:t>
            </w:r>
          </w:p>
        </w:tc>
        <w:tc>
          <w:tcPr>
            <w:tcW w:w="1566" w:type="dxa"/>
            <w:tcBorders>
              <w:top w:val="single" w:sz="4" w:space="0" w:color="auto"/>
              <w:left w:val="single" w:sz="4" w:space="0" w:color="auto"/>
              <w:bottom w:val="single" w:sz="4" w:space="0" w:color="auto"/>
              <w:right w:val="single" w:sz="4" w:space="0" w:color="auto"/>
            </w:tcBorders>
            <w:shd w:val="clear" w:color="auto" w:fill="D9D9D9"/>
            <w:vAlign w:val="center"/>
            <w:hideMark/>
          </w:tcPr>
          <w:p w:rsidR="00E61919" w:rsidRDefault="00E61919" w:rsidP="00012F90">
            <w:pPr>
              <w:jc w:val="center"/>
              <w:rPr>
                <w:rFonts w:ascii="Arial" w:hAnsi="Arial" w:cs="Arial"/>
                <w:b/>
                <w:color w:val="000000"/>
              </w:rPr>
            </w:pPr>
            <w:r>
              <w:rPr>
                <w:rFonts w:ascii="Arial" w:hAnsi="Arial" w:cs="Arial"/>
                <w:b/>
                <w:color w:val="000000"/>
              </w:rPr>
              <w:t>%</w:t>
            </w:r>
          </w:p>
        </w:tc>
      </w:tr>
      <w:tr w:rsidR="00E61919" w:rsidTr="00012F90">
        <w:trPr>
          <w:trHeight w:val="1433"/>
          <w:jc w:val="center"/>
        </w:trPr>
        <w:tc>
          <w:tcPr>
            <w:tcW w:w="2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61919" w:rsidRDefault="00E61919" w:rsidP="00012F90">
            <w:pPr>
              <w:jc w:val="both"/>
              <w:rPr>
                <w:rFonts w:ascii="Arial" w:hAnsi="Arial" w:cs="Arial"/>
                <w:color w:val="000000"/>
              </w:rPr>
            </w:pPr>
            <w:r>
              <w:rPr>
                <w:rFonts w:ascii="Arial" w:hAnsi="Arial" w:cs="Arial"/>
                <w:color w:val="000000"/>
              </w:rPr>
              <w:t>Agricol</w:t>
            </w:r>
          </w:p>
          <w:p w:rsidR="00E61919" w:rsidRDefault="00E61919" w:rsidP="005E6B2E">
            <w:pPr>
              <w:numPr>
                <w:ilvl w:val="0"/>
                <w:numId w:val="26"/>
              </w:numPr>
              <w:jc w:val="both"/>
              <w:rPr>
                <w:rFonts w:ascii="Arial" w:hAnsi="Arial" w:cs="Arial"/>
                <w:color w:val="000000"/>
              </w:rPr>
            </w:pPr>
            <w:r>
              <w:rPr>
                <w:rFonts w:ascii="Arial" w:hAnsi="Arial" w:cs="Arial"/>
                <w:color w:val="000000"/>
              </w:rPr>
              <w:t>arabil</w:t>
            </w:r>
          </w:p>
          <w:p w:rsidR="00E61919" w:rsidRDefault="00E61919" w:rsidP="005E6B2E">
            <w:pPr>
              <w:numPr>
                <w:ilvl w:val="0"/>
                <w:numId w:val="27"/>
              </w:numPr>
              <w:jc w:val="both"/>
              <w:rPr>
                <w:rFonts w:ascii="Arial" w:hAnsi="Arial" w:cs="Arial"/>
                <w:color w:val="000000"/>
              </w:rPr>
            </w:pPr>
            <w:r>
              <w:rPr>
                <w:rFonts w:ascii="Arial" w:hAnsi="Arial" w:cs="Arial"/>
                <w:color w:val="000000"/>
              </w:rPr>
              <w:t>păşuni</w:t>
            </w:r>
          </w:p>
          <w:p w:rsidR="00E61919" w:rsidRDefault="00E61919" w:rsidP="005E6B2E">
            <w:pPr>
              <w:numPr>
                <w:ilvl w:val="0"/>
                <w:numId w:val="27"/>
              </w:numPr>
              <w:jc w:val="both"/>
              <w:rPr>
                <w:rFonts w:ascii="Arial" w:hAnsi="Arial" w:cs="Arial"/>
                <w:color w:val="000000"/>
              </w:rPr>
            </w:pPr>
            <w:r>
              <w:rPr>
                <w:rFonts w:ascii="Arial" w:hAnsi="Arial" w:cs="Arial"/>
                <w:color w:val="000000"/>
              </w:rPr>
              <w:t>vii</w:t>
            </w:r>
          </w:p>
          <w:p w:rsidR="00E61919" w:rsidRDefault="00E61919" w:rsidP="005E6B2E">
            <w:pPr>
              <w:numPr>
                <w:ilvl w:val="0"/>
                <w:numId w:val="27"/>
              </w:numPr>
              <w:jc w:val="both"/>
              <w:rPr>
                <w:rFonts w:ascii="Arial" w:hAnsi="Arial" w:cs="Arial"/>
                <w:color w:val="000000"/>
              </w:rPr>
            </w:pPr>
            <w:r>
              <w:rPr>
                <w:rFonts w:ascii="Arial" w:hAnsi="Arial" w:cs="Arial"/>
                <w:color w:val="000000"/>
              </w:rPr>
              <w:t>livezi</w:t>
            </w:r>
          </w:p>
        </w:tc>
        <w:tc>
          <w:tcPr>
            <w:tcW w:w="1582"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61919" w:rsidRDefault="00E61919" w:rsidP="00012F90">
            <w:pPr>
              <w:jc w:val="center"/>
              <w:rPr>
                <w:rFonts w:ascii="Arial" w:hAnsi="Arial" w:cs="Arial"/>
                <w:color w:val="000000"/>
              </w:rPr>
            </w:pPr>
            <w:r>
              <w:rPr>
                <w:rFonts w:ascii="Arial" w:hAnsi="Arial" w:cs="Arial"/>
                <w:color w:val="000000"/>
              </w:rPr>
              <w:t>387.750</w:t>
            </w:r>
          </w:p>
          <w:p w:rsidR="00E61919" w:rsidRDefault="00E61919" w:rsidP="00012F90">
            <w:pPr>
              <w:jc w:val="center"/>
              <w:rPr>
                <w:rFonts w:ascii="Arial" w:hAnsi="Arial" w:cs="Arial"/>
                <w:color w:val="000000"/>
              </w:rPr>
            </w:pPr>
            <w:r>
              <w:rPr>
                <w:rFonts w:ascii="Arial" w:hAnsi="Arial" w:cs="Arial"/>
                <w:color w:val="000000"/>
              </w:rPr>
              <w:t>351.420</w:t>
            </w:r>
          </w:p>
          <w:p w:rsidR="00E61919" w:rsidRDefault="00E61919" w:rsidP="00012F90">
            <w:pPr>
              <w:jc w:val="center"/>
              <w:rPr>
                <w:rFonts w:ascii="Arial" w:hAnsi="Arial" w:cs="Arial"/>
                <w:color w:val="000000"/>
              </w:rPr>
            </w:pPr>
            <w:r>
              <w:rPr>
                <w:rFonts w:ascii="Arial" w:hAnsi="Arial" w:cs="Arial"/>
                <w:color w:val="000000"/>
              </w:rPr>
              <w:t>31.132</w:t>
            </w:r>
          </w:p>
          <w:p w:rsidR="00E61919" w:rsidRDefault="00E61919" w:rsidP="00012F90">
            <w:pPr>
              <w:jc w:val="center"/>
              <w:rPr>
                <w:rFonts w:ascii="Arial" w:hAnsi="Arial" w:cs="Arial"/>
                <w:color w:val="000000"/>
              </w:rPr>
            </w:pPr>
            <w:r>
              <w:rPr>
                <w:rFonts w:ascii="Arial" w:hAnsi="Arial" w:cs="Arial"/>
                <w:color w:val="000000"/>
              </w:rPr>
              <w:t>4.560</w:t>
            </w:r>
          </w:p>
          <w:p w:rsidR="00E61919" w:rsidRDefault="00E61919" w:rsidP="00012F90">
            <w:pPr>
              <w:jc w:val="center"/>
              <w:rPr>
                <w:rFonts w:ascii="Arial" w:hAnsi="Arial" w:cs="Arial"/>
                <w:color w:val="000000"/>
              </w:rPr>
            </w:pPr>
            <w:r>
              <w:rPr>
                <w:rFonts w:ascii="Arial" w:hAnsi="Arial" w:cs="Arial"/>
                <w:color w:val="000000"/>
              </w:rPr>
              <w:t>638</w:t>
            </w:r>
          </w:p>
        </w:tc>
        <w:tc>
          <w:tcPr>
            <w:tcW w:w="1566" w:type="dxa"/>
            <w:tcBorders>
              <w:top w:val="single" w:sz="4" w:space="0" w:color="auto"/>
              <w:left w:val="single" w:sz="4" w:space="0" w:color="auto"/>
              <w:bottom w:val="single" w:sz="4" w:space="0" w:color="auto"/>
              <w:right w:val="single" w:sz="4" w:space="0" w:color="auto"/>
            </w:tcBorders>
            <w:shd w:val="clear" w:color="auto" w:fill="EAF1DD" w:themeFill="accent3" w:themeFillTint="33"/>
            <w:hideMark/>
          </w:tcPr>
          <w:p w:rsidR="00E61919" w:rsidRDefault="00E61919" w:rsidP="00012F90">
            <w:pPr>
              <w:jc w:val="center"/>
              <w:rPr>
                <w:rFonts w:ascii="Arial" w:hAnsi="Arial" w:cs="Arial"/>
                <w:color w:val="000000"/>
              </w:rPr>
            </w:pPr>
            <w:r>
              <w:rPr>
                <w:rFonts w:ascii="Arial" w:hAnsi="Arial" w:cs="Arial"/>
                <w:color w:val="000000"/>
              </w:rPr>
              <w:t>100,00</w:t>
            </w:r>
          </w:p>
          <w:p w:rsidR="00E61919" w:rsidRDefault="00E61919" w:rsidP="00012F90">
            <w:pPr>
              <w:jc w:val="center"/>
              <w:rPr>
                <w:rFonts w:ascii="Arial" w:hAnsi="Arial" w:cs="Arial"/>
                <w:color w:val="000000"/>
              </w:rPr>
            </w:pPr>
            <w:r>
              <w:rPr>
                <w:rFonts w:ascii="Arial" w:hAnsi="Arial" w:cs="Arial"/>
                <w:color w:val="000000"/>
              </w:rPr>
              <w:t>90,63</w:t>
            </w:r>
          </w:p>
          <w:p w:rsidR="00E61919" w:rsidRDefault="00E61919" w:rsidP="00012F90">
            <w:pPr>
              <w:jc w:val="center"/>
              <w:rPr>
                <w:rFonts w:ascii="Arial" w:hAnsi="Arial" w:cs="Arial"/>
                <w:color w:val="000000"/>
              </w:rPr>
            </w:pPr>
            <w:r>
              <w:rPr>
                <w:rFonts w:ascii="Arial" w:hAnsi="Arial" w:cs="Arial"/>
                <w:color w:val="000000"/>
              </w:rPr>
              <w:t>8,03</w:t>
            </w:r>
          </w:p>
          <w:p w:rsidR="00E61919" w:rsidRDefault="00E61919" w:rsidP="00012F90">
            <w:pPr>
              <w:jc w:val="center"/>
              <w:rPr>
                <w:rFonts w:ascii="Arial" w:hAnsi="Arial" w:cs="Arial"/>
                <w:color w:val="000000"/>
              </w:rPr>
            </w:pPr>
            <w:r>
              <w:rPr>
                <w:rFonts w:ascii="Arial" w:hAnsi="Arial" w:cs="Arial"/>
                <w:color w:val="000000"/>
              </w:rPr>
              <w:t>1,18</w:t>
            </w:r>
          </w:p>
          <w:p w:rsidR="00E61919" w:rsidRDefault="00E61919" w:rsidP="00012F90">
            <w:pPr>
              <w:jc w:val="center"/>
              <w:rPr>
                <w:rFonts w:ascii="Arial" w:hAnsi="Arial" w:cs="Arial"/>
                <w:color w:val="000000"/>
              </w:rPr>
            </w:pPr>
            <w:r>
              <w:rPr>
                <w:rFonts w:ascii="Arial" w:hAnsi="Arial" w:cs="Arial"/>
                <w:color w:val="000000"/>
              </w:rPr>
              <w:t>0,16</w:t>
            </w:r>
          </w:p>
        </w:tc>
      </w:tr>
    </w:tbl>
    <w:p w:rsidR="00E61919" w:rsidRDefault="00E61919" w:rsidP="00E61919">
      <w:pPr>
        <w:ind w:firstLine="720"/>
        <w:jc w:val="both"/>
        <w:rPr>
          <w:rFonts w:ascii="Arial" w:hAnsi="Arial" w:cs="Arial"/>
          <w:color w:val="000000"/>
        </w:rPr>
      </w:pPr>
    </w:p>
    <w:p w:rsidR="00E61919" w:rsidRDefault="00E61919" w:rsidP="00E61919">
      <w:pPr>
        <w:ind w:firstLine="720"/>
        <w:jc w:val="both"/>
        <w:rPr>
          <w:rFonts w:ascii="Arial" w:hAnsi="Arial" w:cs="Arial"/>
          <w:color w:val="000000"/>
          <w:lang w:val="it-IT"/>
        </w:rPr>
      </w:pPr>
      <w:r>
        <w:rPr>
          <w:rFonts w:ascii="Arial" w:hAnsi="Arial" w:cs="Arial"/>
          <w:color w:val="000000"/>
          <w:lang w:val="it-IT"/>
        </w:rPr>
        <w:t>Ponderea principală a terenurilor agricole din județul Brăila o deţin terenurile agricole arabile (90,63%).</w:t>
      </w:r>
    </w:p>
    <w:p w:rsidR="00E61919" w:rsidRDefault="00E61919" w:rsidP="00E61919">
      <w:pPr>
        <w:ind w:firstLine="720"/>
        <w:jc w:val="both"/>
        <w:rPr>
          <w:rFonts w:ascii="Arial" w:hAnsi="Arial" w:cs="Arial"/>
          <w:color w:val="000000"/>
          <w:lang w:val="it-IT"/>
        </w:rPr>
      </w:pPr>
    </w:p>
    <w:p w:rsidR="00E61919" w:rsidRDefault="00E61919" w:rsidP="00E61919">
      <w:pPr>
        <w:ind w:firstLine="720"/>
        <w:jc w:val="both"/>
        <w:rPr>
          <w:rFonts w:ascii="Arial" w:hAnsi="Arial" w:cs="Arial"/>
          <w:color w:val="000000"/>
          <w:lang w:val="it-IT"/>
        </w:rPr>
      </w:pPr>
    </w:p>
    <w:p w:rsidR="00E61919" w:rsidRPr="00FA1881" w:rsidRDefault="00E61919" w:rsidP="00E61919">
      <w:pPr>
        <w:jc w:val="center"/>
        <w:rPr>
          <w:rFonts w:ascii="Arial" w:hAnsi="Arial" w:cs="Arial"/>
          <w:color w:val="000000"/>
        </w:rPr>
      </w:pPr>
      <w:r>
        <w:rPr>
          <w:noProof/>
          <w:lang w:val="ro-RO" w:eastAsia="ro-RO"/>
        </w:rPr>
        <w:drawing>
          <wp:inline distT="0" distB="0" distL="0" distR="0">
            <wp:extent cx="5872792" cy="1802921"/>
            <wp:effectExtent l="19050" t="0" r="13658" b="6829"/>
            <wp:docPr id="68" name="Object 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75"/>
              </a:graphicData>
            </a:graphic>
          </wp:inline>
        </w:drawing>
      </w:r>
    </w:p>
    <w:p w:rsidR="00E61919" w:rsidRPr="004A3D42" w:rsidRDefault="00E61919" w:rsidP="00E61919">
      <w:pPr>
        <w:pStyle w:val="Heading1"/>
        <w:jc w:val="center"/>
        <w:rPr>
          <w:bCs w:val="0"/>
          <w:sz w:val="24"/>
          <w:szCs w:val="24"/>
          <w:lang w:val="es-ES"/>
        </w:rPr>
      </w:pPr>
      <w:r>
        <w:rPr>
          <w:bCs w:val="0"/>
          <w:sz w:val="24"/>
          <w:szCs w:val="24"/>
          <w:lang w:val="es-ES"/>
        </w:rPr>
        <w:t>Fig. IV.1.1-</w:t>
      </w:r>
      <w:r w:rsidRPr="004A3D42">
        <w:rPr>
          <w:bCs w:val="0"/>
          <w:sz w:val="24"/>
          <w:szCs w:val="24"/>
          <w:lang w:val="es-ES"/>
        </w:rPr>
        <w:t>3</w:t>
      </w:r>
    </w:p>
    <w:p w:rsidR="00E61919" w:rsidRDefault="00E61919" w:rsidP="00E61919">
      <w:pPr>
        <w:pStyle w:val="Heading1"/>
        <w:spacing w:before="0" w:after="0"/>
        <w:jc w:val="both"/>
        <w:rPr>
          <w:bCs w:val="0"/>
          <w:sz w:val="24"/>
          <w:szCs w:val="24"/>
          <w:lang w:val="es-ES"/>
        </w:rPr>
      </w:pPr>
    </w:p>
    <w:p w:rsidR="00E61919" w:rsidRDefault="00E61919" w:rsidP="00E61919">
      <w:pPr>
        <w:pStyle w:val="Heading1"/>
        <w:spacing w:before="0" w:after="0"/>
        <w:jc w:val="both"/>
        <w:rPr>
          <w:bCs w:val="0"/>
          <w:sz w:val="24"/>
          <w:szCs w:val="24"/>
          <w:lang w:val="es-ES"/>
        </w:rPr>
      </w:pPr>
    </w:p>
    <w:p w:rsidR="00E61919" w:rsidRPr="009D12F8" w:rsidRDefault="00E61919" w:rsidP="001F6C27">
      <w:pPr>
        <w:pStyle w:val="Heading1"/>
        <w:spacing w:before="0" w:after="0"/>
        <w:jc w:val="both"/>
        <w:rPr>
          <w:lang w:val="es-ES"/>
        </w:rPr>
      </w:pPr>
      <w:r>
        <w:rPr>
          <w:bCs w:val="0"/>
          <w:sz w:val="24"/>
          <w:szCs w:val="24"/>
          <w:lang w:val="es-ES"/>
        </w:rPr>
        <w:t>IV.1.2 Tendințe privind schimbarea destinației utilizării terenurilor</w:t>
      </w:r>
    </w:p>
    <w:p w:rsidR="00E61919" w:rsidRDefault="00E61919" w:rsidP="00E61919">
      <w:pPr>
        <w:pStyle w:val="BodyTextIndent"/>
        <w:tabs>
          <w:tab w:val="left" w:pos="2460"/>
        </w:tabs>
        <w:spacing w:after="0" w:line="240" w:lineRule="auto"/>
        <w:ind w:left="0"/>
        <w:jc w:val="both"/>
        <w:rPr>
          <w:rFonts w:ascii="Arial" w:hAnsi="Arial" w:cs="Arial"/>
          <w:b/>
          <w:sz w:val="24"/>
          <w:szCs w:val="24"/>
        </w:rPr>
      </w:pP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r w:rsidRPr="00CC1F72">
        <w:rPr>
          <w:rFonts w:ascii="Arial" w:hAnsi="Arial" w:cs="Arial"/>
          <w:sz w:val="24"/>
          <w:szCs w:val="24"/>
          <w:lang w:val="es-ES"/>
        </w:rPr>
        <w:tab/>
      </w:r>
    </w:p>
    <w:p w:rsidR="00E61919" w:rsidRPr="004A3D42" w:rsidRDefault="00E61919" w:rsidP="00E61919">
      <w:pPr>
        <w:pStyle w:val="Heading1"/>
        <w:spacing w:before="0" w:after="0"/>
        <w:jc w:val="center"/>
        <w:rPr>
          <w:b w:val="0"/>
          <w:bCs w:val="0"/>
          <w:sz w:val="24"/>
          <w:szCs w:val="24"/>
          <w:lang w:val="es-ES"/>
        </w:rPr>
      </w:pPr>
      <w:r>
        <w:rPr>
          <w:sz w:val="24"/>
          <w:szCs w:val="24"/>
        </w:rPr>
        <w:t xml:space="preserve">Tabel IV.1.2-1 </w:t>
      </w:r>
      <w:r w:rsidRPr="004A3D42">
        <w:rPr>
          <w:b w:val="0"/>
          <w:bCs w:val="0"/>
          <w:sz w:val="24"/>
          <w:szCs w:val="24"/>
          <w:lang w:val="es-ES"/>
        </w:rPr>
        <w:t>Schimbări în acoperirea/utilizarea terenurilor în perioada 2010-2014</w:t>
      </w:r>
    </w:p>
    <w:p w:rsidR="00E61919" w:rsidRPr="00CC1F72" w:rsidRDefault="00E61919" w:rsidP="00E61919">
      <w:pPr>
        <w:pStyle w:val="BodyTextIndent"/>
        <w:tabs>
          <w:tab w:val="left" w:pos="2460"/>
        </w:tabs>
        <w:spacing w:after="0" w:line="240" w:lineRule="auto"/>
        <w:ind w:left="0"/>
        <w:jc w:val="both"/>
        <w:rPr>
          <w:rFonts w:ascii="Arial" w:hAnsi="Arial" w:cs="Arial"/>
          <w:b/>
          <w:sz w:val="24"/>
          <w:szCs w:val="24"/>
        </w:rPr>
      </w:pPr>
    </w:p>
    <w:tbl>
      <w:tblPr>
        <w:tblpPr w:leftFromText="180" w:rightFromText="180" w:vertAnchor="text" w:horzAnchor="margin" w:tblpX="-9" w:tblpY="143"/>
        <w:tblOverlap w:val="never"/>
        <w:tblW w:w="5247"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FFFDD"/>
        <w:tblLayout w:type="fixed"/>
        <w:tblLook w:val="01E0"/>
      </w:tblPr>
      <w:tblGrid>
        <w:gridCol w:w="1847"/>
        <w:gridCol w:w="1256"/>
        <w:gridCol w:w="1256"/>
        <w:gridCol w:w="1251"/>
        <w:gridCol w:w="1202"/>
        <w:gridCol w:w="1202"/>
        <w:gridCol w:w="1361"/>
        <w:gridCol w:w="1413"/>
      </w:tblGrid>
      <w:tr w:rsidR="00E61919" w:rsidRPr="00CC1F72" w:rsidTr="00012F90">
        <w:trPr>
          <w:trHeight w:val="450"/>
        </w:trPr>
        <w:tc>
          <w:tcPr>
            <w:tcW w:w="856" w:type="pct"/>
            <w:vMerge w:val="restar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61919" w:rsidRPr="00CC1F72" w:rsidRDefault="00E61919" w:rsidP="00012F90">
            <w:pPr>
              <w:pStyle w:val="BodyTextIndent"/>
              <w:spacing w:after="0" w:line="240" w:lineRule="auto"/>
              <w:ind w:left="0"/>
              <w:jc w:val="center"/>
              <w:rPr>
                <w:rFonts w:ascii="Arial" w:hAnsi="Arial" w:cs="Arial"/>
                <w:b/>
                <w:sz w:val="24"/>
                <w:szCs w:val="24"/>
              </w:rPr>
            </w:pPr>
            <w:r w:rsidRPr="00CC1F72">
              <w:rPr>
                <w:rFonts w:ascii="Arial" w:hAnsi="Arial" w:cs="Arial"/>
                <w:b/>
                <w:sz w:val="24"/>
                <w:szCs w:val="24"/>
              </w:rPr>
              <w:t>Categoria</w:t>
            </w:r>
          </w:p>
          <w:p w:rsidR="00E61919" w:rsidRPr="00CC1F72" w:rsidRDefault="00E61919" w:rsidP="00012F90">
            <w:pPr>
              <w:pStyle w:val="BodyTextIndent"/>
              <w:spacing w:after="0" w:line="240" w:lineRule="auto"/>
              <w:ind w:left="0"/>
              <w:jc w:val="center"/>
              <w:rPr>
                <w:rFonts w:ascii="Arial" w:hAnsi="Arial" w:cs="Arial"/>
                <w:b/>
                <w:sz w:val="24"/>
                <w:szCs w:val="24"/>
              </w:rPr>
            </w:pPr>
            <w:r w:rsidRPr="00CC1F72">
              <w:rPr>
                <w:rFonts w:ascii="Arial" w:hAnsi="Arial" w:cs="Arial"/>
                <w:b/>
                <w:sz w:val="24"/>
                <w:szCs w:val="24"/>
              </w:rPr>
              <w:t xml:space="preserve">de </w:t>
            </w:r>
            <w:r>
              <w:rPr>
                <w:rFonts w:ascii="Arial" w:hAnsi="Arial" w:cs="Arial"/>
                <w:b/>
                <w:sz w:val="24"/>
                <w:szCs w:val="24"/>
              </w:rPr>
              <w:t>acoperire</w:t>
            </w:r>
          </w:p>
        </w:tc>
        <w:tc>
          <w:tcPr>
            <w:tcW w:w="2858" w:type="pct"/>
            <w:gridSpan w:val="5"/>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E61919" w:rsidRPr="00CC1F72" w:rsidRDefault="00E61919" w:rsidP="00012F90">
            <w:pPr>
              <w:pStyle w:val="BodyTextIndent"/>
              <w:spacing w:after="0" w:line="240" w:lineRule="auto"/>
              <w:ind w:left="0"/>
              <w:jc w:val="center"/>
              <w:rPr>
                <w:rFonts w:ascii="Arial" w:hAnsi="Arial" w:cs="Arial"/>
                <w:b/>
                <w:sz w:val="24"/>
                <w:szCs w:val="24"/>
              </w:rPr>
            </w:pPr>
            <w:r w:rsidRPr="00CC1F72">
              <w:rPr>
                <w:rFonts w:ascii="Arial" w:hAnsi="Arial" w:cs="Arial"/>
                <w:b/>
                <w:sz w:val="24"/>
                <w:szCs w:val="24"/>
              </w:rPr>
              <w:t>Suprafaţa (ha)</w:t>
            </w:r>
          </w:p>
        </w:tc>
        <w:tc>
          <w:tcPr>
            <w:tcW w:w="631" w:type="pct"/>
            <w:tcBorders>
              <w:bottom w:val="single" w:sz="4" w:space="0" w:color="auto"/>
            </w:tcBorders>
            <w:shd w:val="clear" w:color="DDD9C3" w:themeColor="background2" w:themeShade="E6" w:fill="FFEFBD"/>
            <w:vAlign w:val="center"/>
          </w:tcPr>
          <w:p w:rsidR="00E61919" w:rsidRDefault="00E61919" w:rsidP="00012F90">
            <w:pPr>
              <w:jc w:val="center"/>
            </w:pPr>
            <w:r>
              <w:t>Schimbări în acoperirea terenurilor</w:t>
            </w:r>
          </w:p>
          <w:p w:rsidR="00E61919" w:rsidRPr="00CC1F72" w:rsidRDefault="00E61919" w:rsidP="00012F90">
            <w:pPr>
              <w:jc w:val="center"/>
            </w:pPr>
            <w:r>
              <w:t>2010-</w:t>
            </w:r>
            <w:r>
              <w:lastRenderedPageBreak/>
              <w:t>2014(ha)</w:t>
            </w:r>
          </w:p>
        </w:tc>
        <w:tc>
          <w:tcPr>
            <w:tcW w:w="655" w:type="pct"/>
            <w:tcBorders>
              <w:bottom w:val="single" w:sz="4" w:space="0" w:color="auto"/>
            </w:tcBorders>
            <w:shd w:val="clear" w:color="DDD9C3" w:themeColor="background2" w:themeShade="E6" w:fill="FFEFBD"/>
            <w:vAlign w:val="center"/>
          </w:tcPr>
          <w:p w:rsidR="00E61919" w:rsidRDefault="00E61919" w:rsidP="00012F90">
            <w:pPr>
              <w:jc w:val="center"/>
            </w:pPr>
            <w:r>
              <w:lastRenderedPageBreak/>
              <w:t>Schimbări în acoperirea terenurilor</w:t>
            </w:r>
          </w:p>
          <w:p w:rsidR="00E61919" w:rsidRPr="00CC1F72" w:rsidRDefault="00E61919" w:rsidP="00012F90">
            <w:pPr>
              <w:jc w:val="center"/>
            </w:pPr>
            <w:r>
              <w:t xml:space="preserve">% din anul </w:t>
            </w:r>
            <w:r>
              <w:lastRenderedPageBreak/>
              <w:t>2010)</w:t>
            </w:r>
          </w:p>
        </w:tc>
      </w:tr>
      <w:tr w:rsidR="00E61919" w:rsidRPr="00CC1F72" w:rsidTr="00012F90">
        <w:trPr>
          <w:trHeight w:val="360"/>
        </w:trPr>
        <w:tc>
          <w:tcPr>
            <w:tcW w:w="856" w:type="pct"/>
            <w:vMerge/>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61919" w:rsidRPr="00CC1F72" w:rsidRDefault="00E61919" w:rsidP="00012F90">
            <w:pPr>
              <w:rPr>
                <w:rFonts w:ascii="Arial" w:eastAsia="Times New Roman" w:hAnsi="Arial" w:cs="Arial"/>
                <w:b/>
                <w:lang w:val="en-US"/>
              </w:rPr>
            </w:pPr>
          </w:p>
        </w:tc>
        <w:tc>
          <w:tcPr>
            <w:tcW w:w="582" w:type="pc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61919" w:rsidRPr="00CC1F72" w:rsidRDefault="00E61919" w:rsidP="00012F90">
            <w:pPr>
              <w:jc w:val="center"/>
              <w:rPr>
                <w:rFonts w:ascii="Arial" w:hAnsi="Arial" w:cs="Arial"/>
                <w:b/>
              </w:rPr>
            </w:pPr>
            <w:r w:rsidRPr="00CC1F72">
              <w:rPr>
                <w:rFonts w:ascii="Arial" w:hAnsi="Arial" w:cs="Arial"/>
                <w:b/>
              </w:rPr>
              <w:t>2010</w:t>
            </w:r>
          </w:p>
        </w:tc>
        <w:tc>
          <w:tcPr>
            <w:tcW w:w="582" w:type="pc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61919" w:rsidRPr="00CC1F72" w:rsidRDefault="00E61919" w:rsidP="00012F90">
            <w:pPr>
              <w:jc w:val="center"/>
              <w:rPr>
                <w:rFonts w:ascii="Arial" w:hAnsi="Arial" w:cs="Arial"/>
                <w:b/>
              </w:rPr>
            </w:pPr>
            <w:r w:rsidRPr="00CC1F72">
              <w:rPr>
                <w:rFonts w:ascii="Arial" w:hAnsi="Arial" w:cs="Arial"/>
                <w:b/>
              </w:rPr>
              <w:t>2011</w:t>
            </w:r>
          </w:p>
        </w:tc>
        <w:tc>
          <w:tcPr>
            <w:tcW w:w="580" w:type="pc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61919" w:rsidRPr="00CC1F72" w:rsidRDefault="00E61919" w:rsidP="00012F90">
            <w:pPr>
              <w:jc w:val="center"/>
              <w:rPr>
                <w:rFonts w:ascii="Arial" w:hAnsi="Arial" w:cs="Arial"/>
                <w:b/>
              </w:rPr>
            </w:pPr>
            <w:r w:rsidRPr="00CC1F72">
              <w:rPr>
                <w:rFonts w:ascii="Arial" w:hAnsi="Arial" w:cs="Arial"/>
                <w:b/>
              </w:rPr>
              <w:t>2012</w:t>
            </w:r>
          </w:p>
        </w:tc>
        <w:tc>
          <w:tcPr>
            <w:tcW w:w="557" w:type="pc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hideMark/>
          </w:tcPr>
          <w:p w:rsidR="00E61919" w:rsidRPr="00CC1F72" w:rsidRDefault="00E61919" w:rsidP="00012F90">
            <w:pPr>
              <w:jc w:val="center"/>
              <w:rPr>
                <w:rFonts w:ascii="Arial" w:hAnsi="Arial" w:cs="Arial"/>
                <w:b/>
              </w:rPr>
            </w:pPr>
            <w:r w:rsidRPr="00CC1F72">
              <w:rPr>
                <w:rFonts w:ascii="Arial" w:hAnsi="Arial" w:cs="Arial"/>
                <w:b/>
              </w:rPr>
              <w:t>2013</w:t>
            </w:r>
          </w:p>
        </w:tc>
        <w:tc>
          <w:tcPr>
            <w:tcW w:w="557" w:type="pct"/>
            <w:tcBorders>
              <w:top w:val="single" w:sz="4" w:space="0" w:color="auto"/>
              <w:left w:val="single" w:sz="4" w:space="0" w:color="auto"/>
              <w:bottom w:val="single" w:sz="4" w:space="0" w:color="auto"/>
              <w:right w:val="single" w:sz="4" w:space="0" w:color="auto"/>
            </w:tcBorders>
            <w:shd w:val="clear" w:color="DDD9C3" w:themeColor="background2" w:themeShade="E6" w:fill="FFEFBD"/>
            <w:vAlign w:val="center"/>
          </w:tcPr>
          <w:p w:rsidR="00E61919" w:rsidRPr="00CC1F72" w:rsidRDefault="00E61919" w:rsidP="00012F90">
            <w:pPr>
              <w:jc w:val="center"/>
              <w:rPr>
                <w:rFonts w:ascii="Arial" w:hAnsi="Arial" w:cs="Arial"/>
                <w:b/>
              </w:rPr>
            </w:pPr>
            <w:r>
              <w:rPr>
                <w:rFonts w:ascii="Arial" w:hAnsi="Arial" w:cs="Arial"/>
                <w:b/>
              </w:rPr>
              <w:t>2014</w:t>
            </w:r>
          </w:p>
        </w:tc>
        <w:tc>
          <w:tcPr>
            <w:tcW w:w="631" w:type="pct"/>
            <w:tcBorders>
              <w:top w:val="nil"/>
            </w:tcBorders>
            <w:shd w:val="clear" w:color="DDD9C3" w:themeColor="background2" w:themeShade="E6" w:fill="FFEFBD"/>
          </w:tcPr>
          <w:p w:rsidR="00E61919" w:rsidRPr="00CC1F72" w:rsidRDefault="00E61919" w:rsidP="00012F90">
            <w:pPr>
              <w:spacing w:after="200" w:line="276" w:lineRule="auto"/>
            </w:pPr>
          </w:p>
        </w:tc>
        <w:tc>
          <w:tcPr>
            <w:tcW w:w="655" w:type="pct"/>
            <w:tcBorders>
              <w:top w:val="nil"/>
            </w:tcBorders>
            <w:shd w:val="clear" w:color="DDD9C3" w:themeColor="background2" w:themeShade="E6" w:fill="FFEFBD"/>
          </w:tcPr>
          <w:p w:rsidR="00E61919" w:rsidRPr="00CC1F72" w:rsidRDefault="00E61919" w:rsidP="00012F90">
            <w:pPr>
              <w:spacing w:after="200" w:line="276" w:lineRule="auto"/>
            </w:pPr>
          </w:p>
        </w:tc>
      </w:tr>
      <w:tr w:rsidR="00E61919" w:rsidRPr="00CC1F72" w:rsidTr="00012F90">
        <w:trPr>
          <w:trHeight w:val="360"/>
        </w:trPr>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7419C" w:rsidRDefault="00E61919" w:rsidP="00012F90">
            <w:pPr>
              <w:rPr>
                <w:rFonts w:ascii="Arial" w:hAnsi="Arial" w:cs="Arial"/>
              </w:rPr>
            </w:pPr>
            <w:r w:rsidRPr="00C7419C">
              <w:rPr>
                <w:rFonts w:ascii="Arial" w:hAnsi="Arial" w:cs="Arial"/>
              </w:rPr>
              <w:t>TOTAL</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7419C" w:rsidRDefault="00E61919" w:rsidP="00012F90">
            <w:pPr>
              <w:pStyle w:val="BodyTextIndent"/>
              <w:spacing w:after="0" w:line="240" w:lineRule="auto"/>
              <w:ind w:left="0"/>
              <w:jc w:val="center"/>
              <w:rPr>
                <w:rFonts w:ascii="Arial" w:eastAsia="SimSun" w:hAnsi="Arial" w:cs="Arial"/>
                <w:sz w:val="24"/>
                <w:szCs w:val="24"/>
                <w:lang w:val="en-GB"/>
              </w:rPr>
            </w:pPr>
            <w:r w:rsidRPr="00C7419C">
              <w:rPr>
                <w:rFonts w:ascii="Arial" w:eastAsia="SimSun" w:hAnsi="Arial" w:cs="Arial"/>
                <w:sz w:val="24"/>
                <w:szCs w:val="24"/>
                <w:lang w:val="en-GB"/>
              </w:rPr>
              <w:t>476576</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7419C" w:rsidRDefault="00E61919" w:rsidP="00012F90">
            <w:pPr>
              <w:pStyle w:val="BodyTextIndent"/>
              <w:spacing w:after="0" w:line="240" w:lineRule="auto"/>
              <w:ind w:left="0"/>
              <w:jc w:val="center"/>
              <w:rPr>
                <w:rFonts w:ascii="Arial" w:eastAsia="SimSun" w:hAnsi="Arial" w:cs="Arial"/>
                <w:sz w:val="24"/>
                <w:szCs w:val="24"/>
                <w:lang w:val="en-GB"/>
              </w:rPr>
            </w:pPr>
            <w:r w:rsidRPr="00C7419C">
              <w:rPr>
                <w:rFonts w:ascii="Arial" w:eastAsia="SimSun" w:hAnsi="Arial" w:cs="Arial"/>
                <w:sz w:val="24"/>
                <w:szCs w:val="24"/>
                <w:lang w:val="en-GB"/>
              </w:rPr>
              <w:t>476576</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7419C" w:rsidRDefault="00E61919" w:rsidP="00012F90">
            <w:pPr>
              <w:pStyle w:val="BodyTextIndent"/>
              <w:spacing w:after="0" w:line="240" w:lineRule="auto"/>
              <w:ind w:left="0"/>
              <w:jc w:val="center"/>
              <w:rPr>
                <w:rFonts w:ascii="Arial" w:eastAsia="SimSun" w:hAnsi="Arial" w:cs="Arial"/>
                <w:sz w:val="24"/>
                <w:szCs w:val="24"/>
                <w:lang w:val="en-GB"/>
              </w:rPr>
            </w:pPr>
            <w:r w:rsidRPr="00C7419C">
              <w:rPr>
                <w:rFonts w:ascii="Arial" w:eastAsia="SimSun" w:hAnsi="Arial" w:cs="Arial"/>
                <w:sz w:val="24"/>
                <w:szCs w:val="24"/>
                <w:lang w:val="en-GB"/>
              </w:rPr>
              <w:t>476576</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7419C" w:rsidRDefault="00E61919" w:rsidP="00012F90">
            <w:pPr>
              <w:pStyle w:val="BodyTextIndent"/>
              <w:spacing w:after="0" w:line="240" w:lineRule="auto"/>
              <w:ind w:left="0"/>
              <w:jc w:val="center"/>
              <w:rPr>
                <w:rFonts w:ascii="Arial" w:eastAsia="SimSun" w:hAnsi="Arial" w:cs="Arial"/>
                <w:sz w:val="24"/>
                <w:szCs w:val="24"/>
                <w:lang w:val="en-GB"/>
              </w:rPr>
            </w:pPr>
            <w:r w:rsidRPr="00C7419C">
              <w:rPr>
                <w:rFonts w:ascii="Arial" w:eastAsia="SimSun" w:hAnsi="Arial" w:cs="Arial"/>
                <w:sz w:val="24"/>
                <w:szCs w:val="24"/>
                <w:lang w:val="en-GB"/>
              </w:rPr>
              <w:t>476576</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C7419C" w:rsidRDefault="00E61919" w:rsidP="00012F90">
            <w:pPr>
              <w:pStyle w:val="BodyTextIndent"/>
              <w:spacing w:after="0" w:line="240" w:lineRule="auto"/>
              <w:ind w:left="0"/>
              <w:jc w:val="center"/>
              <w:rPr>
                <w:rFonts w:ascii="Arial" w:eastAsia="SimSun" w:hAnsi="Arial" w:cs="Arial"/>
                <w:sz w:val="24"/>
                <w:szCs w:val="24"/>
                <w:lang w:val="en-GB"/>
              </w:rPr>
            </w:pPr>
            <w:r w:rsidRPr="00C7419C">
              <w:rPr>
                <w:rFonts w:ascii="Arial" w:eastAsia="SimSun" w:hAnsi="Arial" w:cs="Arial"/>
                <w:sz w:val="24"/>
                <w:szCs w:val="24"/>
                <w:lang w:val="en-GB"/>
              </w:rPr>
              <w:t>476576</w:t>
            </w:r>
          </w:p>
        </w:tc>
        <w:tc>
          <w:tcPr>
            <w:tcW w:w="631" w:type="pct"/>
            <w:tcBorders>
              <w:top w:val="nil"/>
            </w:tcBorders>
            <w:shd w:val="clear" w:color="auto" w:fill="FFFFE7"/>
          </w:tcPr>
          <w:p w:rsidR="00E61919" w:rsidRPr="00CC1F72" w:rsidRDefault="00E61919" w:rsidP="00012F90">
            <w:pPr>
              <w:spacing w:after="200" w:line="276" w:lineRule="auto"/>
            </w:pPr>
          </w:p>
        </w:tc>
        <w:tc>
          <w:tcPr>
            <w:tcW w:w="655" w:type="pct"/>
            <w:tcBorders>
              <w:top w:val="nil"/>
            </w:tcBorders>
            <w:shd w:val="clear" w:color="auto" w:fill="FFFFE7"/>
          </w:tcPr>
          <w:p w:rsidR="00E61919" w:rsidRPr="00CC1F72" w:rsidRDefault="00E61919" w:rsidP="00012F90">
            <w:pPr>
              <w:spacing w:after="200" w:line="276" w:lineRule="auto"/>
            </w:pPr>
          </w:p>
        </w:tc>
      </w:tr>
      <w:tr w:rsidR="00E61919" w:rsidRPr="00775853" w:rsidTr="00012F90">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rPr>
                <w:rFonts w:ascii="Arial" w:hAnsi="Arial" w:cs="Arial"/>
                <w:sz w:val="24"/>
                <w:szCs w:val="24"/>
              </w:rPr>
            </w:pPr>
            <w:r>
              <w:rPr>
                <w:rFonts w:ascii="Arial" w:hAnsi="Arial" w:cs="Arial"/>
                <w:sz w:val="24"/>
                <w:szCs w:val="24"/>
              </w:rPr>
              <w:t>Terenuri</w:t>
            </w:r>
            <w:r w:rsidRPr="00CC1F72">
              <w:rPr>
                <w:rFonts w:ascii="Arial" w:hAnsi="Arial" w:cs="Arial"/>
                <w:sz w:val="24"/>
                <w:szCs w:val="24"/>
              </w:rPr>
              <w:t xml:space="preserve"> agricol</w:t>
            </w:r>
            <w:r>
              <w:rPr>
                <w:rFonts w:ascii="Arial" w:hAnsi="Arial" w:cs="Arial"/>
                <w:sz w:val="24"/>
                <w:szCs w:val="24"/>
              </w:rPr>
              <w:t>e</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387392</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387.363</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387.160</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387.598</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556F40" w:rsidRDefault="00E61919" w:rsidP="00012F90">
            <w:pPr>
              <w:jc w:val="center"/>
              <w:rPr>
                <w:rFonts w:ascii="Arial" w:hAnsi="Arial" w:cs="Arial"/>
                <w:color w:val="000000"/>
              </w:rPr>
            </w:pPr>
            <w:r>
              <w:rPr>
                <w:rFonts w:ascii="Arial" w:hAnsi="Arial" w:cs="Arial"/>
                <w:color w:val="000000"/>
              </w:rPr>
              <w:t>387.750</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sidRPr="00A96335">
              <w:rPr>
                <w:rFonts w:ascii="Arial" w:hAnsi="Arial" w:cs="Arial"/>
                <w:color w:val="000000"/>
              </w:rPr>
              <w:t>358</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0,09</w:t>
            </w:r>
          </w:p>
        </w:tc>
      </w:tr>
      <w:tr w:rsidR="00E61919" w:rsidRPr="00CC1F72" w:rsidTr="00012F90">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rPr>
                <w:rFonts w:ascii="Arial" w:hAnsi="Arial" w:cs="Arial"/>
              </w:rPr>
            </w:pPr>
            <w:r w:rsidRPr="00CC1F72">
              <w:rPr>
                <w:rFonts w:ascii="Arial" w:hAnsi="Arial" w:cs="Arial"/>
              </w:rPr>
              <w:t>Arabil</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349.089</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350.447</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350625</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350.862</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556F40" w:rsidRDefault="00E61919" w:rsidP="00012F90">
            <w:pPr>
              <w:jc w:val="center"/>
              <w:rPr>
                <w:rFonts w:ascii="Arial" w:hAnsi="Arial" w:cs="Arial"/>
                <w:color w:val="000000"/>
              </w:rPr>
            </w:pPr>
            <w:r>
              <w:rPr>
                <w:rFonts w:ascii="Arial" w:hAnsi="Arial" w:cs="Arial"/>
                <w:color w:val="000000"/>
              </w:rPr>
              <w:t>351.420</w:t>
            </w:r>
          </w:p>
        </w:tc>
        <w:tc>
          <w:tcPr>
            <w:tcW w:w="631" w:type="pct"/>
            <w:tcBorders>
              <w:top w:val="nil"/>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sidRPr="00A96335">
              <w:rPr>
                <w:rFonts w:ascii="Arial" w:hAnsi="Arial" w:cs="Arial"/>
                <w:color w:val="000000"/>
              </w:rPr>
              <w:t>2331</w:t>
            </w:r>
          </w:p>
        </w:tc>
        <w:tc>
          <w:tcPr>
            <w:tcW w:w="655" w:type="pct"/>
            <w:tcBorders>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0,67</w:t>
            </w:r>
          </w:p>
        </w:tc>
      </w:tr>
      <w:tr w:rsidR="00E61919" w:rsidRPr="00CC1F72" w:rsidTr="00012F90">
        <w:trPr>
          <w:trHeight w:val="271"/>
        </w:trPr>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rPr>
                <w:rFonts w:ascii="Arial" w:hAnsi="Arial" w:cs="Arial"/>
              </w:rPr>
            </w:pPr>
            <w:r w:rsidRPr="00CC1F72">
              <w:rPr>
                <w:rFonts w:ascii="Arial" w:hAnsi="Arial" w:cs="Arial"/>
              </w:rPr>
              <w:t>Păşuni</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33.171</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31.733</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31332</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31.538</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556F40" w:rsidRDefault="00E61919" w:rsidP="00012F90">
            <w:pPr>
              <w:jc w:val="center"/>
              <w:rPr>
                <w:rFonts w:ascii="Arial" w:hAnsi="Arial" w:cs="Arial"/>
                <w:color w:val="000000"/>
              </w:rPr>
            </w:pPr>
            <w:r>
              <w:rPr>
                <w:rFonts w:ascii="Arial" w:hAnsi="Arial" w:cs="Arial"/>
                <w:color w:val="000000"/>
              </w:rPr>
              <w:t>31.132</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-2039</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-6,15</w:t>
            </w:r>
          </w:p>
        </w:tc>
      </w:tr>
      <w:tr w:rsidR="00E61919" w:rsidRPr="00CC1F72" w:rsidTr="00012F90">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rPr>
                <w:rFonts w:ascii="Arial" w:hAnsi="Arial" w:cs="Arial"/>
              </w:rPr>
            </w:pPr>
            <w:r w:rsidRPr="00CC1F72">
              <w:rPr>
                <w:rFonts w:ascii="Arial" w:hAnsi="Arial" w:cs="Arial"/>
              </w:rPr>
              <w:t>Fâneţe şi pajişti naturale</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jc w:val="center"/>
              <w:rPr>
                <w:rFonts w:ascii="Arial" w:hAnsi="Arial" w:cs="Arial"/>
                <w:sz w:val="24"/>
                <w:szCs w:val="24"/>
              </w:rPr>
            </w:pPr>
            <w:r w:rsidRPr="00CC1F72">
              <w:rPr>
                <w:rFonts w:ascii="Arial" w:hAnsi="Arial" w:cs="Arial"/>
                <w:sz w:val="24"/>
                <w:szCs w:val="24"/>
              </w:rPr>
              <w:t>0</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jc w:val="center"/>
              <w:rPr>
                <w:rFonts w:ascii="Arial" w:hAnsi="Arial" w:cs="Arial"/>
                <w:sz w:val="24"/>
                <w:szCs w:val="24"/>
              </w:rPr>
            </w:pPr>
            <w:r w:rsidRPr="00CC1F72">
              <w:rPr>
                <w:rFonts w:ascii="Arial" w:hAnsi="Arial" w:cs="Arial"/>
                <w:sz w:val="24"/>
                <w:szCs w:val="24"/>
              </w:rPr>
              <w:t>0</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0</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0</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w:t>
            </w:r>
          </w:p>
        </w:tc>
      </w:tr>
      <w:tr w:rsidR="00E61919" w:rsidRPr="00CC1F72" w:rsidTr="00012F90">
        <w:trPr>
          <w:trHeight w:val="399"/>
        </w:trPr>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rPr>
                <w:rFonts w:ascii="Arial" w:hAnsi="Arial" w:cs="Arial"/>
              </w:rPr>
            </w:pPr>
            <w:r w:rsidRPr="00CC1F72">
              <w:rPr>
                <w:rFonts w:ascii="Arial" w:hAnsi="Arial" w:cs="Arial"/>
              </w:rPr>
              <w:t>Vii</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4492</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4.529</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4545</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4560</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4560</w:t>
            </w:r>
          </w:p>
        </w:tc>
        <w:tc>
          <w:tcPr>
            <w:tcW w:w="631" w:type="pct"/>
            <w:tcBorders>
              <w:top w:val="nil"/>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68</w:t>
            </w:r>
          </w:p>
        </w:tc>
        <w:tc>
          <w:tcPr>
            <w:tcW w:w="655" w:type="pct"/>
            <w:tcBorders>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1,51</w:t>
            </w:r>
          </w:p>
        </w:tc>
      </w:tr>
      <w:tr w:rsidR="00E61919" w:rsidRPr="00CC1F72" w:rsidTr="00012F90">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rPr>
                <w:rFonts w:ascii="Arial" w:hAnsi="Arial" w:cs="Arial"/>
              </w:rPr>
            </w:pPr>
            <w:r w:rsidRPr="00CC1F72">
              <w:rPr>
                <w:rFonts w:ascii="Arial" w:hAnsi="Arial" w:cs="Arial"/>
              </w:rPr>
              <w:t>Livezi</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640</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654</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658</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638</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638</w:t>
            </w:r>
          </w:p>
        </w:tc>
        <w:tc>
          <w:tcPr>
            <w:tcW w:w="631" w:type="pct"/>
            <w:tcBorders>
              <w:top w:val="nil"/>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-2</w:t>
            </w:r>
          </w:p>
        </w:tc>
        <w:tc>
          <w:tcPr>
            <w:tcW w:w="655" w:type="pct"/>
            <w:tcBorders>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-0,31</w:t>
            </w:r>
          </w:p>
        </w:tc>
      </w:tr>
      <w:tr w:rsidR="00E61919" w:rsidRPr="00CC1F72" w:rsidTr="00012F90">
        <w:trPr>
          <w:trHeight w:val="312"/>
        </w:trPr>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rPr>
                <w:rFonts w:ascii="Arial" w:hAnsi="Arial" w:cs="Arial"/>
                <w:sz w:val="24"/>
                <w:szCs w:val="24"/>
              </w:rPr>
            </w:pPr>
            <w:r>
              <w:rPr>
                <w:rFonts w:ascii="Arial" w:hAnsi="Arial" w:cs="Arial"/>
                <w:sz w:val="24"/>
                <w:szCs w:val="24"/>
              </w:rPr>
              <w:t xml:space="preserve">Terenuri </w:t>
            </w:r>
            <w:r w:rsidRPr="00CC1F72">
              <w:rPr>
                <w:rFonts w:ascii="Arial" w:hAnsi="Arial" w:cs="Arial"/>
                <w:sz w:val="24"/>
                <w:szCs w:val="24"/>
              </w:rPr>
              <w:t xml:space="preserve"> </w:t>
            </w:r>
            <w:r>
              <w:rPr>
                <w:rFonts w:ascii="Arial" w:hAnsi="Arial" w:cs="Arial"/>
                <w:sz w:val="24"/>
                <w:szCs w:val="24"/>
              </w:rPr>
              <w:t>ne</w:t>
            </w:r>
            <w:r w:rsidRPr="00CC1F72">
              <w:rPr>
                <w:rFonts w:ascii="Arial" w:hAnsi="Arial" w:cs="Arial"/>
                <w:sz w:val="24"/>
                <w:szCs w:val="24"/>
              </w:rPr>
              <w:t>agricol</w:t>
            </w:r>
            <w:r>
              <w:rPr>
                <w:rFonts w:ascii="Arial" w:hAnsi="Arial" w:cs="Arial"/>
                <w:sz w:val="24"/>
                <w:szCs w:val="24"/>
              </w:rPr>
              <w:t>e</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89.184</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89.213</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8</w:t>
            </w:r>
            <w:r>
              <w:rPr>
                <w:rFonts w:ascii="Arial" w:hAnsi="Arial" w:cs="Arial"/>
                <w:sz w:val="24"/>
                <w:szCs w:val="24"/>
              </w:rPr>
              <w:t>9</w:t>
            </w:r>
            <w:r w:rsidRPr="00CC1F72">
              <w:rPr>
                <w:rFonts w:ascii="Arial" w:hAnsi="Arial" w:cs="Arial"/>
                <w:sz w:val="24"/>
                <w:szCs w:val="24"/>
              </w:rPr>
              <w:t>.</w:t>
            </w:r>
            <w:r>
              <w:rPr>
                <w:rFonts w:ascii="Arial" w:hAnsi="Arial" w:cs="Arial"/>
                <w:sz w:val="24"/>
                <w:szCs w:val="24"/>
              </w:rPr>
              <w:t>416</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786F4C" w:rsidRDefault="00E61919" w:rsidP="00012F90">
            <w:pPr>
              <w:jc w:val="center"/>
              <w:rPr>
                <w:rFonts w:ascii="Arial" w:hAnsi="Arial" w:cs="Arial"/>
              </w:rPr>
            </w:pPr>
            <w:r w:rsidRPr="00CC1F72">
              <w:rPr>
                <w:rFonts w:ascii="Arial" w:hAnsi="Arial" w:cs="Arial"/>
              </w:rPr>
              <w:t>88.978</w:t>
            </w:r>
          </w:p>
        </w:tc>
        <w:tc>
          <w:tcPr>
            <w:tcW w:w="557" w:type="pct"/>
            <w:tcBorders>
              <w:top w:val="single" w:sz="4" w:space="0" w:color="auto"/>
              <w:bottom w:val="single" w:sz="4" w:space="0" w:color="auto"/>
            </w:tcBorders>
            <w:shd w:val="clear" w:color="auto" w:fill="FFFFE7"/>
            <w:vAlign w:val="center"/>
          </w:tcPr>
          <w:p w:rsidR="00E61919" w:rsidRPr="00786F4C" w:rsidRDefault="00E61919" w:rsidP="00012F90">
            <w:pPr>
              <w:jc w:val="center"/>
              <w:rPr>
                <w:rFonts w:ascii="Arial" w:hAnsi="Arial" w:cs="Arial"/>
              </w:rPr>
            </w:pPr>
            <w:r w:rsidRPr="00CC1F72">
              <w:rPr>
                <w:rFonts w:ascii="Arial" w:hAnsi="Arial" w:cs="Arial"/>
              </w:rPr>
              <w:t>88.</w:t>
            </w:r>
            <w:r>
              <w:rPr>
                <w:rFonts w:ascii="Arial" w:hAnsi="Arial" w:cs="Arial"/>
              </w:rPr>
              <w:t>826</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-358</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-0,40</w:t>
            </w:r>
          </w:p>
        </w:tc>
      </w:tr>
      <w:tr w:rsidR="00E61919" w:rsidRPr="00CC1F72" w:rsidTr="00012F90">
        <w:trPr>
          <w:trHeight w:val="312"/>
        </w:trPr>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D623E4" w:rsidRDefault="00E61919" w:rsidP="00012F90">
            <w:pPr>
              <w:rPr>
                <w:rFonts w:ascii="Arial" w:hAnsi="Arial" w:cs="Arial"/>
              </w:rPr>
            </w:pPr>
            <w:r w:rsidRPr="00D623E4">
              <w:rPr>
                <w:rFonts w:ascii="Arial" w:hAnsi="Arial" w:cs="Arial"/>
              </w:rPr>
              <w:t>Păduri</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28</w:t>
            </w:r>
            <w:r w:rsidRPr="00CC1F72">
              <w:rPr>
                <w:rFonts w:ascii="Arial" w:hAnsi="Arial" w:cs="Arial"/>
                <w:sz w:val="24"/>
                <w:szCs w:val="24"/>
              </w:rPr>
              <w:t>.</w:t>
            </w:r>
            <w:r>
              <w:rPr>
                <w:rFonts w:ascii="Arial" w:hAnsi="Arial" w:cs="Arial"/>
                <w:sz w:val="24"/>
                <w:szCs w:val="24"/>
              </w:rPr>
              <w:t>388</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28</w:t>
            </w:r>
            <w:r w:rsidRPr="00CC1F72">
              <w:rPr>
                <w:rFonts w:ascii="Arial" w:hAnsi="Arial" w:cs="Arial"/>
                <w:sz w:val="24"/>
                <w:szCs w:val="24"/>
              </w:rPr>
              <w:t>.</w:t>
            </w:r>
            <w:r>
              <w:rPr>
                <w:rFonts w:ascii="Arial" w:hAnsi="Arial" w:cs="Arial"/>
                <w:sz w:val="24"/>
                <w:szCs w:val="24"/>
              </w:rPr>
              <w:t>383</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28552</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4F770A" w:rsidRDefault="00E61919" w:rsidP="00012F90">
            <w:pPr>
              <w:jc w:val="center"/>
              <w:rPr>
                <w:rFonts w:ascii="Arial" w:hAnsi="Arial" w:cs="Arial"/>
              </w:rPr>
            </w:pPr>
            <w:r w:rsidRPr="004F770A">
              <w:rPr>
                <w:rFonts w:ascii="Arial" w:hAnsi="Arial" w:cs="Arial"/>
              </w:rPr>
              <w:t>28653</w:t>
            </w:r>
          </w:p>
        </w:tc>
        <w:tc>
          <w:tcPr>
            <w:tcW w:w="557" w:type="pct"/>
            <w:tcBorders>
              <w:top w:val="single" w:sz="4" w:space="0" w:color="auto"/>
              <w:bottom w:val="single" w:sz="4" w:space="0" w:color="auto"/>
            </w:tcBorders>
            <w:shd w:val="clear" w:color="auto" w:fill="FFFFE7"/>
            <w:vAlign w:val="center"/>
          </w:tcPr>
          <w:p w:rsidR="00E61919" w:rsidRPr="00974EB4" w:rsidRDefault="00E61919" w:rsidP="00012F90">
            <w:pPr>
              <w:jc w:val="center"/>
              <w:rPr>
                <w:rFonts w:ascii="Arial" w:hAnsi="Arial" w:cs="Arial"/>
              </w:rPr>
            </w:pPr>
            <w:r w:rsidRPr="00974EB4">
              <w:rPr>
                <w:rFonts w:ascii="Arial" w:hAnsi="Arial" w:cs="Arial"/>
              </w:rPr>
              <w:t>28687</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299</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1,05</w:t>
            </w:r>
          </w:p>
        </w:tc>
      </w:tr>
      <w:tr w:rsidR="00E61919" w:rsidRPr="00CC1F72" w:rsidTr="00012F90">
        <w:trPr>
          <w:trHeight w:val="312"/>
        </w:trPr>
        <w:tc>
          <w:tcPr>
            <w:tcW w:w="856"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D623E4" w:rsidRDefault="00E61919" w:rsidP="00012F90">
            <w:pPr>
              <w:tabs>
                <w:tab w:val="num" w:pos="1092"/>
              </w:tabs>
              <w:rPr>
                <w:rFonts w:ascii="Arial" w:hAnsi="Arial" w:cs="Arial"/>
              </w:rPr>
            </w:pPr>
            <w:r w:rsidRPr="00D623E4">
              <w:rPr>
                <w:rFonts w:ascii="Arial" w:hAnsi="Arial" w:cs="Arial"/>
              </w:rPr>
              <w:t>Ape</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33.171</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30.672</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w:t>
            </w:r>
            <w:r>
              <w:rPr>
                <w:rFonts w:ascii="Arial" w:hAnsi="Arial" w:cs="Arial"/>
                <w:sz w:val="24"/>
                <w:szCs w:val="24"/>
              </w:rPr>
              <w:t>0</w:t>
            </w:r>
            <w:r w:rsidRPr="00CC1F72">
              <w:rPr>
                <w:rFonts w:ascii="Arial" w:hAnsi="Arial" w:cs="Arial"/>
                <w:sz w:val="24"/>
                <w:szCs w:val="24"/>
              </w:rPr>
              <w:t>.</w:t>
            </w:r>
            <w:r>
              <w:rPr>
                <w:rFonts w:ascii="Arial" w:hAnsi="Arial" w:cs="Arial"/>
                <w:sz w:val="24"/>
                <w:szCs w:val="24"/>
              </w:rPr>
              <w:t>590</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4F770A" w:rsidRDefault="00E61919" w:rsidP="00012F90">
            <w:pPr>
              <w:jc w:val="center"/>
              <w:rPr>
                <w:rFonts w:ascii="Arial" w:hAnsi="Arial" w:cs="Arial"/>
              </w:rPr>
            </w:pPr>
            <w:r w:rsidRPr="004F770A">
              <w:rPr>
                <w:rFonts w:ascii="Arial" w:hAnsi="Arial" w:cs="Arial"/>
              </w:rPr>
              <w:t>30556</w:t>
            </w:r>
          </w:p>
        </w:tc>
        <w:tc>
          <w:tcPr>
            <w:tcW w:w="557" w:type="pct"/>
            <w:tcBorders>
              <w:top w:val="single" w:sz="4" w:space="0" w:color="auto"/>
              <w:bottom w:val="single" w:sz="4" w:space="0" w:color="auto"/>
            </w:tcBorders>
            <w:shd w:val="clear" w:color="auto" w:fill="FFFFE7"/>
            <w:vAlign w:val="center"/>
          </w:tcPr>
          <w:p w:rsidR="00E61919" w:rsidRPr="00C460DD" w:rsidRDefault="00E61919" w:rsidP="00012F90">
            <w:pPr>
              <w:jc w:val="center"/>
              <w:rPr>
                <w:rFonts w:ascii="Arial" w:eastAsia="Times New Roman" w:hAnsi="Arial" w:cs="Arial"/>
                <w:lang w:val="en-US"/>
              </w:rPr>
            </w:pPr>
            <w:r w:rsidRPr="00C460DD">
              <w:rPr>
                <w:rFonts w:ascii="Arial" w:eastAsia="Times New Roman" w:hAnsi="Arial" w:cs="Arial"/>
                <w:lang w:val="en-US"/>
              </w:rPr>
              <w:t>30331</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-2840</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-8,56</w:t>
            </w:r>
          </w:p>
        </w:tc>
      </w:tr>
      <w:tr w:rsidR="00E61919" w:rsidRPr="00CC1F72" w:rsidTr="00012F90">
        <w:trPr>
          <w:trHeight w:val="312"/>
        </w:trPr>
        <w:tc>
          <w:tcPr>
            <w:tcW w:w="856" w:type="pct"/>
            <w:tcBorders>
              <w:top w:val="single" w:sz="4" w:space="0" w:color="auto"/>
              <w:left w:val="single" w:sz="4" w:space="0" w:color="auto"/>
              <w:bottom w:val="single" w:sz="4" w:space="0" w:color="auto"/>
              <w:right w:val="single" w:sz="4" w:space="0" w:color="auto"/>
            </w:tcBorders>
            <w:shd w:val="clear" w:color="auto" w:fill="FFFFE7"/>
            <w:hideMark/>
          </w:tcPr>
          <w:p w:rsidR="00E61919" w:rsidRPr="00260C83" w:rsidRDefault="00E61919" w:rsidP="00012F90">
            <w:pPr>
              <w:tabs>
                <w:tab w:val="num" w:pos="1092"/>
              </w:tabs>
              <w:rPr>
                <w:rFonts w:ascii="Arial" w:hAnsi="Arial" w:cs="Arial"/>
              </w:rPr>
            </w:pPr>
            <w:r>
              <w:rPr>
                <w:rFonts w:ascii="Arial" w:hAnsi="Arial" w:cs="Arial"/>
              </w:rPr>
              <w:t>D</w:t>
            </w:r>
            <w:r w:rsidRPr="00260C83">
              <w:rPr>
                <w:rFonts w:ascii="Arial" w:hAnsi="Arial" w:cs="Arial"/>
              </w:rPr>
              <w:t>rumuri şi căi ferate</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8.543</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8.587</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8597</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4F770A" w:rsidRDefault="00E61919" w:rsidP="00012F90">
            <w:pPr>
              <w:jc w:val="center"/>
              <w:rPr>
                <w:rFonts w:ascii="Arial" w:hAnsi="Arial" w:cs="Arial"/>
              </w:rPr>
            </w:pPr>
            <w:r w:rsidRPr="004F770A">
              <w:rPr>
                <w:rFonts w:ascii="Arial" w:hAnsi="Arial" w:cs="Arial"/>
              </w:rPr>
              <w:t>8592</w:t>
            </w:r>
          </w:p>
        </w:tc>
        <w:tc>
          <w:tcPr>
            <w:tcW w:w="557" w:type="pct"/>
            <w:tcBorders>
              <w:top w:val="single" w:sz="4" w:space="0" w:color="auto"/>
              <w:bottom w:val="single" w:sz="4" w:space="0" w:color="auto"/>
            </w:tcBorders>
            <w:shd w:val="clear" w:color="auto" w:fill="FFFFE7"/>
            <w:vAlign w:val="center"/>
          </w:tcPr>
          <w:p w:rsidR="00E61919" w:rsidRPr="00974EB4" w:rsidRDefault="00E61919" w:rsidP="00012F90">
            <w:pPr>
              <w:jc w:val="center"/>
              <w:rPr>
                <w:rFonts w:ascii="Arial" w:hAnsi="Arial" w:cs="Arial"/>
              </w:rPr>
            </w:pPr>
            <w:r w:rsidRPr="00974EB4">
              <w:rPr>
                <w:rFonts w:ascii="Arial" w:hAnsi="Arial" w:cs="Arial"/>
              </w:rPr>
              <w:t>8586</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43</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0,50</w:t>
            </w:r>
          </w:p>
        </w:tc>
      </w:tr>
      <w:tr w:rsidR="00E61919" w:rsidRPr="00CC1F72" w:rsidTr="00012F90">
        <w:trPr>
          <w:trHeight w:val="312"/>
        </w:trPr>
        <w:tc>
          <w:tcPr>
            <w:tcW w:w="856" w:type="pct"/>
            <w:tcBorders>
              <w:top w:val="single" w:sz="4" w:space="0" w:color="auto"/>
              <w:left w:val="single" w:sz="4" w:space="0" w:color="auto"/>
              <w:bottom w:val="single" w:sz="4" w:space="0" w:color="auto"/>
              <w:right w:val="single" w:sz="4" w:space="0" w:color="auto"/>
            </w:tcBorders>
            <w:shd w:val="clear" w:color="auto" w:fill="FFFFE7"/>
            <w:hideMark/>
          </w:tcPr>
          <w:p w:rsidR="00E61919" w:rsidRPr="00260C83" w:rsidRDefault="00E61919" w:rsidP="00012F90">
            <w:pPr>
              <w:tabs>
                <w:tab w:val="left" w:pos="652"/>
                <w:tab w:val="left" w:pos="1078"/>
              </w:tabs>
              <w:rPr>
                <w:rFonts w:ascii="Arial" w:hAnsi="Arial" w:cs="Arial"/>
              </w:rPr>
            </w:pPr>
            <w:r>
              <w:rPr>
                <w:rFonts w:ascii="Arial" w:hAnsi="Arial" w:cs="Arial"/>
              </w:rPr>
              <w:t>C</w:t>
            </w:r>
            <w:r w:rsidRPr="00260C83">
              <w:rPr>
                <w:rFonts w:ascii="Arial" w:hAnsi="Arial" w:cs="Arial"/>
              </w:rPr>
              <w:t>urţi şi construcţii</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12.735</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13.058</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13.066</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4F770A" w:rsidRDefault="00E61919" w:rsidP="00012F90">
            <w:pPr>
              <w:jc w:val="center"/>
              <w:rPr>
                <w:rFonts w:ascii="Arial" w:hAnsi="Arial" w:cs="Arial"/>
              </w:rPr>
            </w:pPr>
            <w:r w:rsidRPr="004F770A">
              <w:rPr>
                <w:rFonts w:ascii="Arial" w:hAnsi="Arial" w:cs="Arial"/>
              </w:rPr>
              <w:t>13267</w:t>
            </w:r>
          </w:p>
        </w:tc>
        <w:tc>
          <w:tcPr>
            <w:tcW w:w="557" w:type="pct"/>
            <w:tcBorders>
              <w:top w:val="single" w:sz="4" w:space="0" w:color="auto"/>
              <w:bottom w:val="single" w:sz="4" w:space="0" w:color="auto"/>
            </w:tcBorders>
            <w:shd w:val="clear" w:color="auto" w:fill="FFFFE7"/>
            <w:vAlign w:val="center"/>
          </w:tcPr>
          <w:p w:rsidR="00E61919" w:rsidRPr="00974EB4" w:rsidRDefault="00E61919" w:rsidP="00012F90">
            <w:pPr>
              <w:jc w:val="center"/>
              <w:rPr>
                <w:rFonts w:ascii="Arial" w:hAnsi="Arial" w:cs="Arial"/>
              </w:rPr>
            </w:pPr>
            <w:r w:rsidRPr="00974EB4">
              <w:rPr>
                <w:rFonts w:ascii="Arial" w:hAnsi="Arial" w:cs="Arial"/>
              </w:rPr>
              <w:t>13294</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559</w:t>
            </w:r>
          </w:p>
        </w:tc>
        <w:tc>
          <w:tcPr>
            <w:tcW w:w="655"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4,39</w:t>
            </w:r>
          </w:p>
        </w:tc>
      </w:tr>
      <w:tr w:rsidR="00E61919" w:rsidRPr="008F7432" w:rsidTr="00012F90">
        <w:trPr>
          <w:trHeight w:val="312"/>
        </w:trPr>
        <w:tc>
          <w:tcPr>
            <w:tcW w:w="856" w:type="pct"/>
            <w:tcBorders>
              <w:top w:val="single" w:sz="4" w:space="0" w:color="auto"/>
              <w:left w:val="single" w:sz="4" w:space="0" w:color="auto"/>
              <w:bottom w:val="single" w:sz="4" w:space="0" w:color="auto"/>
              <w:right w:val="single" w:sz="4" w:space="0" w:color="auto"/>
            </w:tcBorders>
            <w:shd w:val="clear" w:color="auto" w:fill="FFFFE7"/>
            <w:hideMark/>
          </w:tcPr>
          <w:p w:rsidR="00E61919" w:rsidRPr="00260C83" w:rsidRDefault="00E61919" w:rsidP="00012F90">
            <w:pPr>
              <w:tabs>
                <w:tab w:val="num" w:pos="1092"/>
              </w:tabs>
              <w:rPr>
                <w:rFonts w:ascii="Arial" w:hAnsi="Arial" w:cs="Arial"/>
              </w:rPr>
            </w:pPr>
            <w:r>
              <w:rPr>
                <w:rFonts w:ascii="Arial" w:hAnsi="Arial" w:cs="Arial"/>
              </w:rPr>
              <w:t>N</w:t>
            </w:r>
            <w:r w:rsidRPr="00260C83">
              <w:rPr>
                <w:rFonts w:ascii="Arial" w:hAnsi="Arial" w:cs="Arial"/>
              </w:rPr>
              <w:t>eproductive</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8F7432" w:rsidRDefault="00E61919" w:rsidP="00012F90">
            <w:pPr>
              <w:pStyle w:val="BodyTextIndent"/>
              <w:spacing w:after="0" w:line="240" w:lineRule="auto"/>
              <w:ind w:left="0"/>
              <w:jc w:val="center"/>
              <w:rPr>
                <w:rFonts w:ascii="Arial" w:eastAsia="SimSun" w:hAnsi="Arial" w:cs="Arial"/>
                <w:sz w:val="24"/>
                <w:szCs w:val="24"/>
                <w:lang w:val="en-GB"/>
              </w:rPr>
            </w:pPr>
            <w:r w:rsidRPr="008F7432">
              <w:rPr>
                <w:rFonts w:ascii="Arial" w:eastAsia="SimSun" w:hAnsi="Arial" w:cs="Arial"/>
                <w:sz w:val="24"/>
                <w:szCs w:val="24"/>
                <w:lang w:val="en-GB"/>
              </w:rPr>
              <w:t>8.496</w:t>
            </w:r>
          </w:p>
        </w:tc>
        <w:tc>
          <w:tcPr>
            <w:tcW w:w="582"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8F7432" w:rsidRDefault="00E61919" w:rsidP="00012F90">
            <w:pPr>
              <w:pStyle w:val="BodyTextIndent"/>
              <w:spacing w:after="0" w:line="240" w:lineRule="auto"/>
              <w:ind w:left="0"/>
              <w:jc w:val="center"/>
              <w:rPr>
                <w:rFonts w:ascii="Arial" w:eastAsia="SimSun" w:hAnsi="Arial" w:cs="Arial"/>
                <w:sz w:val="24"/>
                <w:szCs w:val="24"/>
                <w:lang w:val="en-GB"/>
              </w:rPr>
            </w:pPr>
            <w:r w:rsidRPr="008F7432">
              <w:rPr>
                <w:rFonts w:ascii="Arial" w:eastAsia="SimSun" w:hAnsi="Arial" w:cs="Arial"/>
                <w:sz w:val="24"/>
                <w:szCs w:val="24"/>
                <w:lang w:val="en-GB"/>
              </w:rPr>
              <w:t>8.513</w:t>
            </w:r>
          </w:p>
        </w:tc>
        <w:tc>
          <w:tcPr>
            <w:tcW w:w="580" w:type="pct"/>
            <w:tcBorders>
              <w:top w:val="single" w:sz="4" w:space="0" w:color="auto"/>
              <w:left w:val="single" w:sz="4" w:space="0" w:color="auto"/>
              <w:bottom w:val="single" w:sz="4" w:space="0" w:color="auto"/>
              <w:right w:val="single" w:sz="4" w:space="0" w:color="auto"/>
            </w:tcBorders>
            <w:shd w:val="clear" w:color="auto" w:fill="FFFFE7"/>
            <w:vAlign w:val="center"/>
            <w:hideMark/>
          </w:tcPr>
          <w:p w:rsidR="00E61919" w:rsidRPr="008F7432" w:rsidRDefault="00E61919" w:rsidP="00012F90">
            <w:pPr>
              <w:pStyle w:val="BodyTextIndent"/>
              <w:spacing w:after="0" w:line="240" w:lineRule="auto"/>
              <w:ind w:left="0"/>
              <w:jc w:val="center"/>
              <w:rPr>
                <w:rFonts w:ascii="Arial" w:eastAsia="SimSun" w:hAnsi="Arial" w:cs="Arial"/>
                <w:sz w:val="24"/>
                <w:szCs w:val="24"/>
                <w:lang w:val="en-GB"/>
              </w:rPr>
            </w:pPr>
            <w:r w:rsidRPr="008F7432">
              <w:rPr>
                <w:rFonts w:ascii="Arial" w:eastAsia="SimSun" w:hAnsi="Arial" w:cs="Arial"/>
                <w:sz w:val="24"/>
                <w:szCs w:val="24"/>
                <w:lang w:val="en-GB"/>
              </w:rPr>
              <w:t>8616</w:t>
            </w:r>
          </w:p>
        </w:tc>
        <w:tc>
          <w:tcPr>
            <w:tcW w:w="557" w:type="pct"/>
            <w:tcBorders>
              <w:top w:val="single" w:sz="4" w:space="0" w:color="auto"/>
              <w:left w:val="single" w:sz="4" w:space="0" w:color="auto"/>
              <w:bottom w:val="single" w:sz="4" w:space="0" w:color="auto"/>
              <w:right w:val="single" w:sz="4" w:space="0" w:color="auto"/>
            </w:tcBorders>
            <w:shd w:val="clear" w:color="auto" w:fill="FFFFE7"/>
            <w:vAlign w:val="center"/>
          </w:tcPr>
          <w:p w:rsidR="00E61919" w:rsidRPr="004F770A" w:rsidRDefault="00E61919" w:rsidP="00012F90">
            <w:pPr>
              <w:jc w:val="center"/>
              <w:rPr>
                <w:rFonts w:ascii="Arial" w:hAnsi="Arial" w:cs="Arial"/>
              </w:rPr>
            </w:pPr>
            <w:r w:rsidRPr="004F770A">
              <w:rPr>
                <w:rFonts w:ascii="Arial" w:hAnsi="Arial" w:cs="Arial"/>
              </w:rPr>
              <w:t>8110</w:t>
            </w:r>
          </w:p>
        </w:tc>
        <w:tc>
          <w:tcPr>
            <w:tcW w:w="557" w:type="pct"/>
            <w:tcBorders>
              <w:top w:val="single" w:sz="4" w:space="0" w:color="auto"/>
              <w:bottom w:val="single" w:sz="4" w:space="0" w:color="auto"/>
            </w:tcBorders>
            <w:shd w:val="clear" w:color="auto" w:fill="FFFFE7"/>
            <w:vAlign w:val="center"/>
          </w:tcPr>
          <w:p w:rsidR="00E61919" w:rsidRPr="008F7432" w:rsidRDefault="00E61919" w:rsidP="00012F90">
            <w:pPr>
              <w:jc w:val="center"/>
              <w:rPr>
                <w:rFonts w:ascii="Arial" w:hAnsi="Arial" w:cs="Arial"/>
              </w:rPr>
            </w:pPr>
            <w:r w:rsidRPr="00974EB4">
              <w:rPr>
                <w:rFonts w:ascii="Arial" w:hAnsi="Arial" w:cs="Arial"/>
              </w:rPr>
              <w:t>7928</w:t>
            </w:r>
          </w:p>
        </w:tc>
        <w:tc>
          <w:tcPr>
            <w:tcW w:w="631" w:type="pct"/>
            <w:tcBorders>
              <w:top w:val="single" w:sz="4" w:space="0" w:color="auto"/>
              <w:bottom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-568</w:t>
            </w:r>
          </w:p>
        </w:tc>
        <w:tc>
          <w:tcPr>
            <w:tcW w:w="655" w:type="pct"/>
            <w:tcBorders>
              <w:top w:val="single" w:sz="4" w:space="0" w:color="auto"/>
            </w:tcBorders>
            <w:shd w:val="clear" w:color="auto" w:fill="FFFFE7"/>
            <w:vAlign w:val="center"/>
          </w:tcPr>
          <w:p w:rsidR="00E61919" w:rsidRPr="00A96335" w:rsidRDefault="00E61919" w:rsidP="00012F90">
            <w:pPr>
              <w:jc w:val="center"/>
              <w:rPr>
                <w:rFonts w:ascii="Arial" w:hAnsi="Arial" w:cs="Arial"/>
                <w:color w:val="000000"/>
              </w:rPr>
            </w:pPr>
            <w:r>
              <w:rPr>
                <w:rFonts w:ascii="Arial" w:hAnsi="Arial" w:cs="Arial"/>
                <w:color w:val="000000"/>
              </w:rPr>
              <w:t>-6,69</w:t>
            </w:r>
          </w:p>
        </w:tc>
      </w:tr>
    </w:tbl>
    <w:p w:rsidR="00E61919" w:rsidRDefault="00E61919" w:rsidP="00E61919">
      <w:pPr>
        <w:jc w:val="both"/>
        <w:rPr>
          <w:rFonts w:ascii="Arial" w:hAnsi="Arial" w:cs="Arial"/>
          <w:color w:val="00B050"/>
        </w:rPr>
      </w:pPr>
    </w:p>
    <w:p w:rsidR="00E61919" w:rsidRPr="004A3D42" w:rsidRDefault="00E61919" w:rsidP="00E61919">
      <w:pPr>
        <w:jc w:val="both"/>
        <w:rPr>
          <w:rFonts w:ascii="Arial" w:hAnsi="Arial" w:cs="Arial"/>
        </w:rPr>
      </w:pPr>
      <w:r w:rsidRPr="004A3D42">
        <w:rPr>
          <w:rFonts w:ascii="Arial" w:hAnsi="Arial" w:cs="Arial"/>
        </w:rPr>
        <w:t>Schimbări în acoperirea/utilizar</w:t>
      </w:r>
      <w:r>
        <w:rPr>
          <w:rFonts w:ascii="Arial" w:hAnsi="Arial" w:cs="Arial"/>
        </w:rPr>
        <w:t>ea terenurilor, în perioada 2010</w:t>
      </w:r>
      <w:r w:rsidRPr="004A3D42">
        <w:rPr>
          <w:rFonts w:ascii="Arial" w:hAnsi="Arial" w:cs="Arial"/>
        </w:rPr>
        <w:t>-2014 (ha)</w:t>
      </w:r>
    </w:p>
    <w:p w:rsidR="00E61919" w:rsidRDefault="00E61919" w:rsidP="00E61919">
      <w:pPr>
        <w:jc w:val="both"/>
        <w:rPr>
          <w:rFonts w:ascii="Arial" w:hAnsi="Arial" w:cs="Arial"/>
          <w:color w:val="00B050"/>
        </w:rPr>
      </w:pPr>
    </w:p>
    <w:p w:rsidR="00E61919" w:rsidRDefault="00E61919" w:rsidP="00E61919">
      <w:pPr>
        <w:jc w:val="center"/>
        <w:rPr>
          <w:rFonts w:ascii="Arial" w:hAnsi="Arial" w:cs="Arial"/>
          <w:color w:val="00B050"/>
        </w:rPr>
      </w:pPr>
      <w:r>
        <w:rPr>
          <w:rFonts w:ascii="Arial" w:hAnsi="Arial" w:cs="Arial"/>
          <w:noProof/>
          <w:color w:val="00B050"/>
          <w:lang w:val="ro-RO" w:eastAsia="ro-RO"/>
        </w:rPr>
        <w:drawing>
          <wp:inline distT="0" distB="0" distL="0" distR="0">
            <wp:extent cx="4859164" cy="2794959"/>
            <wp:effectExtent l="19050" t="0" r="17636" b="5391"/>
            <wp:docPr id="69"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6"/>
              </a:graphicData>
            </a:graphic>
          </wp:inline>
        </w:drawing>
      </w:r>
    </w:p>
    <w:p w:rsidR="00E61919" w:rsidRPr="006E4863" w:rsidRDefault="00E61919" w:rsidP="00E61919">
      <w:pPr>
        <w:pStyle w:val="Heading1"/>
        <w:jc w:val="center"/>
        <w:rPr>
          <w:bCs w:val="0"/>
          <w:sz w:val="24"/>
          <w:szCs w:val="24"/>
          <w:lang w:val="es-ES"/>
        </w:rPr>
      </w:pPr>
      <w:r w:rsidRPr="004A3D42">
        <w:rPr>
          <w:bCs w:val="0"/>
          <w:sz w:val="24"/>
          <w:szCs w:val="24"/>
          <w:lang w:val="es-ES"/>
        </w:rPr>
        <w:t>Fig. IV.1.</w:t>
      </w:r>
      <w:r>
        <w:rPr>
          <w:bCs w:val="0"/>
          <w:sz w:val="24"/>
          <w:szCs w:val="24"/>
          <w:lang w:val="es-ES"/>
        </w:rPr>
        <w:t>2-1</w:t>
      </w:r>
    </w:p>
    <w:p w:rsidR="00E61919" w:rsidRDefault="00E61919" w:rsidP="00E61919">
      <w:pPr>
        <w:rPr>
          <w:lang w:val="es-ES"/>
        </w:rPr>
      </w:pPr>
    </w:p>
    <w:p w:rsidR="00E61919" w:rsidRPr="004A3D42" w:rsidRDefault="00E61919" w:rsidP="00E61919">
      <w:pPr>
        <w:jc w:val="both"/>
        <w:rPr>
          <w:rFonts w:ascii="Arial" w:hAnsi="Arial" w:cs="Arial"/>
        </w:rPr>
      </w:pPr>
      <w:r w:rsidRPr="004A3D42">
        <w:rPr>
          <w:rFonts w:ascii="Arial" w:hAnsi="Arial" w:cs="Arial"/>
        </w:rPr>
        <w:t xml:space="preserve">Schimbări în acoperirea/utilizarea terenurilor, în </w:t>
      </w:r>
      <w:r>
        <w:rPr>
          <w:rFonts w:ascii="Arial" w:hAnsi="Arial" w:cs="Arial"/>
        </w:rPr>
        <w:t>perioada 2010</w:t>
      </w:r>
      <w:r w:rsidRPr="004A3D42">
        <w:rPr>
          <w:rFonts w:ascii="Arial" w:hAnsi="Arial" w:cs="Arial"/>
        </w:rPr>
        <w:t>-2014 (</w:t>
      </w:r>
      <w:r>
        <w:rPr>
          <w:rFonts w:ascii="Arial" w:hAnsi="Arial" w:cs="Arial"/>
        </w:rPr>
        <w:t>% din anul 2012</w:t>
      </w:r>
      <w:r w:rsidRPr="004A3D42">
        <w:rPr>
          <w:rFonts w:ascii="Arial" w:hAnsi="Arial" w:cs="Arial"/>
        </w:rPr>
        <w:t>)</w:t>
      </w:r>
    </w:p>
    <w:p w:rsidR="00E61919" w:rsidRDefault="00E61919" w:rsidP="00E61919">
      <w:pPr>
        <w:rPr>
          <w:lang w:val="es-ES"/>
        </w:rPr>
      </w:pPr>
    </w:p>
    <w:p w:rsidR="00E61919" w:rsidRPr="004A3D42" w:rsidRDefault="00E61919" w:rsidP="00E61919">
      <w:pPr>
        <w:jc w:val="center"/>
        <w:rPr>
          <w:lang w:val="es-ES"/>
        </w:rPr>
      </w:pPr>
      <w:r w:rsidRPr="006E4863">
        <w:rPr>
          <w:noProof/>
          <w:lang w:val="ro-RO" w:eastAsia="ro-RO"/>
        </w:rPr>
        <w:lastRenderedPageBreak/>
        <w:drawing>
          <wp:inline distT="0" distB="0" distL="0" distR="0">
            <wp:extent cx="5199931" cy="2639683"/>
            <wp:effectExtent l="19050" t="0" r="19769" b="8267"/>
            <wp:docPr id="70"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7"/>
              </a:graphicData>
            </a:graphic>
          </wp:inline>
        </w:drawing>
      </w:r>
    </w:p>
    <w:p w:rsidR="00E61919" w:rsidRDefault="00E61919" w:rsidP="00E61919">
      <w:pPr>
        <w:jc w:val="both"/>
        <w:rPr>
          <w:rFonts w:ascii="Arial" w:hAnsi="Arial" w:cs="Arial"/>
          <w:color w:val="00B050"/>
        </w:rPr>
      </w:pPr>
    </w:p>
    <w:p w:rsidR="00E61919" w:rsidRPr="006E4863" w:rsidRDefault="00E61919" w:rsidP="00E61919">
      <w:pPr>
        <w:pStyle w:val="Heading1"/>
        <w:jc w:val="center"/>
        <w:rPr>
          <w:bCs w:val="0"/>
          <w:sz w:val="24"/>
          <w:szCs w:val="24"/>
          <w:lang w:val="es-ES"/>
        </w:rPr>
      </w:pPr>
      <w:r w:rsidRPr="004A3D42">
        <w:rPr>
          <w:bCs w:val="0"/>
          <w:sz w:val="24"/>
          <w:szCs w:val="24"/>
          <w:lang w:val="es-ES"/>
        </w:rPr>
        <w:t>Fig. IV.1.</w:t>
      </w:r>
      <w:r>
        <w:rPr>
          <w:bCs w:val="0"/>
          <w:sz w:val="24"/>
          <w:szCs w:val="24"/>
          <w:lang w:val="es-ES"/>
        </w:rPr>
        <w:t>2-2</w:t>
      </w:r>
    </w:p>
    <w:p w:rsidR="00E61919" w:rsidRPr="004A3D42" w:rsidRDefault="00E61919" w:rsidP="00E61919">
      <w:pPr>
        <w:jc w:val="both"/>
        <w:rPr>
          <w:rFonts w:ascii="Arial" w:hAnsi="Arial" w:cs="Arial"/>
        </w:rPr>
      </w:pPr>
      <w:r w:rsidRPr="004A3D42">
        <w:rPr>
          <w:rFonts w:ascii="Arial" w:hAnsi="Arial" w:cs="Arial"/>
        </w:rPr>
        <w:t>Schimbări în acoperirea/utilizarea terenurilor</w:t>
      </w:r>
      <w:r>
        <w:rPr>
          <w:rFonts w:ascii="Arial" w:hAnsi="Arial" w:cs="Arial"/>
        </w:rPr>
        <w:t xml:space="preserve"> agricole</w:t>
      </w:r>
      <w:r w:rsidRPr="004A3D42">
        <w:rPr>
          <w:rFonts w:ascii="Arial" w:hAnsi="Arial" w:cs="Arial"/>
        </w:rPr>
        <w:t xml:space="preserve">, în </w:t>
      </w:r>
      <w:r>
        <w:rPr>
          <w:rFonts w:ascii="Arial" w:hAnsi="Arial" w:cs="Arial"/>
        </w:rPr>
        <w:t>perioada 2010</w:t>
      </w:r>
      <w:r w:rsidRPr="004A3D42">
        <w:rPr>
          <w:rFonts w:ascii="Arial" w:hAnsi="Arial" w:cs="Arial"/>
        </w:rPr>
        <w:t>-2014 (ha</w:t>
      </w:r>
      <w:r>
        <w:rPr>
          <w:rFonts w:ascii="Arial" w:hAnsi="Arial" w:cs="Arial"/>
        </w:rPr>
        <w:t xml:space="preserve"> și %</w:t>
      </w:r>
      <w:r w:rsidRPr="004A3D42">
        <w:rPr>
          <w:rFonts w:ascii="Arial" w:hAnsi="Arial" w:cs="Arial"/>
        </w:rPr>
        <w:t>)</w:t>
      </w:r>
    </w:p>
    <w:p w:rsidR="00E61919" w:rsidRDefault="00E61919" w:rsidP="00E61919">
      <w:pPr>
        <w:pStyle w:val="Footer"/>
        <w:jc w:val="both"/>
        <w:rPr>
          <w:rFonts w:ascii="Arial" w:hAnsi="Arial" w:cs="Arial"/>
          <w:b/>
          <w:color w:val="000000"/>
          <w:sz w:val="24"/>
          <w:szCs w:val="24"/>
          <w:lang w:val="ro-RO"/>
        </w:rPr>
      </w:pPr>
    </w:p>
    <w:p w:rsidR="00E61919" w:rsidRDefault="00E61919" w:rsidP="00E61919">
      <w:pPr>
        <w:pStyle w:val="Footer"/>
        <w:jc w:val="both"/>
        <w:rPr>
          <w:rFonts w:ascii="Arial" w:hAnsi="Arial" w:cs="Arial"/>
          <w:b/>
          <w:color w:val="000000"/>
          <w:sz w:val="24"/>
          <w:szCs w:val="24"/>
          <w:lang w:val="ro-RO"/>
        </w:rPr>
      </w:pPr>
    </w:p>
    <w:p w:rsidR="00E61919" w:rsidRDefault="00E61919" w:rsidP="00E61919">
      <w:pPr>
        <w:pStyle w:val="Footer"/>
        <w:jc w:val="both"/>
        <w:rPr>
          <w:rFonts w:ascii="Arial" w:hAnsi="Arial" w:cs="Arial"/>
          <w:b/>
          <w:color w:val="000000"/>
          <w:sz w:val="24"/>
          <w:szCs w:val="24"/>
          <w:lang w:val="ro-RO"/>
        </w:rPr>
      </w:pPr>
      <w:r w:rsidRPr="00DD7B01">
        <w:rPr>
          <w:rFonts w:ascii="Arial" w:hAnsi="Arial" w:cs="Arial"/>
          <w:b/>
          <w:noProof/>
          <w:color w:val="000000"/>
          <w:sz w:val="24"/>
          <w:szCs w:val="24"/>
          <w:lang w:val="ro-RO" w:eastAsia="ro-RO"/>
        </w:rPr>
        <w:drawing>
          <wp:inline distT="0" distB="0" distL="0" distR="0">
            <wp:extent cx="2810414" cy="4658264"/>
            <wp:effectExtent l="19050" t="0" r="28036" b="8986"/>
            <wp:docPr id="71"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8"/>
              </a:graphicData>
            </a:graphic>
          </wp:inline>
        </w:drawing>
      </w:r>
      <w:r w:rsidRPr="00BD0D2E">
        <w:rPr>
          <w:rFonts w:ascii="Arial" w:hAnsi="Arial" w:cs="Arial"/>
          <w:b/>
          <w:noProof/>
          <w:color w:val="000000"/>
          <w:sz w:val="24"/>
          <w:szCs w:val="24"/>
          <w:lang w:val="ro-RO" w:eastAsia="ro-RO"/>
        </w:rPr>
        <w:drawing>
          <wp:inline distT="0" distB="0" distL="0" distR="0">
            <wp:extent cx="2810414" cy="4658264"/>
            <wp:effectExtent l="19050" t="0" r="28036" b="8986"/>
            <wp:docPr id="72"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79"/>
              </a:graphicData>
            </a:graphic>
          </wp:inline>
        </w:drawing>
      </w:r>
    </w:p>
    <w:p w:rsidR="00E61919" w:rsidRDefault="00E61919" w:rsidP="00E61919">
      <w:pPr>
        <w:pStyle w:val="Footer"/>
        <w:jc w:val="both"/>
        <w:rPr>
          <w:rFonts w:ascii="Arial" w:hAnsi="Arial" w:cs="Arial"/>
          <w:b/>
          <w:color w:val="000000"/>
          <w:sz w:val="24"/>
          <w:szCs w:val="24"/>
          <w:lang w:val="ro-RO"/>
        </w:rPr>
      </w:pPr>
    </w:p>
    <w:p w:rsidR="00E61919" w:rsidRPr="002331E1" w:rsidRDefault="00E61919" w:rsidP="00E61919">
      <w:pPr>
        <w:pStyle w:val="Foo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w:t>
      </w:r>
      <w:r w:rsidRPr="00CC1F72">
        <w:rPr>
          <w:rFonts w:ascii="Arial" w:hAnsi="Arial" w:cs="Arial"/>
          <w:b/>
          <w:sz w:val="24"/>
          <w:szCs w:val="24"/>
          <w:lang w:val="it-IT"/>
        </w:rPr>
        <w:t>.1.</w:t>
      </w:r>
      <w:r>
        <w:rPr>
          <w:rFonts w:ascii="Arial" w:hAnsi="Arial" w:cs="Arial"/>
          <w:b/>
          <w:sz w:val="24"/>
          <w:szCs w:val="24"/>
          <w:lang w:val="it-IT"/>
        </w:rPr>
        <w:t>2-3</w:t>
      </w:r>
      <w:r>
        <w:rPr>
          <w:rFonts w:ascii="Arial" w:hAnsi="Arial" w:cs="Arial"/>
          <w:color w:val="00B050"/>
          <w:sz w:val="24"/>
          <w:szCs w:val="24"/>
          <w:lang w:val="it-IT"/>
        </w:rPr>
        <w:t xml:space="preserve"> </w:t>
      </w:r>
      <w:r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agricole </w:t>
      </w:r>
      <w:r>
        <w:rPr>
          <w:rFonts w:ascii="Arial" w:hAnsi="Arial" w:cs="Arial"/>
          <w:bCs/>
          <w:iCs/>
          <w:sz w:val="24"/>
          <w:szCs w:val="24"/>
        </w:rPr>
        <w:t xml:space="preserve">la nivelul județului Brăila în perioada 2010 – </w:t>
      </w:r>
      <w:r w:rsidRPr="00CC1F72">
        <w:rPr>
          <w:rFonts w:ascii="Arial" w:hAnsi="Arial" w:cs="Arial"/>
          <w:bCs/>
          <w:iCs/>
          <w:sz w:val="24"/>
          <w:szCs w:val="24"/>
        </w:rPr>
        <w:t>201</w:t>
      </w:r>
      <w:r>
        <w:rPr>
          <w:rFonts w:ascii="Arial" w:hAnsi="Arial" w:cs="Arial"/>
          <w:bCs/>
          <w:iCs/>
          <w:sz w:val="24"/>
          <w:szCs w:val="24"/>
        </w:rPr>
        <w:t>4 (ha și respective procente din anul 2012).</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noProof/>
          <w:color w:val="000000"/>
          <w:sz w:val="24"/>
          <w:szCs w:val="24"/>
          <w:lang w:val="ro-RO" w:eastAsia="ro-RO"/>
        </w:rPr>
        <w:lastRenderedPageBreak/>
        <w:drawing>
          <wp:inline distT="0" distB="0" distL="0" distR="0">
            <wp:extent cx="5475078" cy="2372265"/>
            <wp:effectExtent l="19050" t="0" r="11322" b="8985"/>
            <wp:docPr id="73"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80"/>
              </a:graphicData>
            </a:graphic>
          </wp:inline>
        </w:drawing>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Pr="00D35444" w:rsidRDefault="00E61919" w:rsidP="00E61919">
      <w:pPr>
        <w:pStyle w:val="Foo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w:t>
      </w:r>
      <w:r w:rsidRPr="00CC1F72">
        <w:rPr>
          <w:rFonts w:ascii="Arial" w:hAnsi="Arial" w:cs="Arial"/>
          <w:b/>
          <w:sz w:val="24"/>
          <w:szCs w:val="24"/>
          <w:lang w:val="it-IT"/>
        </w:rPr>
        <w:t>.1.</w:t>
      </w:r>
      <w:r>
        <w:rPr>
          <w:rFonts w:ascii="Arial" w:hAnsi="Arial" w:cs="Arial"/>
          <w:b/>
          <w:sz w:val="24"/>
          <w:szCs w:val="24"/>
          <w:lang w:val="it-IT"/>
        </w:rPr>
        <w:t>2-4</w:t>
      </w:r>
      <w:r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w:t>
      </w:r>
      <w:r>
        <w:rPr>
          <w:rFonts w:ascii="Arial" w:hAnsi="Arial" w:cs="Arial"/>
          <w:bCs/>
          <w:iCs/>
          <w:sz w:val="24"/>
          <w:szCs w:val="24"/>
        </w:rPr>
        <w:t>terenurilor cu altă destinație decât agricolă</w:t>
      </w:r>
      <w:r w:rsidRPr="00CC1F72">
        <w:rPr>
          <w:rFonts w:ascii="Arial" w:hAnsi="Arial" w:cs="Arial"/>
          <w:bCs/>
          <w:iCs/>
          <w:sz w:val="24"/>
          <w:szCs w:val="24"/>
        </w:rPr>
        <w:t xml:space="preserve"> </w:t>
      </w:r>
      <w:r>
        <w:rPr>
          <w:rFonts w:ascii="Arial" w:hAnsi="Arial" w:cs="Arial"/>
          <w:bCs/>
          <w:iCs/>
          <w:sz w:val="24"/>
          <w:szCs w:val="24"/>
        </w:rPr>
        <w:t xml:space="preserve">la nivelul județului Brăila în perioada 2010 </w:t>
      </w:r>
      <w:r w:rsidRPr="00CC1F72">
        <w:rPr>
          <w:rFonts w:ascii="Arial" w:hAnsi="Arial" w:cs="Arial"/>
          <w:bCs/>
          <w:iCs/>
          <w:sz w:val="24"/>
          <w:szCs w:val="24"/>
        </w:rPr>
        <w:t>-</w:t>
      </w:r>
      <w:r>
        <w:rPr>
          <w:rFonts w:ascii="Arial" w:hAnsi="Arial" w:cs="Arial"/>
          <w:bCs/>
          <w:iCs/>
          <w:sz w:val="24"/>
          <w:szCs w:val="24"/>
        </w:rPr>
        <w:t xml:space="preserve"> </w:t>
      </w:r>
      <w:r w:rsidRPr="00CC1F72">
        <w:rPr>
          <w:rFonts w:ascii="Arial" w:hAnsi="Arial" w:cs="Arial"/>
          <w:bCs/>
          <w:iCs/>
          <w:sz w:val="24"/>
          <w:szCs w:val="24"/>
        </w:rPr>
        <w:t>201</w:t>
      </w:r>
      <w:r>
        <w:rPr>
          <w:rFonts w:ascii="Arial" w:hAnsi="Arial" w:cs="Arial"/>
          <w:bCs/>
          <w:iCs/>
          <w:sz w:val="24"/>
          <w:szCs w:val="24"/>
        </w:rPr>
        <w:t>4</w:t>
      </w:r>
    </w:p>
    <w:p w:rsidR="00E61919" w:rsidRDefault="00E61919" w:rsidP="00E61919">
      <w:pPr>
        <w:pStyle w:val="BodyTextIndent"/>
        <w:tabs>
          <w:tab w:val="left" w:pos="2478"/>
        </w:tabs>
        <w:spacing w:after="0" w:line="240" w:lineRule="auto"/>
        <w:ind w:left="0"/>
        <w:jc w:val="both"/>
        <w:rPr>
          <w:rFonts w:ascii="Arial" w:hAnsi="Arial" w:cs="Arial"/>
          <w:color w:val="000000"/>
          <w:sz w:val="24"/>
          <w:szCs w:val="24"/>
          <w:lang w:val="ro-RO"/>
        </w:rPr>
      </w:pPr>
    </w:p>
    <w:p w:rsidR="00E61919" w:rsidRDefault="00E61919" w:rsidP="00E61919">
      <w:pPr>
        <w:pStyle w:val="BodyTextIndent"/>
        <w:tabs>
          <w:tab w:val="left" w:pos="2478"/>
        </w:tabs>
        <w:spacing w:after="0" w:line="240" w:lineRule="auto"/>
        <w:ind w:left="0" w:firstLine="709"/>
        <w:jc w:val="both"/>
        <w:rPr>
          <w:rFonts w:ascii="Arial" w:hAnsi="Arial" w:cs="Arial"/>
          <w:color w:val="000000"/>
          <w:sz w:val="24"/>
          <w:szCs w:val="24"/>
          <w:lang w:val="ro-RO"/>
        </w:rPr>
      </w:pPr>
      <w:r>
        <w:rPr>
          <w:rFonts w:ascii="Arial" w:hAnsi="Arial" w:cs="Arial"/>
          <w:color w:val="000000"/>
          <w:sz w:val="24"/>
          <w:szCs w:val="24"/>
          <w:lang w:val="ro-RO"/>
        </w:rPr>
        <w:t>În ceea ce priveș</w:t>
      </w:r>
      <w:r w:rsidRPr="004A1F26">
        <w:rPr>
          <w:rFonts w:ascii="Arial" w:hAnsi="Arial" w:cs="Arial"/>
          <w:color w:val="000000"/>
          <w:sz w:val="24"/>
          <w:szCs w:val="24"/>
          <w:lang w:val="ro-RO"/>
        </w:rPr>
        <w:t xml:space="preserve">te </w:t>
      </w:r>
      <w:r>
        <w:rPr>
          <w:rFonts w:ascii="Arial" w:hAnsi="Arial" w:cs="Arial"/>
          <w:color w:val="000000"/>
          <w:sz w:val="24"/>
          <w:szCs w:val="24"/>
          <w:lang w:val="ro-RO"/>
        </w:rPr>
        <w:t xml:space="preserve">utilizarea terenurilor cu altă destinație decât agricolă în perioada analizată se constată </w:t>
      </w:r>
    </w:p>
    <w:p w:rsidR="00E61919" w:rsidRPr="00240FB4" w:rsidRDefault="00E61919" w:rsidP="005E6B2E">
      <w:pPr>
        <w:pStyle w:val="BodyTextIndent"/>
        <w:numPr>
          <w:ilvl w:val="0"/>
          <w:numId w:val="27"/>
        </w:numPr>
        <w:tabs>
          <w:tab w:val="left" w:pos="2478"/>
        </w:tabs>
        <w:spacing w:after="0" w:line="240" w:lineRule="auto"/>
        <w:jc w:val="both"/>
        <w:rPr>
          <w:rFonts w:ascii="Arial" w:hAnsi="Arial" w:cs="Arial"/>
          <w:b/>
          <w:color w:val="000000"/>
          <w:sz w:val="24"/>
          <w:szCs w:val="24"/>
          <w:lang w:val="ro-RO"/>
        </w:rPr>
      </w:pPr>
      <w:r>
        <w:rPr>
          <w:rFonts w:ascii="Arial" w:hAnsi="Arial" w:cs="Arial"/>
          <w:color w:val="000000"/>
          <w:sz w:val="24"/>
          <w:szCs w:val="24"/>
          <w:lang w:val="ro-RO"/>
        </w:rPr>
        <w:t>ușoară scădere a terenurilor neproductive în ultimii doi ani, după ce în perioada 2010-2012 se observa creșterea acestora;</w:t>
      </w:r>
    </w:p>
    <w:p w:rsidR="00E61919" w:rsidRDefault="00E61919" w:rsidP="005E6B2E">
      <w:pPr>
        <w:pStyle w:val="BodyTextIndent"/>
        <w:numPr>
          <w:ilvl w:val="0"/>
          <w:numId w:val="27"/>
        </w:numPr>
        <w:tabs>
          <w:tab w:val="left" w:pos="2478"/>
        </w:tabs>
        <w:spacing w:after="0" w:line="240" w:lineRule="auto"/>
        <w:jc w:val="both"/>
        <w:rPr>
          <w:rFonts w:ascii="Arial" w:hAnsi="Arial" w:cs="Arial"/>
          <w:b/>
          <w:color w:val="000000"/>
          <w:sz w:val="24"/>
          <w:szCs w:val="24"/>
          <w:lang w:val="ro-RO"/>
        </w:rPr>
      </w:pPr>
      <w:r>
        <w:rPr>
          <w:rFonts w:ascii="Arial" w:hAnsi="Arial" w:cs="Arial"/>
          <w:color w:val="000000"/>
          <w:sz w:val="24"/>
          <w:szCs w:val="24"/>
          <w:lang w:val="ro-RO"/>
        </w:rPr>
        <w:t>o ușoară scădere a terenurilor ocupate de ape.</w:t>
      </w:r>
      <w:r>
        <w:rPr>
          <w:rFonts w:ascii="Arial" w:hAnsi="Arial" w:cs="Arial"/>
          <w:b/>
          <w:noProof/>
          <w:color w:val="000000"/>
          <w:sz w:val="24"/>
          <w:szCs w:val="24"/>
          <w:lang w:val="ro-RO" w:eastAsia="ro-RO"/>
        </w:rPr>
        <w:t xml:space="preserve">   </w:t>
      </w:r>
    </w:p>
    <w:p w:rsidR="00E61919" w:rsidRDefault="00E61919" w:rsidP="00E61919">
      <w:pPr>
        <w:pStyle w:val="Footer"/>
        <w:rPr>
          <w:rFonts w:ascii="Arial" w:hAnsi="Arial" w:cs="Arial"/>
          <w:b/>
          <w:sz w:val="24"/>
          <w:szCs w:val="24"/>
          <w:lang w:val="it-IT"/>
        </w:rPr>
      </w:pPr>
    </w:p>
    <w:p w:rsidR="00E61919" w:rsidRDefault="00E61919" w:rsidP="00E61919">
      <w:pPr>
        <w:pStyle w:val="Footer"/>
        <w:rPr>
          <w:rFonts w:ascii="Arial" w:hAnsi="Arial" w:cs="Arial"/>
          <w:b/>
          <w:sz w:val="24"/>
          <w:szCs w:val="24"/>
          <w:lang w:val="it-IT"/>
        </w:rPr>
      </w:pPr>
    </w:p>
    <w:p w:rsidR="00E61919" w:rsidRPr="00D35444" w:rsidRDefault="00E61919" w:rsidP="00E61919">
      <w:pPr>
        <w:pStyle w:val="Foo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w:t>
      </w:r>
      <w:r w:rsidRPr="00CC1F72">
        <w:rPr>
          <w:rFonts w:ascii="Arial" w:hAnsi="Arial" w:cs="Arial"/>
          <w:b/>
          <w:sz w:val="24"/>
          <w:szCs w:val="24"/>
          <w:lang w:val="it-IT"/>
        </w:rPr>
        <w:t>.1.</w:t>
      </w:r>
      <w:r>
        <w:rPr>
          <w:rFonts w:ascii="Arial" w:hAnsi="Arial" w:cs="Arial"/>
          <w:b/>
          <w:sz w:val="24"/>
          <w:szCs w:val="24"/>
          <w:lang w:val="it-IT"/>
        </w:rPr>
        <w:t>2-5</w:t>
      </w:r>
      <w:r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w:t>
      </w:r>
      <w:r>
        <w:rPr>
          <w:rFonts w:ascii="Arial" w:hAnsi="Arial" w:cs="Arial"/>
          <w:bCs/>
          <w:iCs/>
          <w:sz w:val="24"/>
          <w:szCs w:val="24"/>
        </w:rPr>
        <w:t>terenurilor urbane și artificiale</w:t>
      </w:r>
      <w:r w:rsidRPr="00CC1F72">
        <w:rPr>
          <w:rFonts w:ascii="Arial" w:hAnsi="Arial" w:cs="Arial"/>
          <w:bCs/>
          <w:iCs/>
          <w:sz w:val="24"/>
          <w:szCs w:val="24"/>
        </w:rPr>
        <w:t xml:space="preserve"> </w:t>
      </w:r>
      <w:r>
        <w:rPr>
          <w:rFonts w:ascii="Arial" w:hAnsi="Arial" w:cs="Arial"/>
          <w:bCs/>
          <w:iCs/>
          <w:sz w:val="24"/>
          <w:szCs w:val="24"/>
        </w:rPr>
        <w:t xml:space="preserve">la nivelul județului Brăila în perioada 2010 </w:t>
      </w:r>
      <w:r w:rsidRPr="00CC1F72">
        <w:rPr>
          <w:rFonts w:ascii="Arial" w:hAnsi="Arial" w:cs="Arial"/>
          <w:bCs/>
          <w:iCs/>
          <w:sz w:val="24"/>
          <w:szCs w:val="24"/>
        </w:rPr>
        <w:t>-</w:t>
      </w:r>
      <w:r>
        <w:rPr>
          <w:rFonts w:ascii="Arial" w:hAnsi="Arial" w:cs="Arial"/>
          <w:bCs/>
          <w:iCs/>
          <w:sz w:val="24"/>
          <w:szCs w:val="24"/>
        </w:rPr>
        <w:t xml:space="preserve"> </w:t>
      </w:r>
      <w:r w:rsidRPr="00CC1F72">
        <w:rPr>
          <w:rFonts w:ascii="Arial" w:hAnsi="Arial" w:cs="Arial"/>
          <w:bCs/>
          <w:iCs/>
          <w:sz w:val="24"/>
          <w:szCs w:val="24"/>
        </w:rPr>
        <w:t>201</w:t>
      </w:r>
      <w:r>
        <w:rPr>
          <w:rFonts w:ascii="Arial" w:hAnsi="Arial" w:cs="Arial"/>
          <w:bCs/>
          <w:iCs/>
          <w:sz w:val="24"/>
          <w:szCs w:val="24"/>
        </w:rPr>
        <w:t>4</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r w:rsidRPr="00F37DB3">
        <w:rPr>
          <w:rFonts w:ascii="Arial" w:hAnsi="Arial" w:cs="Arial"/>
          <w:b/>
          <w:noProof/>
          <w:color w:val="000000"/>
          <w:sz w:val="24"/>
          <w:szCs w:val="24"/>
          <w:lang w:val="ro-RO" w:eastAsia="ro-RO"/>
        </w:rPr>
        <w:drawing>
          <wp:inline distT="0" distB="0" distL="0" distR="0">
            <wp:extent cx="5032591" cy="2320506"/>
            <wp:effectExtent l="19050" t="0" r="15659" b="3594"/>
            <wp:docPr id="74"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1"/>
              </a:graphicData>
            </a:graphic>
          </wp:inline>
        </w:drawing>
      </w:r>
    </w:p>
    <w:p w:rsidR="00E61919" w:rsidRDefault="00E61919" w:rsidP="00E61919">
      <w:pPr>
        <w:pStyle w:val="Footer"/>
        <w:rPr>
          <w:rFonts w:ascii="Arial" w:hAnsi="Arial" w:cs="Arial"/>
          <w:b/>
          <w:sz w:val="24"/>
          <w:szCs w:val="24"/>
          <w:lang w:val="it-IT"/>
        </w:rPr>
      </w:pPr>
    </w:p>
    <w:p w:rsidR="00E61919" w:rsidRPr="00D35444" w:rsidRDefault="00E61919" w:rsidP="00E61919">
      <w:pPr>
        <w:pStyle w:val="Foo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w:t>
      </w:r>
      <w:r w:rsidRPr="00CC1F72">
        <w:rPr>
          <w:rFonts w:ascii="Arial" w:hAnsi="Arial" w:cs="Arial"/>
          <w:b/>
          <w:sz w:val="24"/>
          <w:szCs w:val="24"/>
          <w:lang w:val="it-IT"/>
        </w:rPr>
        <w:t>.1.</w:t>
      </w:r>
      <w:r>
        <w:rPr>
          <w:rFonts w:ascii="Arial" w:hAnsi="Arial" w:cs="Arial"/>
          <w:b/>
          <w:sz w:val="24"/>
          <w:szCs w:val="24"/>
          <w:lang w:val="it-IT"/>
        </w:rPr>
        <w:t>2</w:t>
      </w:r>
      <w:r w:rsidRPr="00CC1F72">
        <w:rPr>
          <w:rFonts w:ascii="Arial" w:hAnsi="Arial" w:cs="Arial"/>
          <w:b/>
          <w:sz w:val="24"/>
          <w:szCs w:val="24"/>
          <w:lang w:val="it-IT"/>
        </w:rPr>
        <w:t>.</w:t>
      </w:r>
      <w:r>
        <w:rPr>
          <w:rFonts w:ascii="Arial" w:hAnsi="Arial" w:cs="Arial"/>
          <w:b/>
          <w:sz w:val="24"/>
          <w:szCs w:val="24"/>
          <w:lang w:val="it-IT"/>
        </w:rPr>
        <w:t>6</w:t>
      </w:r>
      <w:r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w:t>
      </w:r>
      <w:r>
        <w:rPr>
          <w:rFonts w:ascii="Arial" w:hAnsi="Arial" w:cs="Arial"/>
          <w:bCs/>
          <w:iCs/>
          <w:sz w:val="24"/>
          <w:szCs w:val="24"/>
        </w:rPr>
        <w:t>terenurilor urbane și artificiale</w:t>
      </w:r>
      <w:r w:rsidRPr="00CC1F72">
        <w:rPr>
          <w:rFonts w:ascii="Arial" w:hAnsi="Arial" w:cs="Arial"/>
          <w:bCs/>
          <w:iCs/>
          <w:sz w:val="24"/>
          <w:szCs w:val="24"/>
        </w:rPr>
        <w:t xml:space="preserve"> </w:t>
      </w:r>
      <w:r>
        <w:rPr>
          <w:rFonts w:ascii="Arial" w:hAnsi="Arial" w:cs="Arial"/>
          <w:bCs/>
          <w:iCs/>
          <w:sz w:val="24"/>
          <w:szCs w:val="24"/>
        </w:rPr>
        <w:t xml:space="preserve">la nivelul județului Brăila în perioada 2010 </w:t>
      </w:r>
      <w:r w:rsidRPr="00CC1F72">
        <w:rPr>
          <w:rFonts w:ascii="Arial" w:hAnsi="Arial" w:cs="Arial"/>
          <w:bCs/>
          <w:iCs/>
          <w:sz w:val="24"/>
          <w:szCs w:val="24"/>
        </w:rPr>
        <w:t>-</w:t>
      </w:r>
      <w:r>
        <w:rPr>
          <w:rFonts w:ascii="Arial" w:hAnsi="Arial" w:cs="Arial"/>
          <w:bCs/>
          <w:iCs/>
          <w:sz w:val="24"/>
          <w:szCs w:val="24"/>
        </w:rPr>
        <w:t xml:space="preserve"> </w:t>
      </w:r>
      <w:r w:rsidRPr="00CC1F72">
        <w:rPr>
          <w:rFonts w:ascii="Arial" w:hAnsi="Arial" w:cs="Arial"/>
          <w:bCs/>
          <w:iCs/>
          <w:sz w:val="24"/>
          <w:szCs w:val="24"/>
        </w:rPr>
        <w:t>201</w:t>
      </w:r>
      <w:r>
        <w:rPr>
          <w:rFonts w:ascii="Arial" w:hAnsi="Arial" w:cs="Arial"/>
          <w:bCs/>
          <w:iCs/>
          <w:sz w:val="24"/>
          <w:szCs w:val="24"/>
        </w:rPr>
        <w:t>4</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Pr="004A1F26" w:rsidRDefault="00E61919" w:rsidP="00E61919">
      <w:pPr>
        <w:pStyle w:val="BodyTextIndent"/>
        <w:tabs>
          <w:tab w:val="left" w:pos="851"/>
        </w:tabs>
        <w:spacing w:after="0" w:line="240" w:lineRule="auto"/>
        <w:ind w:left="0" w:firstLine="709"/>
        <w:jc w:val="both"/>
        <w:rPr>
          <w:rFonts w:ascii="Arial" w:hAnsi="Arial" w:cs="Arial"/>
          <w:color w:val="000000"/>
          <w:sz w:val="24"/>
          <w:szCs w:val="24"/>
          <w:lang w:val="ro-RO"/>
        </w:rPr>
      </w:pPr>
      <w:r>
        <w:rPr>
          <w:rFonts w:ascii="Arial" w:hAnsi="Arial" w:cs="Arial"/>
          <w:color w:val="000000"/>
          <w:sz w:val="24"/>
          <w:szCs w:val="24"/>
          <w:lang w:val="ro-RO"/>
        </w:rPr>
        <w:tab/>
        <w:t>În ceea ce priveș</w:t>
      </w:r>
      <w:r w:rsidRPr="004A1F26">
        <w:rPr>
          <w:rFonts w:ascii="Arial" w:hAnsi="Arial" w:cs="Arial"/>
          <w:color w:val="000000"/>
          <w:sz w:val="24"/>
          <w:szCs w:val="24"/>
          <w:lang w:val="ro-RO"/>
        </w:rPr>
        <w:t xml:space="preserve">te </w:t>
      </w:r>
      <w:r w:rsidRPr="00240FB4">
        <w:rPr>
          <w:rFonts w:ascii="Arial" w:hAnsi="Arial" w:cs="Arial"/>
          <w:i/>
          <w:color w:val="000000"/>
          <w:sz w:val="24"/>
          <w:szCs w:val="24"/>
          <w:lang w:val="ro-RO"/>
        </w:rPr>
        <w:t>terenurile urbane și artificiale</w:t>
      </w:r>
      <w:r>
        <w:rPr>
          <w:rFonts w:ascii="Arial" w:hAnsi="Arial" w:cs="Arial"/>
          <w:color w:val="000000"/>
          <w:sz w:val="24"/>
          <w:szCs w:val="24"/>
          <w:lang w:val="ro-RO"/>
        </w:rPr>
        <w:t xml:space="preserve"> (curți și construcții și drumuri și căi ferate) se constată o ușoară creștere a acestora în perioada 2010 – 2014.</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1F6C27" w:rsidRDefault="001F6C27" w:rsidP="00E61919">
      <w:pPr>
        <w:pStyle w:val="BodyTextIndent"/>
        <w:tabs>
          <w:tab w:val="left" w:pos="2478"/>
        </w:tabs>
        <w:spacing w:after="0" w:line="240" w:lineRule="auto"/>
        <w:ind w:left="0"/>
        <w:jc w:val="both"/>
        <w:rPr>
          <w:rFonts w:ascii="Arial" w:hAnsi="Arial" w:cs="Arial"/>
          <w:b/>
          <w:color w:val="000000"/>
          <w:sz w:val="24"/>
          <w:szCs w:val="24"/>
          <w:lang w:val="ro-RO"/>
        </w:rPr>
      </w:pPr>
    </w:p>
    <w:p w:rsidR="001F6C27" w:rsidRDefault="001F6C27"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lastRenderedPageBreak/>
        <w:t>IV.2. Impactul schimbării utilizării terenurilor asupra mediului</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1F6C27" w:rsidP="00E61919">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 xml:space="preserve">           </w:t>
      </w:r>
      <w:r w:rsidR="00E61919">
        <w:rPr>
          <w:rFonts w:ascii="Arial" w:hAnsi="Arial" w:cs="Arial"/>
          <w:b/>
          <w:color w:val="000000"/>
          <w:sz w:val="24"/>
          <w:szCs w:val="24"/>
          <w:lang w:val="ro-RO"/>
        </w:rPr>
        <w:t>IV.2.1. Impactul schimbării utilizării terenurilor asupra terenurilor agricole</w:t>
      </w:r>
    </w:p>
    <w:p w:rsidR="00E61919" w:rsidRDefault="00E61919" w:rsidP="00E61919">
      <w:pPr>
        <w:spacing w:before="240"/>
        <w:ind w:firstLine="709"/>
        <w:jc w:val="both"/>
        <w:rPr>
          <w:rFonts w:ascii="Arial" w:hAnsi="Arial" w:cs="Arial"/>
          <w:color w:val="00B050"/>
        </w:rPr>
      </w:pPr>
      <w:r w:rsidRPr="00F700AC">
        <w:rPr>
          <w:rFonts w:ascii="Arial" w:hAnsi="Arial" w:cs="Arial"/>
          <w:color w:val="000000"/>
          <w:lang w:val="ro-RO"/>
        </w:rPr>
        <w:t xml:space="preserve">Din datele furnizate </w:t>
      </w:r>
      <w:r w:rsidRPr="00F700AC">
        <w:rPr>
          <w:rFonts w:ascii="Arial" w:hAnsi="Arial" w:cs="Arial"/>
          <w:lang w:val="ro-RO"/>
        </w:rPr>
        <w:t>de Direcţia pentru Agricultură Judeţeană Brăila</w:t>
      </w:r>
      <w:r>
        <w:rPr>
          <w:rFonts w:ascii="Arial" w:hAnsi="Arial" w:cs="Arial"/>
          <w:lang w:val="ro-RO"/>
        </w:rPr>
        <w:t xml:space="preserve">, conform graficului de mai jos (figura IV.2.1.-1) se constată că în 2010-2011 </w:t>
      </w:r>
      <w:r w:rsidRPr="004A1F26">
        <w:rPr>
          <w:rFonts w:ascii="Arial" w:hAnsi="Arial" w:cs="Arial"/>
          <w:i/>
          <w:lang w:val="ro-RO"/>
        </w:rPr>
        <w:t>suprafața terenurilor agricole</w:t>
      </w:r>
      <w:r>
        <w:rPr>
          <w:rFonts w:ascii="Arial" w:hAnsi="Arial" w:cs="Arial"/>
          <w:lang w:val="ro-RO"/>
        </w:rPr>
        <w:t xml:space="preserve"> din județul Brăila a fost în scădere în timp ce în ultimii 3 ani aceasta are o tendință de crestere.</w:t>
      </w:r>
    </w:p>
    <w:p w:rsidR="00E61919" w:rsidRPr="008F7432" w:rsidRDefault="00E61919" w:rsidP="00E61919">
      <w:pPr>
        <w:tabs>
          <w:tab w:val="num" w:pos="1092"/>
        </w:tabs>
        <w:rPr>
          <w:rFonts w:ascii="Arial" w:hAnsi="Arial" w:cs="Arial"/>
        </w:rPr>
      </w:pPr>
      <w:r w:rsidRPr="008F7432">
        <w:rPr>
          <w:rFonts w:ascii="Arial" w:hAnsi="Arial" w:cs="Arial"/>
          <w:noProof/>
          <w:lang w:val="ro-RO" w:eastAsia="ro-RO"/>
        </w:rPr>
        <w:drawing>
          <wp:inline distT="0" distB="0" distL="0" distR="0">
            <wp:extent cx="5615796" cy="2147977"/>
            <wp:effectExtent l="0" t="0" r="0" b="0"/>
            <wp:docPr id="75" name="Object 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2"/>
              </a:graphicData>
            </a:graphic>
          </wp:inline>
        </w:drawing>
      </w:r>
    </w:p>
    <w:p w:rsidR="00E61919" w:rsidRPr="00B21C4A" w:rsidRDefault="00E61919" w:rsidP="00E61919">
      <w:pPr>
        <w:pStyle w:val="Foo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w:t>
      </w:r>
      <w:r w:rsidRPr="00CC1F72">
        <w:rPr>
          <w:rFonts w:ascii="Arial" w:hAnsi="Arial" w:cs="Arial"/>
          <w:b/>
          <w:sz w:val="24"/>
          <w:szCs w:val="24"/>
          <w:lang w:val="it-IT"/>
        </w:rPr>
        <w:t>.</w:t>
      </w:r>
      <w:r>
        <w:rPr>
          <w:rFonts w:ascii="Arial" w:hAnsi="Arial" w:cs="Arial"/>
          <w:b/>
          <w:sz w:val="24"/>
          <w:szCs w:val="24"/>
          <w:lang w:val="it-IT"/>
        </w:rPr>
        <w:t>2</w:t>
      </w:r>
      <w:r w:rsidRPr="00CC1F72">
        <w:rPr>
          <w:rFonts w:ascii="Arial" w:hAnsi="Arial" w:cs="Arial"/>
          <w:b/>
          <w:sz w:val="24"/>
          <w:szCs w:val="24"/>
          <w:lang w:val="it-IT"/>
        </w:rPr>
        <w:t>.</w:t>
      </w:r>
      <w:r>
        <w:rPr>
          <w:rFonts w:ascii="Arial" w:hAnsi="Arial" w:cs="Arial"/>
          <w:b/>
          <w:sz w:val="24"/>
          <w:szCs w:val="24"/>
          <w:lang w:val="it-IT"/>
        </w:rPr>
        <w:t>1-1</w:t>
      </w:r>
      <w:r>
        <w:rPr>
          <w:rFonts w:ascii="Arial" w:hAnsi="Arial" w:cs="Arial"/>
          <w:color w:val="00B050"/>
          <w:sz w:val="24"/>
          <w:szCs w:val="24"/>
          <w:lang w:val="it-IT"/>
        </w:rPr>
        <w:t xml:space="preserve"> </w:t>
      </w:r>
      <w:r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agricole </w:t>
      </w:r>
      <w:r>
        <w:rPr>
          <w:rFonts w:ascii="Arial" w:hAnsi="Arial" w:cs="Arial"/>
          <w:bCs/>
          <w:iCs/>
          <w:sz w:val="24"/>
          <w:szCs w:val="24"/>
        </w:rPr>
        <w:t xml:space="preserve">la nivelul județului Brăila în perioada 2010 </w:t>
      </w:r>
      <w:r w:rsidRPr="00CC1F72">
        <w:rPr>
          <w:rFonts w:ascii="Arial" w:hAnsi="Arial" w:cs="Arial"/>
          <w:bCs/>
          <w:iCs/>
          <w:sz w:val="24"/>
          <w:szCs w:val="24"/>
        </w:rPr>
        <w:t>-</w:t>
      </w:r>
      <w:r>
        <w:rPr>
          <w:rFonts w:ascii="Arial" w:hAnsi="Arial" w:cs="Arial"/>
          <w:bCs/>
          <w:iCs/>
          <w:sz w:val="24"/>
          <w:szCs w:val="24"/>
        </w:rPr>
        <w:t xml:space="preserve"> </w:t>
      </w:r>
      <w:r w:rsidRPr="00CC1F72">
        <w:rPr>
          <w:rFonts w:ascii="Arial" w:hAnsi="Arial" w:cs="Arial"/>
          <w:bCs/>
          <w:iCs/>
          <w:sz w:val="24"/>
          <w:szCs w:val="24"/>
        </w:rPr>
        <w:t>201</w:t>
      </w:r>
      <w:r>
        <w:rPr>
          <w:rFonts w:ascii="Arial" w:hAnsi="Arial" w:cs="Arial"/>
          <w:bCs/>
          <w:iCs/>
          <w:sz w:val="24"/>
          <w:szCs w:val="24"/>
        </w:rPr>
        <w:t>4</w:t>
      </w:r>
    </w:p>
    <w:p w:rsidR="00E61919" w:rsidRDefault="00E61919" w:rsidP="00E61919">
      <w:pPr>
        <w:pStyle w:val="BodyTextIndent"/>
        <w:tabs>
          <w:tab w:val="left" w:pos="2478"/>
        </w:tabs>
        <w:spacing w:after="0" w:line="240" w:lineRule="auto"/>
        <w:ind w:left="0" w:firstLine="851"/>
        <w:jc w:val="both"/>
        <w:rPr>
          <w:rFonts w:ascii="Arial" w:hAnsi="Arial" w:cs="Arial"/>
          <w:color w:val="000000"/>
          <w:sz w:val="24"/>
          <w:szCs w:val="24"/>
          <w:lang w:val="ro-RO"/>
        </w:rPr>
      </w:pPr>
    </w:p>
    <w:p w:rsidR="00E61919" w:rsidRDefault="00E61919" w:rsidP="00E61919">
      <w:pPr>
        <w:pStyle w:val="BodyTextIndent"/>
        <w:tabs>
          <w:tab w:val="left" w:pos="2478"/>
        </w:tabs>
        <w:spacing w:after="0" w:line="240" w:lineRule="auto"/>
        <w:ind w:left="0" w:firstLine="851"/>
        <w:jc w:val="both"/>
        <w:rPr>
          <w:rFonts w:ascii="Arial" w:hAnsi="Arial" w:cs="Arial"/>
          <w:color w:val="000000"/>
          <w:sz w:val="24"/>
          <w:szCs w:val="24"/>
          <w:lang w:val="ro-RO"/>
        </w:rPr>
      </w:pPr>
      <w:r w:rsidRPr="00281F0C">
        <w:rPr>
          <w:rFonts w:ascii="Arial" w:hAnsi="Arial" w:cs="Arial"/>
          <w:color w:val="000000"/>
          <w:sz w:val="24"/>
          <w:szCs w:val="24"/>
          <w:lang w:val="ro-RO"/>
        </w:rPr>
        <w:t xml:space="preserve">În anul 2014 </w:t>
      </w:r>
      <w:r>
        <w:rPr>
          <w:rFonts w:ascii="Arial" w:hAnsi="Arial" w:cs="Arial"/>
          <w:color w:val="000000"/>
          <w:sz w:val="24"/>
          <w:szCs w:val="24"/>
          <w:lang w:val="ro-RO"/>
        </w:rPr>
        <w:t>Direcția pentru Agricultură a Județului Brăila a verificat și aprobat 17 documentații depuse pentru scoaterea definitivă sau temporară din circuitul agricol a terenurilor conform Ordinului comun al MADR și MAI  nr. 897/2005 pentru o suprafață totală de 10,52 ha. Motivația scoaterii terenurilor din circuitul agricol: construcție anexe exploatație agricolă, construcție ciupercărie, construcție fermă pui, montaj echipament auxiliar eoliene, foraj sonde gaze.</w:t>
      </w:r>
    </w:p>
    <w:p w:rsidR="00E61919" w:rsidRDefault="00E61919" w:rsidP="00E61919">
      <w:pPr>
        <w:pStyle w:val="BodyTextIndent"/>
        <w:tabs>
          <w:tab w:val="left" w:pos="2478"/>
        </w:tabs>
        <w:spacing w:after="0" w:line="240" w:lineRule="auto"/>
        <w:ind w:left="0" w:firstLine="851"/>
        <w:jc w:val="both"/>
        <w:rPr>
          <w:rFonts w:ascii="Arial" w:hAnsi="Arial" w:cs="Arial"/>
          <w:color w:val="000000"/>
          <w:sz w:val="24"/>
          <w:szCs w:val="24"/>
          <w:lang w:val="ro-RO"/>
        </w:rPr>
      </w:pPr>
    </w:p>
    <w:p w:rsidR="00E61919" w:rsidRDefault="00E61919" w:rsidP="00E61919">
      <w:pPr>
        <w:pStyle w:val="BodyTextIndent"/>
        <w:tabs>
          <w:tab w:val="left" w:pos="2478"/>
        </w:tabs>
        <w:spacing w:after="0" w:line="240" w:lineRule="auto"/>
        <w:ind w:left="0" w:firstLine="851"/>
        <w:jc w:val="both"/>
        <w:rPr>
          <w:rFonts w:ascii="Arial" w:hAnsi="Arial" w:cs="Arial"/>
          <w:color w:val="000000"/>
          <w:sz w:val="24"/>
          <w:szCs w:val="24"/>
          <w:lang w:val="ro-RO"/>
        </w:rPr>
      </w:pPr>
      <w:r>
        <w:rPr>
          <w:rFonts w:ascii="Arial" w:hAnsi="Arial" w:cs="Arial"/>
          <w:color w:val="000000"/>
          <w:sz w:val="24"/>
          <w:szCs w:val="24"/>
          <w:lang w:val="ro-RO"/>
        </w:rPr>
        <w:t>Ponderea terenurilor agricole convertite în suprafețe artificiale în perioada 2010-2014 este reprezentată în tabelul de mai jos:</w:t>
      </w:r>
    </w:p>
    <w:p w:rsidR="00E61919" w:rsidRDefault="00E61919" w:rsidP="00E61919">
      <w:pPr>
        <w:pStyle w:val="BodyTextIndent"/>
        <w:tabs>
          <w:tab w:val="left" w:pos="2478"/>
        </w:tabs>
        <w:spacing w:after="0" w:line="240" w:lineRule="auto"/>
        <w:ind w:left="0" w:firstLine="851"/>
        <w:jc w:val="both"/>
        <w:rPr>
          <w:rFonts w:ascii="Arial" w:hAnsi="Arial" w:cs="Arial"/>
          <w:b/>
          <w:sz w:val="24"/>
          <w:szCs w:val="24"/>
        </w:rPr>
      </w:pPr>
    </w:p>
    <w:p w:rsidR="00E61919" w:rsidRDefault="00E61919" w:rsidP="00E61919">
      <w:pPr>
        <w:pStyle w:val="BodyTextIndent"/>
        <w:tabs>
          <w:tab w:val="left" w:pos="2478"/>
        </w:tabs>
        <w:spacing w:after="0" w:line="240" w:lineRule="auto"/>
        <w:ind w:left="0" w:firstLine="851"/>
        <w:jc w:val="right"/>
        <w:rPr>
          <w:rFonts w:ascii="Arial" w:hAnsi="Arial" w:cs="Arial"/>
          <w:color w:val="000000"/>
          <w:sz w:val="24"/>
          <w:szCs w:val="24"/>
          <w:lang w:val="ro-RO"/>
        </w:rPr>
      </w:pPr>
      <w:r>
        <w:rPr>
          <w:rFonts w:ascii="Arial" w:hAnsi="Arial" w:cs="Arial"/>
          <w:b/>
          <w:sz w:val="24"/>
          <w:szCs w:val="24"/>
        </w:rPr>
        <w:t>Tabel IV.2.1-1</w:t>
      </w:r>
    </w:p>
    <w:tbl>
      <w:tblPr>
        <w:tblpPr w:leftFromText="180" w:rightFromText="180" w:vertAnchor="text" w:horzAnchor="margin" w:tblpXSpec="center" w:tblpY="198"/>
        <w:tblOverlap w:val="never"/>
        <w:tblW w:w="3898"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846"/>
        <w:gridCol w:w="1255"/>
        <w:gridCol w:w="1257"/>
        <w:gridCol w:w="1252"/>
        <w:gridCol w:w="1202"/>
        <w:gridCol w:w="1202"/>
      </w:tblGrid>
      <w:tr w:rsidR="00E61919" w:rsidRPr="00CC1F72" w:rsidTr="00012F90">
        <w:trPr>
          <w:trHeight w:val="1125"/>
        </w:trPr>
        <w:tc>
          <w:tcPr>
            <w:tcW w:w="1152" w:type="pct"/>
            <w:tcBorders>
              <w:top w:val="single" w:sz="4" w:space="0" w:color="auto"/>
              <w:left w:val="single" w:sz="4" w:space="0" w:color="auto"/>
              <w:bottom w:val="single" w:sz="4" w:space="0" w:color="auto"/>
              <w:right w:val="single" w:sz="4" w:space="0" w:color="auto"/>
              <w:tl2br w:val="single" w:sz="4" w:space="0" w:color="auto"/>
            </w:tcBorders>
            <w:shd w:val="clear" w:color="auto" w:fill="DBE6C4"/>
            <w:vAlign w:val="center"/>
            <w:hideMark/>
          </w:tcPr>
          <w:p w:rsidR="00E61919" w:rsidRDefault="00E61919" w:rsidP="00012F90">
            <w:pPr>
              <w:jc w:val="center"/>
              <w:rPr>
                <w:rFonts w:ascii="Arial" w:eastAsia="Times New Roman" w:hAnsi="Arial" w:cs="Arial"/>
                <w:b/>
                <w:lang w:val="en-US"/>
              </w:rPr>
            </w:pPr>
            <w:r>
              <w:rPr>
                <w:rFonts w:ascii="Arial" w:eastAsia="Times New Roman" w:hAnsi="Arial" w:cs="Arial"/>
                <w:b/>
                <w:lang w:val="en-US"/>
              </w:rPr>
              <w:t>An</w:t>
            </w:r>
          </w:p>
          <w:p w:rsidR="00E61919" w:rsidRDefault="00E61919" w:rsidP="00012F90">
            <w:pPr>
              <w:jc w:val="center"/>
              <w:rPr>
                <w:rFonts w:ascii="Arial" w:eastAsia="Times New Roman" w:hAnsi="Arial" w:cs="Arial"/>
                <w:b/>
                <w:lang w:val="en-US"/>
              </w:rPr>
            </w:pPr>
          </w:p>
          <w:p w:rsidR="00E61919" w:rsidRDefault="00E61919" w:rsidP="00012F90">
            <w:pPr>
              <w:jc w:val="center"/>
              <w:rPr>
                <w:rFonts w:ascii="Arial" w:eastAsia="Times New Roman" w:hAnsi="Arial" w:cs="Arial"/>
                <w:b/>
                <w:lang w:val="en-US"/>
              </w:rPr>
            </w:pPr>
          </w:p>
          <w:p w:rsidR="00E61919" w:rsidRPr="00FD04E6" w:rsidRDefault="00E61919" w:rsidP="00012F90">
            <w:pPr>
              <w:jc w:val="center"/>
              <w:rPr>
                <w:rFonts w:ascii="Arial" w:eastAsia="Times New Roman" w:hAnsi="Arial" w:cs="Arial"/>
                <w:b/>
                <w:lang w:val="ro-RO"/>
              </w:rPr>
            </w:pPr>
            <w:r>
              <w:rPr>
                <w:rFonts w:ascii="Arial" w:eastAsia="Times New Roman" w:hAnsi="Arial" w:cs="Arial"/>
                <w:b/>
                <w:lang w:val="en-US"/>
              </w:rPr>
              <w:t>Suprafața</w:t>
            </w:r>
          </w:p>
        </w:tc>
        <w:tc>
          <w:tcPr>
            <w:tcW w:w="783"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61919" w:rsidRPr="00CC1F72" w:rsidRDefault="00E61919" w:rsidP="00012F90">
            <w:pPr>
              <w:jc w:val="center"/>
              <w:rPr>
                <w:rFonts w:ascii="Arial" w:hAnsi="Arial" w:cs="Arial"/>
                <w:b/>
              </w:rPr>
            </w:pPr>
            <w:r w:rsidRPr="00CC1F72">
              <w:rPr>
                <w:rFonts w:ascii="Arial" w:hAnsi="Arial" w:cs="Arial"/>
                <w:b/>
              </w:rPr>
              <w:t>2010</w:t>
            </w:r>
          </w:p>
        </w:tc>
        <w:tc>
          <w:tcPr>
            <w:tcW w:w="784"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61919" w:rsidRPr="00CC1F72" w:rsidRDefault="00E61919" w:rsidP="00012F90">
            <w:pPr>
              <w:jc w:val="center"/>
              <w:rPr>
                <w:rFonts w:ascii="Arial" w:hAnsi="Arial" w:cs="Arial"/>
                <w:b/>
              </w:rPr>
            </w:pPr>
            <w:r w:rsidRPr="00CC1F72">
              <w:rPr>
                <w:rFonts w:ascii="Arial" w:hAnsi="Arial" w:cs="Arial"/>
                <w:b/>
              </w:rPr>
              <w:t>2011</w:t>
            </w:r>
          </w:p>
        </w:tc>
        <w:tc>
          <w:tcPr>
            <w:tcW w:w="781"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61919" w:rsidRPr="00CC1F72" w:rsidRDefault="00E61919" w:rsidP="00012F90">
            <w:pPr>
              <w:jc w:val="center"/>
              <w:rPr>
                <w:rFonts w:ascii="Arial" w:hAnsi="Arial" w:cs="Arial"/>
                <w:b/>
              </w:rPr>
            </w:pPr>
            <w:r w:rsidRPr="00CC1F72">
              <w:rPr>
                <w:rFonts w:ascii="Arial" w:hAnsi="Arial" w:cs="Arial"/>
                <w:b/>
              </w:rPr>
              <w:t>2012</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hideMark/>
          </w:tcPr>
          <w:p w:rsidR="00E61919" w:rsidRPr="00CC1F72" w:rsidRDefault="00E61919" w:rsidP="00012F90">
            <w:pPr>
              <w:jc w:val="center"/>
              <w:rPr>
                <w:rFonts w:ascii="Arial" w:hAnsi="Arial" w:cs="Arial"/>
                <w:b/>
              </w:rPr>
            </w:pPr>
            <w:r w:rsidRPr="00CC1F72">
              <w:rPr>
                <w:rFonts w:ascii="Arial" w:hAnsi="Arial" w:cs="Arial"/>
                <w:b/>
              </w:rPr>
              <w:t>2013</w:t>
            </w:r>
          </w:p>
        </w:tc>
        <w:tc>
          <w:tcPr>
            <w:tcW w:w="750" w:type="pct"/>
            <w:tcBorders>
              <w:top w:val="single" w:sz="4" w:space="0" w:color="auto"/>
              <w:left w:val="single" w:sz="4" w:space="0" w:color="auto"/>
              <w:bottom w:val="single" w:sz="4" w:space="0" w:color="auto"/>
              <w:right w:val="single" w:sz="4" w:space="0" w:color="auto"/>
            </w:tcBorders>
            <w:shd w:val="clear" w:color="auto" w:fill="DBE6C4"/>
            <w:vAlign w:val="center"/>
          </w:tcPr>
          <w:p w:rsidR="00E61919" w:rsidRPr="00CC1F72" w:rsidRDefault="00E61919" w:rsidP="00012F90">
            <w:pPr>
              <w:jc w:val="center"/>
              <w:rPr>
                <w:rFonts w:ascii="Arial" w:hAnsi="Arial" w:cs="Arial"/>
                <w:b/>
              </w:rPr>
            </w:pPr>
            <w:r>
              <w:rPr>
                <w:rFonts w:ascii="Arial" w:hAnsi="Arial" w:cs="Arial"/>
                <w:b/>
              </w:rPr>
              <w:t>2014</w:t>
            </w:r>
          </w:p>
        </w:tc>
      </w:tr>
      <w:tr w:rsidR="00E61919" w:rsidRPr="00A96335" w:rsidTr="00012F90">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rPr>
                <w:rFonts w:ascii="Arial" w:hAnsi="Arial" w:cs="Arial"/>
                <w:sz w:val="24"/>
                <w:szCs w:val="24"/>
              </w:rPr>
            </w:pPr>
            <w:r>
              <w:rPr>
                <w:rFonts w:ascii="Arial" w:hAnsi="Arial" w:cs="Arial"/>
                <w:sz w:val="24"/>
                <w:szCs w:val="24"/>
              </w:rPr>
              <w:t>Terenuri</w:t>
            </w:r>
            <w:r w:rsidRPr="00CC1F72">
              <w:rPr>
                <w:rFonts w:ascii="Arial" w:hAnsi="Arial" w:cs="Arial"/>
                <w:sz w:val="24"/>
                <w:szCs w:val="24"/>
              </w:rPr>
              <w:t xml:space="preserve"> agricol</w:t>
            </w:r>
            <w:r>
              <w:rPr>
                <w:rFonts w:ascii="Arial" w:hAnsi="Arial" w:cs="Arial"/>
                <w:sz w:val="24"/>
                <w:szCs w:val="24"/>
              </w:rPr>
              <w:t>e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387392</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387.363</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387.160</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sidRPr="00CC1F72">
              <w:rPr>
                <w:rFonts w:ascii="Arial" w:hAnsi="Arial" w:cs="Arial"/>
                <w:sz w:val="24"/>
                <w:szCs w:val="24"/>
              </w:rPr>
              <w:t>387.598</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61919" w:rsidRPr="00556F40" w:rsidRDefault="00E61919" w:rsidP="00012F90">
            <w:pPr>
              <w:jc w:val="center"/>
              <w:rPr>
                <w:rFonts w:ascii="Arial" w:hAnsi="Arial" w:cs="Arial"/>
                <w:color w:val="000000"/>
              </w:rPr>
            </w:pPr>
            <w:r>
              <w:rPr>
                <w:rFonts w:ascii="Arial" w:hAnsi="Arial" w:cs="Arial"/>
                <w:color w:val="000000"/>
              </w:rPr>
              <w:t>387.750</w:t>
            </w:r>
          </w:p>
        </w:tc>
      </w:tr>
      <w:tr w:rsidR="00E61919" w:rsidRPr="00A96335" w:rsidTr="00012F90">
        <w:trPr>
          <w:trHeight w:val="1888"/>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rPr>
                <w:rFonts w:ascii="Arial" w:hAnsi="Arial" w:cs="Arial"/>
              </w:rPr>
            </w:pPr>
            <w:r>
              <w:rPr>
                <w:rFonts w:ascii="Arial" w:hAnsi="Arial" w:cs="Arial"/>
              </w:rPr>
              <w:t>Suprafața scoasă din circuitul agricol (ha)</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44,51</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51,01</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10,45</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10,45</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61919" w:rsidRPr="00556F40" w:rsidRDefault="00E61919" w:rsidP="00012F90">
            <w:pPr>
              <w:jc w:val="center"/>
              <w:rPr>
                <w:rFonts w:ascii="Arial" w:hAnsi="Arial" w:cs="Arial"/>
                <w:color w:val="000000"/>
              </w:rPr>
            </w:pPr>
            <w:r>
              <w:rPr>
                <w:rFonts w:ascii="Arial" w:hAnsi="Arial" w:cs="Arial"/>
                <w:color w:val="000000"/>
              </w:rPr>
              <w:t>10,52</w:t>
            </w:r>
          </w:p>
        </w:tc>
      </w:tr>
      <w:tr w:rsidR="00E61919" w:rsidRPr="00A96335" w:rsidTr="00012F90">
        <w:trPr>
          <w:trHeight w:val="629"/>
        </w:trPr>
        <w:tc>
          <w:tcPr>
            <w:tcW w:w="1152"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Default="00E61919" w:rsidP="00012F90">
            <w:pPr>
              <w:rPr>
                <w:rFonts w:ascii="Arial" w:hAnsi="Arial" w:cs="Arial"/>
              </w:rPr>
            </w:pPr>
            <w:r>
              <w:rPr>
                <w:rFonts w:ascii="Arial" w:hAnsi="Arial" w:cs="Arial"/>
              </w:rPr>
              <w:t>% Suprafață scoasă din circuit agricol din suprafața teren agricol</w:t>
            </w:r>
          </w:p>
        </w:tc>
        <w:tc>
          <w:tcPr>
            <w:tcW w:w="783"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0,015</w:t>
            </w:r>
          </w:p>
        </w:tc>
        <w:tc>
          <w:tcPr>
            <w:tcW w:w="784"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0,013</w:t>
            </w:r>
          </w:p>
        </w:tc>
        <w:tc>
          <w:tcPr>
            <w:tcW w:w="781"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Pr="00CC1F72"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hideMark/>
          </w:tcPr>
          <w:p w:rsidR="00E61919" w:rsidRDefault="00E61919" w:rsidP="00012F90">
            <w:pPr>
              <w:pStyle w:val="BodyTextIndent"/>
              <w:spacing w:after="0" w:line="240" w:lineRule="auto"/>
              <w:ind w:left="0"/>
              <w:jc w:val="center"/>
              <w:rPr>
                <w:rFonts w:ascii="Arial" w:hAnsi="Arial" w:cs="Arial"/>
                <w:sz w:val="24"/>
                <w:szCs w:val="24"/>
              </w:rPr>
            </w:pPr>
            <w:r>
              <w:rPr>
                <w:rFonts w:ascii="Arial" w:hAnsi="Arial" w:cs="Arial"/>
                <w:sz w:val="24"/>
                <w:szCs w:val="24"/>
              </w:rPr>
              <w:t>0,003</w:t>
            </w:r>
          </w:p>
        </w:tc>
        <w:tc>
          <w:tcPr>
            <w:tcW w:w="750" w:type="pct"/>
            <w:tcBorders>
              <w:top w:val="single" w:sz="4" w:space="0" w:color="auto"/>
              <w:left w:val="single" w:sz="4" w:space="0" w:color="auto"/>
              <w:bottom w:val="single" w:sz="4" w:space="0" w:color="auto"/>
              <w:right w:val="single" w:sz="4" w:space="0" w:color="auto"/>
            </w:tcBorders>
            <w:shd w:val="clear" w:color="auto" w:fill="F4F7ED"/>
            <w:vAlign w:val="center"/>
          </w:tcPr>
          <w:p w:rsidR="00E61919" w:rsidRDefault="00E61919" w:rsidP="00012F90">
            <w:pPr>
              <w:jc w:val="center"/>
              <w:rPr>
                <w:rFonts w:ascii="Arial" w:hAnsi="Arial" w:cs="Arial"/>
                <w:color w:val="000000"/>
              </w:rPr>
            </w:pPr>
            <w:r>
              <w:rPr>
                <w:rFonts w:ascii="Arial" w:hAnsi="Arial" w:cs="Arial"/>
                <w:color w:val="000000"/>
              </w:rPr>
              <w:t>0,003</w:t>
            </w:r>
          </w:p>
        </w:tc>
      </w:tr>
    </w:tbl>
    <w:p w:rsidR="00E61919" w:rsidRDefault="00E61919" w:rsidP="00E61919">
      <w:pPr>
        <w:pStyle w:val="BodyTextIndent"/>
        <w:tabs>
          <w:tab w:val="left" w:pos="2478"/>
        </w:tabs>
        <w:spacing w:after="0" w:line="240" w:lineRule="auto"/>
        <w:ind w:left="0" w:firstLine="851"/>
        <w:jc w:val="both"/>
        <w:rPr>
          <w:rFonts w:ascii="Arial" w:hAnsi="Arial" w:cs="Arial"/>
          <w:color w:val="000000"/>
          <w:sz w:val="24"/>
          <w:szCs w:val="24"/>
          <w:lang w:val="ro-RO"/>
        </w:rPr>
      </w:pPr>
    </w:p>
    <w:p w:rsidR="00E61919" w:rsidRPr="00B21C4A" w:rsidRDefault="00E61919" w:rsidP="00E61919">
      <w:pPr>
        <w:rPr>
          <w:lang w:val="ro-RO"/>
        </w:rPr>
      </w:pPr>
    </w:p>
    <w:p w:rsidR="00E61919" w:rsidRPr="00B21C4A" w:rsidRDefault="00E61919" w:rsidP="00E61919">
      <w:pPr>
        <w:rPr>
          <w:lang w:val="ro-RO"/>
        </w:rPr>
      </w:pPr>
    </w:p>
    <w:p w:rsidR="00E61919" w:rsidRPr="00B21C4A" w:rsidRDefault="00E61919" w:rsidP="00E61919">
      <w:pPr>
        <w:rPr>
          <w:lang w:val="ro-RO"/>
        </w:rPr>
      </w:pPr>
    </w:p>
    <w:p w:rsidR="00E61919" w:rsidRDefault="00E61919" w:rsidP="00E61919">
      <w:pPr>
        <w:rPr>
          <w:lang w:val="ro-RO"/>
        </w:rPr>
      </w:pPr>
    </w:p>
    <w:p w:rsidR="00E61919" w:rsidRDefault="00E61919" w:rsidP="00E61919">
      <w:pPr>
        <w:rPr>
          <w:lang w:val="ro-RO"/>
        </w:rPr>
      </w:pPr>
    </w:p>
    <w:p w:rsidR="00E61919" w:rsidRDefault="00E61919" w:rsidP="00E61919">
      <w:pPr>
        <w:ind w:firstLine="708"/>
        <w:rPr>
          <w:rFonts w:ascii="Arial" w:eastAsia="Times New Roman" w:hAnsi="Arial" w:cs="Arial"/>
          <w:color w:val="000000"/>
          <w:lang w:val="ro-RO"/>
        </w:rPr>
      </w:pPr>
    </w:p>
    <w:p w:rsidR="00E61919" w:rsidRDefault="00E61919" w:rsidP="00E61919">
      <w:pPr>
        <w:ind w:firstLine="708"/>
        <w:rPr>
          <w:rFonts w:ascii="Arial" w:eastAsia="Times New Roman" w:hAnsi="Arial" w:cs="Arial"/>
          <w:color w:val="000000"/>
          <w:lang w:val="ro-RO"/>
        </w:rPr>
      </w:pPr>
    </w:p>
    <w:p w:rsidR="00E61919" w:rsidRDefault="00E61919" w:rsidP="00E61919">
      <w:pPr>
        <w:ind w:firstLine="708"/>
        <w:rPr>
          <w:rFonts w:ascii="Arial" w:eastAsia="Times New Roman" w:hAnsi="Arial" w:cs="Arial"/>
          <w:color w:val="000000"/>
          <w:lang w:val="ro-RO"/>
        </w:rPr>
      </w:pPr>
    </w:p>
    <w:p w:rsidR="00E61919" w:rsidRDefault="00E61919" w:rsidP="00E61919">
      <w:pPr>
        <w:ind w:firstLine="708"/>
        <w:jc w:val="both"/>
        <w:rPr>
          <w:rFonts w:ascii="Arial" w:eastAsia="Times New Roman" w:hAnsi="Arial" w:cs="Arial"/>
          <w:color w:val="000000"/>
          <w:lang w:val="ro-RO"/>
        </w:rPr>
      </w:pPr>
    </w:p>
    <w:p w:rsidR="00E61919" w:rsidRDefault="00E61919" w:rsidP="00E61919">
      <w:pPr>
        <w:ind w:firstLine="708"/>
        <w:jc w:val="both"/>
        <w:rPr>
          <w:rFonts w:ascii="Arial" w:eastAsia="Times New Roman" w:hAnsi="Arial" w:cs="Arial"/>
          <w:color w:val="000000"/>
          <w:lang w:val="ro-RO"/>
        </w:rPr>
      </w:pPr>
    </w:p>
    <w:p w:rsidR="00E61919" w:rsidRDefault="00E61919" w:rsidP="00E61919">
      <w:pPr>
        <w:ind w:firstLine="708"/>
        <w:jc w:val="both"/>
        <w:rPr>
          <w:rFonts w:ascii="Arial" w:eastAsia="Times New Roman" w:hAnsi="Arial" w:cs="Arial"/>
          <w:color w:val="000000"/>
          <w:lang w:val="ro-RO"/>
        </w:rPr>
      </w:pPr>
    </w:p>
    <w:p w:rsidR="00E61919" w:rsidRDefault="00E61919" w:rsidP="00E61919">
      <w:pPr>
        <w:ind w:firstLine="708"/>
        <w:jc w:val="both"/>
        <w:rPr>
          <w:rFonts w:ascii="Arial" w:eastAsia="Times New Roman" w:hAnsi="Arial" w:cs="Arial"/>
          <w:color w:val="000000"/>
          <w:lang w:val="ro-RO"/>
        </w:rPr>
      </w:pPr>
    </w:p>
    <w:p w:rsidR="00E61919" w:rsidRDefault="00E61919" w:rsidP="00E61919">
      <w:pPr>
        <w:ind w:firstLine="708"/>
        <w:jc w:val="both"/>
        <w:rPr>
          <w:rFonts w:ascii="Arial" w:eastAsia="Times New Roman" w:hAnsi="Arial" w:cs="Arial"/>
          <w:color w:val="000000"/>
          <w:lang w:val="ro-RO"/>
        </w:rPr>
      </w:pPr>
      <w:r w:rsidRPr="00B21C4A">
        <w:rPr>
          <w:rFonts w:ascii="Arial" w:eastAsia="Times New Roman" w:hAnsi="Arial" w:cs="Arial"/>
          <w:color w:val="000000"/>
          <w:lang w:val="ro-RO"/>
        </w:rPr>
        <w:lastRenderedPageBreak/>
        <w:t>După cum se observă suprafețele de teren scoase din circuitul agricol au crescut în perioada 2010-2011 pentru ca apoi să scadă în 2011-2014.</w:t>
      </w:r>
    </w:p>
    <w:p w:rsidR="00E61919" w:rsidRDefault="00E61919" w:rsidP="00E61919">
      <w:pPr>
        <w:ind w:firstLine="708"/>
        <w:rPr>
          <w:rFonts w:ascii="Arial" w:eastAsia="Times New Roman" w:hAnsi="Arial" w:cs="Arial"/>
          <w:color w:val="000000"/>
          <w:lang w:val="ro-RO"/>
        </w:rPr>
      </w:pPr>
      <w:r>
        <w:rPr>
          <w:rFonts w:ascii="Arial" w:eastAsia="Times New Roman" w:hAnsi="Arial" w:cs="Arial"/>
          <w:color w:val="000000"/>
          <w:lang w:val="ro-RO"/>
        </w:rPr>
        <w:t xml:space="preserve">Deși în perioada analizată au fost scoase din circuitul agricol suprafețe mici de teren suprafața totală de teren agricol a crescut cu 358 de hectare ceea ce reprezintă doar 0,09% din suprafața agricolă a anului 2010. </w:t>
      </w:r>
    </w:p>
    <w:p w:rsidR="00E61919" w:rsidRDefault="00E61919" w:rsidP="00E61919">
      <w:pPr>
        <w:ind w:firstLine="708"/>
        <w:rPr>
          <w:rFonts w:ascii="Arial" w:eastAsia="Times New Roman" w:hAnsi="Arial" w:cs="Arial"/>
          <w:color w:val="000000"/>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IV.2.2. Impactul schimbării utilizării terenurilor asupra habitatelor</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autoSpaceDE w:val="0"/>
        <w:autoSpaceDN w:val="0"/>
        <w:adjustRightInd w:val="0"/>
        <w:ind w:firstLine="708"/>
        <w:jc w:val="both"/>
        <w:rPr>
          <w:rFonts w:ascii="Arial" w:hAnsi="Arial" w:cs="Arial"/>
          <w:color w:val="000000"/>
        </w:rPr>
      </w:pPr>
      <w:r w:rsidRPr="00F42D08">
        <w:rPr>
          <w:rFonts w:ascii="Arial" w:hAnsi="Arial" w:cs="Arial"/>
          <w:color w:val="000000"/>
        </w:rPr>
        <w:t xml:space="preserve">Modul de utilizare a terenurilor s-a schimbat subtanțial în ultimul secol. Schimbările au afectat suprafețele arealelor naturale și semi-naturale, crescând în acest mod gradul de fragmentare a arealelor naturale și semi-naturale. Acest indicator oferă informații cu privire la evoluția suprafețelor arealelor naturale și semi-naturale, calculând valorile derivate din hărțile de acoperire a terenurilor. </w:t>
      </w:r>
    </w:p>
    <w:p w:rsidR="00E61919" w:rsidRPr="00F42D08" w:rsidRDefault="00E61919" w:rsidP="00E61919">
      <w:pPr>
        <w:autoSpaceDE w:val="0"/>
        <w:autoSpaceDN w:val="0"/>
        <w:adjustRightInd w:val="0"/>
        <w:ind w:firstLine="708"/>
        <w:jc w:val="both"/>
        <w:rPr>
          <w:rFonts w:ascii="Arial" w:hAnsi="Arial" w:cs="Arial"/>
          <w:color w:val="000000"/>
        </w:rPr>
      </w:pPr>
      <w:r w:rsidRPr="00F42D08">
        <w:rPr>
          <w:rFonts w:ascii="Arial" w:hAnsi="Arial" w:cs="Arial"/>
          <w:color w:val="000000"/>
        </w:rPr>
        <w:t xml:space="preserve">Pe lângă fenomenul de distrugere integrală a habitatelor, apare şi cel de fragmentare prin drumuri, terenuri agricole, medii urbane ori construcţii. Fragmentarea habitatelor este procesul prin care o suprafaţă mare şi continuă a unui habitat este divizată în două sau mai multe fragmente. </w:t>
      </w:r>
    </w:p>
    <w:p w:rsidR="00E61919" w:rsidRPr="00F42D08" w:rsidRDefault="00E61919" w:rsidP="00E61919">
      <w:pPr>
        <w:autoSpaceDE w:val="0"/>
        <w:autoSpaceDN w:val="0"/>
        <w:adjustRightInd w:val="0"/>
        <w:ind w:firstLine="708"/>
        <w:jc w:val="both"/>
        <w:rPr>
          <w:rFonts w:ascii="Arial" w:hAnsi="Arial" w:cs="Arial"/>
          <w:color w:val="000000"/>
        </w:rPr>
      </w:pPr>
      <w:r w:rsidRPr="00F42D08">
        <w:rPr>
          <w:rFonts w:ascii="Arial" w:hAnsi="Arial" w:cs="Arial"/>
          <w:color w:val="000000"/>
        </w:rPr>
        <w:t xml:space="preserve">O cauză principală a fragmentării arealelor naturale și seminaturale este reprezentată de conversia terenurilor în scopul dezvoltării infrastructurii urbane, industriale, agricole, turistice sau transport, aceasta reprezentând cauza principală a pierderii de biodiversitate, ducând la degradarea, distrugerea şi fragmentarea habitatelor şi implicit la declinul populaţiilor naturale. </w:t>
      </w:r>
    </w:p>
    <w:p w:rsidR="00E61919" w:rsidRPr="00F42D08" w:rsidRDefault="00E61919" w:rsidP="00E61919">
      <w:pPr>
        <w:autoSpaceDE w:val="0"/>
        <w:autoSpaceDN w:val="0"/>
        <w:adjustRightInd w:val="0"/>
        <w:jc w:val="both"/>
        <w:rPr>
          <w:rFonts w:ascii="Arial" w:hAnsi="Arial" w:cs="Arial"/>
          <w:color w:val="000000"/>
        </w:rPr>
      </w:pPr>
      <w:r w:rsidRPr="00F42D08">
        <w:rPr>
          <w:rFonts w:ascii="Arial" w:hAnsi="Arial" w:cs="Arial"/>
          <w:color w:val="000000"/>
        </w:rPr>
        <w:t>Dacă în trecut principala ameninţare o reprezenta conversia diferitelor tipuri de habitate în terenuri agricole pentru monoculturi, inclusiv prin distrugerea unor importante suprafeţe de zone umede din Balta Brăilei, în prezent, conversia habitatelor naturale se menţine ca o ameninţare directă</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Pr="00843DB5" w:rsidRDefault="00E61919" w:rsidP="00E61919">
      <w:pPr>
        <w:ind w:firstLine="708"/>
        <w:jc w:val="both"/>
        <w:rPr>
          <w:rFonts w:ascii="Arial" w:hAnsi="Arial" w:cs="Arial"/>
          <w:color w:val="000000"/>
        </w:rPr>
      </w:pPr>
      <w:r w:rsidRPr="00843DB5">
        <w:rPr>
          <w:rFonts w:ascii="Arial" w:hAnsi="Arial" w:cs="Arial"/>
          <w:color w:val="000000"/>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E61919" w:rsidRPr="00843DB5" w:rsidRDefault="00E61919" w:rsidP="00E61919">
      <w:pPr>
        <w:jc w:val="both"/>
        <w:rPr>
          <w:rFonts w:ascii="Arial" w:hAnsi="Arial" w:cs="Arial"/>
          <w:color w:val="000000"/>
        </w:rPr>
      </w:pPr>
      <w:r w:rsidRPr="00843DB5">
        <w:rPr>
          <w:rFonts w:ascii="Arial" w:hAnsi="Arial" w:cs="Arial"/>
          <w:color w:val="000000"/>
        </w:rPr>
        <w:t xml:space="preserve">Consecinţele îndiguirii sunt: </w:t>
      </w:r>
    </w:p>
    <w:p w:rsidR="00E61919" w:rsidRPr="00843DB5" w:rsidRDefault="00E61919" w:rsidP="005E6B2E">
      <w:pPr>
        <w:numPr>
          <w:ilvl w:val="0"/>
          <w:numId w:val="2"/>
        </w:numPr>
        <w:jc w:val="both"/>
        <w:rPr>
          <w:rFonts w:ascii="Arial" w:hAnsi="Arial" w:cs="Arial"/>
          <w:color w:val="000000"/>
          <w:lang w:val="it-IT"/>
        </w:rPr>
      </w:pPr>
      <w:r w:rsidRPr="00843DB5">
        <w:rPr>
          <w:rFonts w:ascii="Arial" w:hAnsi="Arial" w:cs="Arial"/>
          <w:color w:val="000000"/>
          <w:lang w:val="it-IT"/>
        </w:rPr>
        <w:t>modificarea regimului hidrologic al Dunării prin creşterea amplitudinii viiturilor;</w:t>
      </w:r>
    </w:p>
    <w:p w:rsidR="00E61919" w:rsidRPr="00843DB5" w:rsidRDefault="00E61919" w:rsidP="005E6B2E">
      <w:pPr>
        <w:numPr>
          <w:ilvl w:val="0"/>
          <w:numId w:val="2"/>
        </w:numPr>
        <w:jc w:val="both"/>
        <w:rPr>
          <w:rFonts w:ascii="Arial" w:hAnsi="Arial" w:cs="Arial"/>
          <w:color w:val="000000"/>
        </w:rPr>
      </w:pPr>
      <w:r w:rsidRPr="00843DB5">
        <w:rPr>
          <w:rFonts w:ascii="Arial" w:hAnsi="Arial" w:cs="Arial"/>
          <w:color w:val="000000"/>
        </w:rPr>
        <w:t>reducerea capacităţii de retenţie a nutrienţilor de către zonele inundabile;</w:t>
      </w:r>
    </w:p>
    <w:p w:rsidR="00E61919" w:rsidRPr="00843DB5" w:rsidRDefault="00E61919" w:rsidP="005E6B2E">
      <w:pPr>
        <w:numPr>
          <w:ilvl w:val="0"/>
          <w:numId w:val="2"/>
        </w:numPr>
        <w:jc w:val="both"/>
        <w:rPr>
          <w:rFonts w:ascii="Arial" w:hAnsi="Arial" w:cs="Arial"/>
          <w:color w:val="000000"/>
        </w:rPr>
      </w:pPr>
      <w:r w:rsidRPr="00843DB5">
        <w:rPr>
          <w:rFonts w:ascii="Arial" w:hAnsi="Arial" w:cs="Arial"/>
          <w:color w:val="000000"/>
        </w:rPr>
        <w:t>sărăturarea terenurilor desecate din cauza fluctuaţiilor nivelului pânzei freatice din sol;</w:t>
      </w:r>
    </w:p>
    <w:p w:rsidR="00E61919" w:rsidRPr="00843DB5" w:rsidRDefault="00E61919" w:rsidP="005E6B2E">
      <w:pPr>
        <w:numPr>
          <w:ilvl w:val="0"/>
          <w:numId w:val="2"/>
        </w:numPr>
        <w:jc w:val="both"/>
        <w:rPr>
          <w:rFonts w:ascii="Arial" w:hAnsi="Arial" w:cs="Arial"/>
          <w:color w:val="000000"/>
        </w:rPr>
      </w:pPr>
      <w:r w:rsidRPr="00843DB5">
        <w:rPr>
          <w:rFonts w:ascii="Arial" w:hAnsi="Arial" w:cs="Arial"/>
          <w:color w:val="000000"/>
        </w:rPr>
        <w:t>reducerea zonelor de reproducere a speciilor de peşti semimigratori;</w:t>
      </w:r>
    </w:p>
    <w:p w:rsidR="00E61919" w:rsidRPr="008058DB" w:rsidRDefault="00E61919" w:rsidP="005E6B2E">
      <w:pPr>
        <w:numPr>
          <w:ilvl w:val="0"/>
          <w:numId w:val="2"/>
        </w:numPr>
        <w:jc w:val="both"/>
        <w:rPr>
          <w:rFonts w:ascii="Arial" w:hAnsi="Arial" w:cs="Arial"/>
          <w:color w:val="000000"/>
        </w:rPr>
      </w:pPr>
      <w:r w:rsidRPr="00843DB5">
        <w:rPr>
          <w:rFonts w:ascii="Arial" w:hAnsi="Arial" w:cs="Arial"/>
          <w:color w:val="000000"/>
        </w:rPr>
        <w:t>reducerea capturilor de peşte.</w:t>
      </w:r>
    </w:p>
    <w:p w:rsidR="00E61919" w:rsidRPr="00843DB5" w:rsidRDefault="00E61919" w:rsidP="00E61919">
      <w:pPr>
        <w:ind w:firstLine="708"/>
        <w:jc w:val="both"/>
        <w:rPr>
          <w:rFonts w:ascii="Arial" w:hAnsi="Arial" w:cs="Arial"/>
          <w:color w:val="000000"/>
        </w:rPr>
      </w:pPr>
      <w:r w:rsidRPr="00843DB5">
        <w:rPr>
          <w:rFonts w:ascii="Arial" w:hAnsi="Arial" w:cs="Arial"/>
          <w:color w:val="000000"/>
          <w:u w:val="single"/>
        </w:rPr>
        <w:t>Secarea</w:t>
      </w:r>
      <w:r w:rsidRPr="00843DB5">
        <w:rPr>
          <w:rFonts w:ascii="Arial" w:hAnsi="Arial" w:cs="Arial"/>
          <w:color w:val="000000"/>
        </w:rPr>
        <w:t xml:space="preserve">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E61919" w:rsidRPr="00843DB5" w:rsidRDefault="00E61919" w:rsidP="00E61919">
      <w:pPr>
        <w:ind w:firstLine="708"/>
        <w:jc w:val="both"/>
        <w:rPr>
          <w:rFonts w:ascii="Arial" w:hAnsi="Arial" w:cs="Arial"/>
          <w:color w:val="000000"/>
        </w:rPr>
      </w:pPr>
      <w:r w:rsidRPr="00843DB5">
        <w:rPr>
          <w:rFonts w:ascii="Arial" w:hAnsi="Arial" w:cs="Arial"/>
          <w:color w:val="000000"/>
        </w:rPr>
        <w:t xml:space="preserve">Modificarea ecosistemelor a fost cauzată şi de utilizarea unor </w:t>
      </w:r>
      <w:r w:rsidRPr="00843DB5">
        <w:rPr>
          <w:rFonts w:ascii="Arial" w:hAnsi="Arial" w:cs="Arial"/>
          <w:color w:val="000000"/>
          <w:u w:val="single"/>
        </w:rPr>
        <w:t>metode şi tehnici agricole inadecvate</w:t>
      </w:r>
      <w:r w:rsidRPr="00843DB5">
        <w:rPr>
          <w:rFonts w:ascii="Arial" w:hAnsi="Arial" w:cs="Arial"/>
          <w:color w:val="000000"/>
        </w:rPr>
        <w:t xml:space="preserve"> precum folosirea pesticidelor, păşunatul intensiv sau neorganizat, arderea miriştilor, ş.a.. </w:t>
      </w:r>
    </w:p>
    <w:p w:rsidR="00E61919" w:rsidRDefault="00E61919" w:rsidP="00E61919">
      <w:pPr>
        <w:pStyle w:val="Footer"/>
        <w:ind w:firstLine="709"/>
        <w:jc w:val="both"/>
        <w:rPr>
          <w:rFonts w:ascii="Arial" w:hAnsi="Arial" w:cs="Arial"/>
          <w:color w:val="000000"/>
          <w:sz w:val="24"/>
          <w:szCs w:val="24"/>
          <w:lang w:val="ro-RO"/>
        </w:rPr>
      </w:pPr>
      <w:r w:rsidRPr="00843DB5">
        <w:rPr>
          <w:rFonts w:ascii="Arial" w:hAnsi="Arial" w:cs="Arial"/>
          <w:color w:val="000000"/>
          <w:sz w:val="24"/>
          <w:szCs w:val="24"/>
          <w:lang w:val="ro-RO"/>
        </w:rPr>
        <w:lastRenderedPageBreak/>
        <w:t>S</w:t>
      </w:r>
      <w:r w:rsidRPr="00843DB5">
        <w:rPr>
          <w:rFonts w:ascii="Arial" w:hAnsi="Arial" w:cs="Arial"/>
          <w:noProof/>
          <w:color w:val="000000"/>
          <w:sz w:val="24"/>
          <w:szCs w:val="24"/>
          <w:lang w:val="ro-RO"/>
        </w:rPr>
        <w:t>ubstituirea pădurilor aluviale naturale din Balta Brăilei prin culturi uniclonale plopicole şi salicicole, î</w:t>
      </w:r>
      <w:r w:rsidRPr="00843DB5">
        <w:rPr>
          <w:rFonts w:ascii="Arial" w:hAnsi="Arial" w:cs="Arial"/>
          <w:color w:val="000000"/>
          <w:sz w:val="24"/>
          <w:szCs w:val="24"/>
          <w:lang w:val="ro-RO"/>
        </w:rPr>
        <w:t>ndiguirile, desecările şi î</w:t>
      </w:r>
      <w:r w:rsidRPr="00843DB5">
        <w:rPr>
          <w:rFonts w:ascii="Arial" w:hAnsi="Arial" w:cs="Arial"/>
          <w:noProof/>
          <w:color w:val="000000"/>
          <w:sz w:val="24"/>
          <w:szCs w:val="24"/>
          <w:lang w:val="ro-RO"/>
        </w:rPr>
        <w:t>ntinsele monoculturi agricole practicate în ultimii zeci de ani ai secolului trecut au dus la profunde modificări calitative şi cantitative asupra biodiversităţii judeţului.</w:t>
      </w:r>
      <w:r w:rsidRPr="00843DB5">
        <w:rPr>
          <w:rFonts w:ascii="Arial" w:hAnsi="Arial" w:cs="Arial"/>
          <w:color w:val="000000"/>
          <w:sz w:val="24"/>
          <w:szCs w:val="24"/>
          <w:lang w:val="ro-RO"/>
        </w:rPr>
        <w:t xml:space="preserve"> </w:t>
      </w:r>
    </w:p>
    <w:p w:rsidR="00E61919" w:rsidRDefault="00E61919" w:rsidP="00E61919">
      <w:pPr>
        <w:pStyle w:val="Footer"/>
        <w:ind w:firstLine="709"/>
        <w:jc w:val="both"/>
        <w:rPr>
          <w:rFonts w:ascii="Arial" w:hAnsi="Arial" w:cs="Arial"/>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IV.3. Factorii determinanți ai schimbării utilizării terenurilor</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r>
        <w:rPr>
          <w:rFonts w:ascii="Arial" w:hAnsi="Arial" w:cs="Arial"/>
          <w:b/>
          <w:color w:val="000000"/>
          <w:sz w:val="24"/>
          <w:szCs w:val="24"/>
          <w:lang w:val="ro-RO"/>
        </w:rPr>
        <w:t>IV.3.1. Modificarea densității populației</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Pr="00F12E3D" w:rsidRDefault="00E61919" w:rsidP="00E61919">
      <w:pPr>
        <w:tabs>
          <w:tab w:val="left" w:pos="2160"/>
          <w:tab w:val="left" w:leader="dot" w:pos="8820"/>
        </w:tabs>
        <w:ind w:right="31" w:firstLine="851"/>
        <w:jc w:val="both"/>
        <w:rPr>
          <w:rFonts w:ascii="Arial" w:hAnsi="Arial" w:cs="Arial"/>
          <w:lang w:val="ro-RO"/>
        </w:rPr>
      </w:pPr>
      <w:r>
        <w:rPr>
          <w:rFonts w:ascii="Arial" w:hAnsi="Arial" w:cs="Arial"/>
        </w:rPr>
        <w:t>În ultimii</w:t>
      </w:r>
      <w:r w:rsidRPr="00F12E3D">
        <w:rPr>
          <w:rFonts w:ascii="Arial" w:hAnsi="Arial" w:cs="Arial"/>
        </w:rPr>
        <w:t xml:space="preserve"> ani populaţia judeţului Brăila s-a aflat într-o continuă scădere cu o rată constant ajungându-se de la </w:t>
      </w:r>
      <w:r w:rsidRPr="00F76599">
        <w:rPr>
          <w:rFonts w:ascii="Arial" w:hAnsi="Arial" w:cs="Arial"/>
          <w:lang w:val="ro-RO"/>
        </w:rPr>
        <w:t>321212</w:t>
      </w:r>
      <w:r w:rsidRPr="00F12E3D">
        <w:rPr>
          <w:rFonts w:ascii="Arial" w:hAnsi="Arial" w:cs="Arial"/>
        </w:rPr>
        <w:t xml:space="preserve"> num</w:t>
      </w:r>
      <w:r>
        <w:rPr>
          <w:rFonts w:ascii="Arial" w:hAnsi="Arial" w:cs="Arial"/>
        </w:rPr>
        <w:t>ă</w:t>
      </w:r>
      <w:r w:rsidRPr="00F12E3D">
        <w:rPr>
          <w:rFonts w:ascii="Arial" w:hAnsi="Arial" w:cs="Arial"/>
        </w:rPr>
        <w:t>r de locuitori  în 20</w:t>
      </w:r>
      <w:r>
        <w:rPr>
          <w:rFonts w:ascii="Arial" w:hAnsi="Arial" w:cs="Arial"/>
        </w:rPr>
        <w:t>11</w:t>
      </w:r>
      <w:r w:rsidRPr="00F12E3D">
        <w:rPr>
          <w:rFonts w:ascii="Arial" w:hAnsi="Arial" w:cs="Arial"/>
        </w:rPr>
        <w:t xml:space="preserve">, la </w:t>
      </w:r>
      <w:r w:rsidRPr="00F76599">
        <w:rPr>
          <w:rFonts w:ascii="Arial" w:hAnsi="Arial" w:cs="Arial"/>
          <w:lang w:val="ro-RO"/>
        </w:rPr>
        <w:t>312089</w:t>
      </w:r>
      <w:r w:rsidRPr="00F12E3D">
        <w:rPr>
          <w:rFonts w:ascii="Arial" w:hAnsi="Arial" w:cs="Arial"/>
        </w:rPr>
        <w:t xml:space="preserve">  în anul 201</w:t>
      </w:r>
      <w:r>
        <w:rPr>
          <w:rFonts w:ascii="Arial" w:hAnsi="Arial" w:cs="Arial"/>
        </w:rPr>
        <w:t>4</w:t>
      </w:r>
      <w:r w:rsidRPr="00F12E3D">
        <w:rPr>
          <w:rFonts w:ascii="Arial" w:hAnsi="Arial" w:cs="Arial"/>
        </w:rPr>
        <w:t>.</w:t>
      </w:r>
      <w:r w:rsidRPr="00F12E3D">
        <w:rPr>
          <w:rFonts w:ascii="Arial" w:hAnsi="Arial" w:cs="Arial"/>
          <w:lang w:val="ro-RO"/>
        </w:rPr>
        <w:t xml:space="preserve"> Evoluţia populaţiei stabile a judeţului Brăila pe medii </w:t>
      </w:r>
      <w:r>
        <w:rPr>
          <w:rFonts w:ascii="Arial" w:hAnsi="Arial" w:cs="Arial"/>
          <w:lang w:val="ro-RO"/>
        </w:rPr>
        <w:t xml:space="preserve">(urban și rural) </w:t>
      </w:r>
      <w:r w:rsidRPr="00F12E3D">
        <w:rPr>
          <w:rFonts w:ascii="Arial" w:hAnsi="Arial" w:cs="Arial"/>
          <w:lang w:val="ro-RO"/>
        </w:rPr>
        <w:t>în perioada 20</w:t>
      </w:r>
      <w:r>
        <w:rPr>
          <w:rFonts w:ascii="Arial" w:hAnsi="Arial" w:cs="Arial"/>
          <w:lang w:val="ro-RO"/>
        </w:rPr>
        <w:t>11</w:t>
      </w:r>
      <w:r w:rsidRPr="00F12E3D">
        <w:rPr>
          <w:rFonts w:ascii="Arial" w:hAnsi="Arial" w:cs="Arial"/>
          <w:lang w:val="ro-RO"/>
        </w:rPr>
        <w:t xml:space="preserve"> - 201</w:t>
      </w:r>
      <w:r>
        <w:rPr>
          <w:rFonts w:ascii="Arial" w:hAnsi="Arial" w:cs="Arial"/>
          <w:lang w:val="ro-RO"/>
        </w:rPr>
        <w:t>4</w:t>
      </w:r>
      <w:r w:rsidRPr="00F12E3D">
        <w:rPr>
          <w:rFonts w:ascii="Arial" w:hAnsi="Arial" w:cs="Arial"/>
          <w:lang w:val="ro-RO"/>
        </w:rPr>
        <w:t xml:space="preserve"> este evidenţiată în tabelul de mai jos:</w:t>
      </w:r>
    </w:p>
    <w:p w:rsidR="00E61919" w:rsidRPr="00F12E3D" w:rsidRDefault="00E61919" w:rsidP="00E61919">
      <w:pPr>
        <w:pStyle w:val="BodyTextIndent2"/>
        <w:spacing w:after="0" w:line="240" w:lineRule="auto"/>
        <w:ind w:left="0"/>
        <w:rPr>
          <w:rFonts w:ascii="Arial" w:hAnsi="Arial" w:cs="Arial"/>
          <w:b/>
          <w:lang w:val="ro-RO"/>
        </w:rPr>
      </w:pPr>
    </w:p>
    <w:p w:rsidR="00E61919" w:rsidRDefault="00E61919" w:rsidP="00E61919">
      <w:pPr>
        <w:pStyle w:val="BodyTextIndent2"/>
        <w:spacing w:after="0" w:line="240" w:lineRule="auto"/>
        <w:ind w:left="0"/>
        <w:jc w:val="both"/>
        <w:rPr>
          <w:rFonts w:ascii="Arial" w:hAnsi="Arial" w:cs="Arial"/>
          <w:lang w:val="ro-RO"/>
        </w:rPr>
      </w:pPr>
      <w:r w:rsidRPr="00F12E3D">
        <w:rPr>
          <w:rFonts w:ascii="Arial" w:hAnsi="Arial" w:cs="Arial"/>
          <w:b/>
          <w:lang w:val="ro-RO"/>
        </w:rPr>
        <w:t xml:space="preserve">Tabel </w:t>
      </w:r>
      <w:r>
        <w:rPr>
          <w:rFonts w:ascii="Arial" w:hAnsi="Arial" w:cs="Arial"/>
          <w:b/>
          <w:lang w:val="ro-RO"/>
        </w:rPr>
        <w:t>IV.3.</w:t>
      </w:r>
      <w:r w:rsidRPr="00F12E3D">
        <w:rPr>
          <w:rFonts w:ascii="Arial" w:hAnsi="Arial" w:cs="Arial"/>
          <w:b/>
          <w:lang w:val="ro-RO"/>
        </w:rPr>
        <w:t>1</w:t>
      </w:r>
      <w:r>
        <w:rPr>
          <w:rFonts w:ascii="Arial" w:hAnsi="Arial" w:cs="Arial"/>
          <w:b/>
          <w:lang w:val="ro-RO"/>
        </w:rPr>
        <w:t>-1</w:t>
      </w:r>
      <w:r w:rsidRPr="00F12E3D">
        <w:rPr>
          <w:rFonts w:ascii="Arial" w:hAnsi="Arial" w:cs="Arial"/>
          <w:b/>
          <w:lang w:val="ro-RO"/>
        </w:rPr>
        <w:t xml:space="preserve"> - </w:t>
      </w:r>
      <w:r w:rsidRPr="00F12E3D">
        <w:rPr>
          <w:rFonts w:ascii="Arial" w:hAnsi="Arial" w:cs="Arial"/>
          <w:lang w:val="ro-RO"/>
        </w:rPr>
        <w:t>Evoluţia populaţiei stabile a judeţului Brăila p</w:t>
      </w:r>
      <w:r>
        <w:rPr>
          <w:rFonts w:ascii="Arial" w:hAnsi="Arial" w:cs="Arial"/>
          <w:lang w:val="ro-RO"/>
        </w:rPr>
        <w:t>e medii (urban și rural) în perioada 2011 – 2014 (date furnizate de Institutul Național de Statistică)</w:t>
      </w:r>
      <w:r w:rsidRPr="00F12E3D">
        <w:rPr>
          <w:rFonts w:ascii="Arial" w:hAnsi="Arial" w:cs="Arial"/>
          <w:lang w:val="ro-RO"/>
        </w:rPr>
        <w:t xml:space="preserve">: </w:t>
      </w:r>
    </w:p>
    <w:p w:rsidR="00E61919" w:rsidRPr="00F12E3D" w:rsidRDefault="00E61919" w:rsidP="00E61919">
      <w:pPr>
        <w:pStyle w:val="BodyTextIndent2"/>
        <w:spacing w:after="0" w:line="240" w:lineRule="auto"/>
        <w:ind w:left="0"/>
        <w:jc w:val="both"/>
        <w:rPr>
          <w:rFonts w:ascii="Arial" w:hAnsi="Arial" w:cs="Arial"/>
          <w:lang w:val="ro-RO"/>
        </w:rPr>
      </w:pPr>
    </w:p>
    <w:p w:rsidR="00E61919" w:rsidRPr="00F12E3D" w:rsidRDefault="00E61919" w:rsidP="00E61919">
      <w:pPr>
        <w:tabs>
          <w:tab w:val="left" w:pos="2160"/>
          <w:tab w:val="left" w:leader="dot" w:pos="8820"/>
        </w:tabs>
        <w:ind w:right="31"/>
        <w:rPr>
          <w:rFonts w:ascii="Arial" w:hAnsi="Arial" w:cs="Arial"/>
          <w:lang w:val="ro-RO"/>
        </w:rPr>
      </w:pPr>
    </w:p>
    <w:tbl>
      <w:tblPr>
        <w:tblW w:w="592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001"/>
        <w:gridCol w:w="1018"/>
        <w:gridCol w:w="1355"/>
        <w:gridCol w:w="1304"/>
        <w:gridCol w:w="1247"/>
      </w:tblGrid>
      <w:tr w:rsidR="00E61919" w:rsidRPr="00F12E3D" w:rsidTr="00012F90">
        <w:trPr>
          <w:trHeight w:val="937"/>
          <w:jc w:val="center"/>
        </w:trPr>
        <w:tc>
          <w:tcPr>
            <w:tcW w:w="1001" w:type="dxa"/>
            <w:tcBorders>
              <w:bottom w:val="single" w:sz="4" w:space="0" w:color="auto"/>
            </w:tcBorders>
            <w:shd w:val="clear" w:color="auto" w:fill="D9D9D9"/>
            <w:vAlign w:val="center"/>
          </w:tcPr>
          <w:p w:rsidR="00E61919" w:rsidRPr="00F12E3D" w:rsidRDefault="00E61919" w:rsidP="00012F90">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Anul</w:t>
            </w:r>
          </w:p>
        </w:tc>
        <w:tc>
          <w:tcPr>
            <w:tcW w:w="1018" w:type="dxa"/>
            <w:tcBorders>
              <w:bottom w:val="single" w:sz="4" w:space="0" w:color="auto"/>
            </w:tcBorders>
            <w:shd w:val="clear" w:color="auto" w:fill="D9D9D9"/>
            <w:vAlign w:val="center"/>
          </w:tcPr>
          <w:p w:rsidR="00E61919" w:rsidRPr="00F12E3D" w:rsidRDefault="00E61919" w:rsidP="00012F90">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Total</w:t>
            </w:r>
          </w:p>
        </w:tc>
        <w:tc>
          <w:tcPr>
            <w:tcW w:w="1355" w:type="dxa"/>
            <w:tcBorders>
              <w:bottom w:val="single" w:sz="4" w:space="0" w:color="auto"/>
            </w:tcBorders>
            <w:shd w:val="clear" w:color="auto" w:fill="D9D9D9"/>
            <w:vAlign w:val="center"/>
          </w:tcPr>
          <w:p w:rsidR="00E61919" w:rsidRPr="00F12E3D" w:rsidRDefault="00E61919" w:rsidP="00012F90">
            <w:pPr>
              <w:tabs>
                <w:tab w:val="left" w:pos="2160"/>
                <w:tab w:val="left" w:leader="dot" w:pos="8820"/>
              </w:tabs>
              <w:rPr>
                <w:rFonts w:ascii="Arial" w:hAnsi="Arial" w:cs="Arial"/>
                <w:b/>
                <w:sz w:val="20"/>
                <w:szCs w:val="20"/>
                <w:lang w:val="ro-RO"/>
              </w:rPr>
            </w:pPr>
            <w:r>
              <w:rPr>
                <w:rFonts w:ascii="Arial" w:hAnsi="Arial" w:cs="Arial"/>
                <w:b/>
                <w:sz w:val="20"/>
                <w:szCs w:val="20"/>
                <w:lang w:val="ro-RO"/>
              </w:rPr>
              <w:t>Urban</w:t>
            </w:r>
          </w:p>
        </w:tc>
        <w:tc>
          <w:tcPr>
            <w:tcW w:w="1304" w:type="dxa"/>
            <w:tcBorders>
              <w:bottom w:val="single" w:sz="4" w:space="0" w:color="auto"/>
            </w:tcBorders>
            <w:shd w:val="clear" w:color="auto" w:fill="D9D9D9"/>
            <w:vAlign w:val="center"/>
          </w:tcPr>
          <w:p w:rsidR="00E61919" w:rsidRPr="00F12E3D" w:rsidRDefault="00E61919" w:rsidP="00012F90">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Rural</w:t>
            </w:r>
          </w:p>
        </w:tc>
        <w:tc>
          <w:tcPr>
            <w:tcW w:w="1247" w:type="dxa"/>
            <w:tcBorders>
              <w:bottom w:val="single" w:sz="4" w:space="0" w:color="auto"/>
            </w:tcBorders>
            <w:shd w:val="clear" w:color="auto" w:fill="D9D9D9"/>
            <w:vAlign w:val="center"/>
          </w:tcPr>
          <w:p w:rsidR="00E61919" w:rsidRPr="00F12E3D" w:rsidRDefault="00E61919" w:rsidP="00012F90">
            <w:pPr>
              <w:tabs>
                <w:tab w:val="left" w:pos="2160"/>
                <w:tab w:val="left" w:leader="dot" w:pos="8820"/>
              </w:tabs>
              <w:rPr>
                <w:rFonts w:ascii="Arial" w:hAnsi="Arial" w:cs="Arial"/>
                <w:b/>
                <w:sz w:val="20"/>
                <w:szCs w:val="20"/>
                <w:lang w:val="ro-RO"/>
              </w:rPr>
            </w:pPr>
            <w:r w:rsidRPr="00F12E3D">
              <w:rPr>
                <w:rFonts w:ascii="Arial" w:hAnsi="Arial" w:cs="Arial"/>
                <w:b/>
                <w:sz w:val="20"/>
                <w:szCs w:val="20"/>
                <w:lang w:val="ro-RO"/>
              </w:rPr>
              <w:t>Locuitori /km</w:t>
            </w:r>
            <w:r w:rsidRPr="00F12E3D">
              <w:rPr>
                <w:rFonts w:ascii="Arial" w:hAnsi="Arial" w:cs="Arial"/>
                <w:b/>
                <w:sz w:val="20"/>
                <w:szCs w:val="20"/>
                <w:vertAlign w:val="superscript"/>
                <w:lang w:val="ro-RO"/>
              </w:rPr>
              <w:t>2</w:t>
            </w:r>
          </w:p>
        </w:tc>
      </w:tr>
      <w:tr w:rsidR="00E61919" w:rsidRPr="00F12E3D" w:rsidTr="00012F90">
        <w:trPr>
          <w:trHeight w:val="270"/>
          <w:jc w:val="center"/>
        </w:trPr>
        <w:tc>
          <w:tcPr>
            <w:tcW w:w="1001" w:type="dxa"/>
            <w:shd w:val="clear" w:color="auto" w:fill="FFFFDD"/>
          </w:tcPr>
          <w:p w:rsidR="00E61919" w:rsidRPr="00F76599" w:rsidRDefault="00E61919" w:rsidP="00012F90">
            <w:pPr>
              <w:tabs>
                <w:tab w:val="left" w:pos="2160"/>
                <w:tab w:val="left" w:leader="dot" w:pos="8820"/>
              </w:tabs>
              <w:jc w:val="center"/>
              <w:rPr>
                <w:rFonts w:ascii="Arial" w:hAnsi="Arial" w:cs="Arial"/>
                <w:lang w:val="ro-RO"/>
              </w:rPr>
            </w:pPr>
            <w:r w:rsidRPr="00F76599">
              <w:rPr>
                <w:rFonts w:ascii="Arial" w:hAnsi="Arial" w:cs="Arial"/>
                <w:lang w:val="ro-RO"/>
              </w:rPr>
              <w:t>2011</w:t>
            </w:r>
          </w:p>
        </w:tc>
        <w:tc>
          <w:tcPr>
            <w:tcW w:w="1018" w:type="dxa"/>
            <w:shd w:val="clear" w:color="auto" w:fill="FFFFDD"/>
            <w:vAlign w:val="center"/>
          </w:tcPr>
          <w:p w:rsidR="00E61919" w:rsidRPr="00F76599" w:rsidRDefault="00E61919" w:rsidP="00012F90">
            <w:pPr>
              <w:tabs>
                <w:tab w:val="left" w:pos="2160"/>
                <w:tab w:val="left" w:leader="dot" w:pos="8820"/>
              </w:tabs>
              <w:jc w:val="center"/>
              <w:rPr>
                <w:rFonts w:ascii="Arial" w:hAnsi="Arial" w:cs="Arial"/>
                <w:lang w:val="ro-RO"/>
              </w:rPr>
            </w:pPr>
            <w:r w:rsidRPr="00F76599">
              <w:rPr>
                <w:rFonts w:ascii="Arial" w:hAnsi="Arial" w:cs="Arial"/>
                <w:lang w:val="ro-RO"/>
              </w:rPr>
              <w:t>321212</w:t>
            </w:r>
          </w:p>
        </w:tc>
        <w:tc>
          <w:tcPr>
            <w:tcW w:w="1355" w:type="dxa"/>
            <w:shd w:val="clear" w:color="auto" w:fill="FFFFDD"/>
            <w:vAlign w:val="center"/>
          </w:tcPr>
          <w:p w:rsidR="00E61919" w:rsidRPr="00F76599" w:rsidRDefault="00E61919" w:rsidP="00012F90">
            <w:pPr>
              <w:tabs>
                <w:tab w:val="left" w:pos="2160"/>
                <w:tab w:val="left" w:leader="dot" w:pos="8820"/>
              </w:tabs>
              <w:jc w:val="center"/>
              <w:rPr>
                <w:rFonts w:ascii="Arial" w:hAnsi="Arial" w:cs="Arial"/>
                <w:lang w:val="ro-RO"/>
              </w:rPr>
            </w:pPr>
            <w:r w:rsidRPr="00F76599">
              <w:rPr>
                <w:rFonts w:ascii="Arial" w:hAnsi="Arial" w:cs="Arial"/>
                <w:lang w:val="ro-RO"/>
              </w:rPr>
              <w:t>200765</w:t>
            </w:r>
          </w:p>
        </w:tc>
        <w:tc>
          <w:tcPr>
            <w:tcW w:w="1304" w:type="dxa"/>
            <w:shd w:val="clear" w:color="auto" w:fill="FFFFDD"/>
            <w:vAlign w:val="center"/>
          </w:tcPr>
          <w:p w:rsidR="00E61919" w:rsidRPr="00F76599" w:rsidRDefault="00E61919" w:rsidP="00012F90">
            <w:pPr>
              <w:tabs>
                <w:tab w:val="left" w:pos="2160"/>
                <w:tab w:val="left" w:leader="dot" w:pos="8820"/>
              </w:tabs>
              <w:jc w:val="center"/>
              <w:rPr>
                <w:rFonts w:ascii="Arial" w:hAnsi="Arial" w:cs="Arial"/>
                <w:lang w:val="ro-RO"/>
              </w:rPr>
            </w:pPr>
            <w:r w:rsidRPr="00F76599">
              <w:rPr>
                <w:rFonts w:ascii="Arial" w:hAnsi="Arial" w:cs="Arial"/>
                <w:lang w:val="ro-RO"/>
              </w:rPr>
              <w:t>120447</w:t>
            </w:r>
          </w:p>
        </w:tc>
        <w:tc>
          <w:tcPr>
            <w:tcW w:w="1247" w:type="dxa"/>
            <w:shd w:val="clear" w:color="auto" w:fill="FFFFDD"/>
            <w:vAlign w:val="center"/>
          </w:tcPr>
          <w:p w:rsidR="00E61919" w:rsidRPr="00F76599" w:rsidRDefault="00E61919" w:rsidP="00012F90">
            <w:pPr>
              <w:tabs>
                <w:tab w:val="left" w:pos="2160"/>
                <w:tab w:val="left" w:leader="dot" w:pos="8820"/>
              </w:tabs>
              <w:jc w:val="center"/>
              <w:rPr>
                <w:rFonts w:ascii="Arial" w:hAnsi="Arial" w:cs="Arial"/>
                <w:lang w:val="ro-RO"/>
              </w:rPr>
            </w:pPr>
            <w:r>
              <w:rPr>
                <w:rFonts w:ascii="Arial" w:hAnsi="Arial" w:cs="Arial"/>
                <w:lang w:val="ro-RO"/>
              </w:rPr>
              <w:t>67,39</w:t>
            </w:r>
          </w:p>
        </w:tc>
      </w:tr>
      <w:tr w:rsidR="00E61919" w:rsidRPr="00F12E3D" w:rsidTr="00012F90">
        <w:trPr>
          <w:trHeight w:val="270"/>
          <w:jc w:val="center"/>
        </w:trPr>
        <w:tc>
          <w:tcPr>
            <w:tcW w:w="1001"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2012</w:t>
            </w:r>
          </w:p>
        </w:tc>
        <w:tc>
          <w:tcPr>
            <w:tcW w:w="1018"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319674</w:t>
            </w:r>
          </w:p>
        </w:tc>
        <w:tc>
          <w:tcPr>
            <w:tcW w:w="1355"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199634</w:t>
            </w:r>
          </w:p>
        </w:tc>
        <w:tc>
          <w:tcPr>
            <w:tcW w:w="1304"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120040</w:t>
            </w:r>
          </w:p>
        </w:tc>
        <w:tc>
          <w:tcPr>
            <w:tcW w:w="1247" w:type="dxa"/>
            <w:shd w:val="clear" w:color="auto" w:fill="FFFFDD"/>
            <w:vAlign w:val="center"/>
          </w:tcPr>
          <w:p w:rsidR="00E61919" w:rsidRPr="00F76599" w:rsidRDefault="00E61919" w:rsidP="00012F90">
            <w:pPr>
              <w:jc w:val="center"/>
              <w:rPr>
                <w:rFonts w:ascii="Arial" w:hAnsi="Arial" w:cs="Arial"/>
                <w:lang w:val="ro-RO"/>
              </w:rPr>
            </w:pPr>
            <w:r>
              <w:rPr>
                <w:rFonts w:ascii="Arial" w:hAnsi="Arial" w:cs="Arial"/>
                <w:lang w:val="ro-RO"/>
              </w:rPr>
              <w:t>67</w:t>
            </w:r>
            <w:r w:rsidRPr="00F76599">
              <w:rPr>
                <w:rFonts w:ascii="Arial" w:hAnsi="Arial" w:cs="Arial"/>
                <w:lang w:val="ro-RO"/>
              </w:rPr>
              <w:t>,</w:t>
            </w:r>
            <w:r>
              <w:rPr>
                <w:rFonts w:ascii="Arial" w:hAnsi="Arial" w:cs="Arial"/>
                <w:lang w:val="ro-RO"/>
              </w:rPr>
              <w:t>08</w:t>
            </w:r>
          </w:p>
        </w:tc>
      </w:tr>
      <w:tr w:rsidR="00E61919" w:rsidRPr="00F12E3D" w:rsidTr="00012F90">
        <w:trPr>
          <w:trHeight w:val="270"/>
          <w:jc w:val="center"/>
        </w:trPr>
        <w:tc>
          <w:tcPr>
            <w:tcW w:w="1001"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2013</w:t>
            </w:r>
          </w:p>
        </w:tc>
        <w:tc>
          <w:tcPr>
            <w:tcW w:w="1018"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315598</w:t>
            </w:r>
          </w:p>
        </w:tc>
        <w:tc>
          <w:tcPr>
            <w:tcW w:w="1355"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196563</w:t>
            </w:r>
          </w:p>
        </w:tc>
        <w:tc>
          <w:tcPr>
            <w:tcW w:w="1304"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119035</w:t>
            </w:r>
          </w:p>
        </w:tc>
        <w:tc>
          <w:tcPr>
            <w:tcW w:w="1247" w:type="dxa"/>
            <w:shd w:val="clear" w:color="auto" w:fill="FFFFDD"/>
            <w:vAlign w:val="center"/>
          </w:tcPr>
          <w:p w:rsidR="00E61919" w:rsidRPr="00F76599" w:rsidRDefault="00E61919" w:rsidP="00012F90">
            <w:pPr>
              <w:jc w:val="center"/>
              <w:rPr>
                <w:rFonts w:ascii="Arial" w:hAnsi="Arial" w:cs="Arial"/>
                <w:lang w:val="ro-RO"/>
              </w:rPr>
            </w:pPr>
            <w:r>
              <w:rPr>
                <w:rFonts w:ascii="Arial" w:hAnsi="Arial" w:cs="Arial"/>
                <w:lang w:val="ro-RO"/>
              </w:rPr>
              <w:t>66,22</w:t>
            </w:r>
          </w:p>
        </w:tc>
      </w:tr>
      <w:tr w:rsidR="00E61919" w:rsidRPr="00F12E3D" w:rsidTr="00012F90">
        <w:trPr>
          <w:trHeight w:val="270"/>
          <w:jc w:val="center"/>
        </w:trPr>
        <w:tc>
          <w:tcPr>
            <w:tcW w:w="1001"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2014</w:t>
            </w:r>
          </w:p>
        </w:tc>
        <w:tc>
          <w:tcPr>
            <w:tcW w:w="1018"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312089</w:t>
            </w:r>
          </w:p>
        </w:tc>
        <w:tc>
          <w:tcPr>
            <w:tcW w:w="1355"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194025</w:t>
            </w:r>
          </w:p>
        </w:tc>
        <w:tc>
          <w:tcPr>
            <w:tcW w:w="1304" w:type="dxa"/>
            <w:shd w:val="clear" w:color="auto" w:fill="FFFFDD"/>
            <w:vAlign w:val="center"/>
          </w:tcPr>
          <w:p w:rsidR="00E61919" w:rsidRPr="00F76599" w:rsidRDefault="00E61919" w:rsidP="00012F90">
            <w:pPr>
              <w:jc w:val="center"/>
              <w:rPr>
                <w:rFonts w:ascii="Arial" w:hAnsi="Arial" w:cs="Arial"/>
                <w:lang w:val="ro-RO"/>
              </w:rPr>
            </w:pPr>
            <w:r w:rsidRPr="00F76599">
              <w:rPr>
                <w:rFonts w:ascii="Arial" w:hAnsi="Arial" w:cs="Arial"/>
                <w:lang w:val="ro-RO"/>
              </w:rPr>
              <w:t>118064</w:t>
            </w:r>
          </w:p>
        </w:tc>
        <w:tc>
          <w:tcPr>
            <w:tcW w:w="1247" w:type="dxa"/>
            <w:shd w:val="clear" w:color="auto" w:fill="FFFFDD"/>
            <w:vAlign w:val="center"/>
          </w:tcPr>
          <w:p w:rsidR="00E61919" w:rsidRPr="00F76599" w:rsidRDefault="00E61919" w:rsidP="00012F90">
            <w:pPr>
              <w:jc w:val="center"/>
              <w:rPr>
                <w:rFonts w:ascii="Arial" w:hAnsi="Arial" w:cs="Arial"/>
                <w:lang w:val="ro-RO"/>
              </w:rPr>
            </w:pPr>
            <w:r>
              <w:rPr>
                <w:rFonts w:ascii="Arial" w:hAnsi="Arial" w:cs="Arial"/>
                <w:lang w:val="ro-RO"/>
              </w:rPr>
              <w:t>65,49</w:t>
            </w:r>
          </w:p>
        </w:tc>
      </w:tr>
    </w:tbl>
    <w:p w:rsidR="00E61919" w:rsidRPr="00F12E3D" w:rsidRDefault="00E61919" w:rsidP="00E61919">
      <w:pPr>
        <w:tabs>
          <w:tab w:val="left" w:pos="2160"/>
          <w:tab w:val="left" w:leader="dot" w:pos="8820"/>
        </w:tabs>
        <w:ind w:right="31"/>
        <w:rPr>
          <w:rFonts w:ascii="Arial" w:hAnsi="Arial" w:cs="Arial"/>
          <w:lang w:val="ro-RO"/>
        </w:rPr>
      </w:pPr>
    </w:p>
    <w:p w:rsidR="00E61919" w:rsidRDefault="00E61919" w:rsidP="00E61919">
      <w:pPr>
        <w:tabs>
          <w:tab w:val="left" w:pos="2687"/>
        </w:tabs>
        <w:ind w:right="31"/>
        <w:jc w:val="center"/>
        <w:rPr>
          <w:rFonts w:ascii="Arial" w:hAnsi="Arial" w:cs="Arial"/>
          <w:lang w:val="ro-RO"/>
        </w:rPr>
      </w:pPr>
      <w:r>
        <w:rPr>
          <w:rFonts w:ascii="Arial" w:hAnsi="Arial" w:cs="Arial"/>
          <w:b/>
          <w:i/>
          <w:noProof/>
          <w:u w:val="single"/>
          <w:lang w:val="ro-RO" w:eastAsia="ro-RO"/>
        </w:rPr>
        <w:drawing>
          <wp:inline distT="0" distB="0" distL="0" distR="0">
            <wp:extent cx="3689350" cy="2073275"/>
            <wp:effectExtent l="19050" t="0" r="25400" b="3175"/>
            <wp:docPr id="76" name="Object 66"/>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83"/>
              </a:graphicData>
            </a:graphic>
          </wp:inline>
        </w:drawing>
      </w:r>
    </w:p>
    <w:p w:rsidR="00E61919" w:rsidRDefault="00E61919" w:rsidP="00E61919">
      <w:pPr>
        <w:tabs>
          <w:tab w:val="left" w:pos="2160"/>
          <w:tab w:val="left" w:leader="dot" w:pos="8820"/>
        </w:tabs>
        <w:ind w:right="31"/>
        <w:rPr>
          <w:rFonts w:ascii="Arial" w:hAnsi="Arial" w:cs="Arial"/>
          <w:lang w:val="ro-RO"/>
        </w:rPr>
      </w:pPr>
    </w:p>
    <w:p w:rsidR="00E61919" w:rsidRPr="00211149" w:rsidRDefault="00E61919" w:rsidP="00E61919">
      <w:pPr>
        <w:tabs>
          <w:tab w:val="left" w:pos="2160"/>
          <w:tab w:val="left" w:leader="dot" w:pos="8820"/>
        </w:tabs>
        <w:ind w:right="31"/>
        <w:jc w:val="center"/>
        <w:rPr>
          <w:rFonts w:ascii="Arial" w:hAnsi="Arial" w:cs="Arial"/>
          <w:b/>
          <w:lang w:val="ro-RO"/>
        </w:rPr>
      </w:pPr>
      <w:r>
        <w:rPr>
          <w:rFonts w:ascii="Arial" w:hAnsi="Arial" w:cs="Arial"/>
          <w:b/>
          <w:lang w:val="ro-RO"/>
        </w:rPr>
        <w:t>Figura nr.1.3-</w:t>
      </w:r>
      <w:r w:rsidRPr="00F12E3D">
        <w:rPr>
          <w:rFonts w:ascii="Arial" w:hAnsi="Arial" w:cs="Arial"/>
          <w:b/>
          <w:lang w:val="ro-RO"/>
        </w:rPr>
        <w:t>1</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ind w:firstLine="708"/>
        <w:rPr>
          <w:rFonts w:ascii="Arial" w:eastAsia="Times New Roman" w:hAnsi="Arial" w:cs="Arial"/>
          <w:color w:val="000000"/>
          <w:lang w:val="ro-RO"/>
        </w:rPr>
      </w:pPr>
      <w:r>
        <w:rPr>
          <w:rFonts w:ascii="Arial" w:eastAsia="Times New Roman" w:hAnsi="Arial" w:cs="Arial"/>
          <w:color w:val="000000"/>
          <w:lang w:val="ro-RO"/>
        </w:rPr>
        <w:t>Tendința de scădere a populației județului Brăila este mai vizibilă în mediul urban.</w:t>
      </w:r>
    </w:p>
    <w:p w:rsidR="00E61919" w:rsidRDefault="00E61919" w:rsidP="00E61919">
      <w:pPr>
        <w:ind w:firstLine="708"/>
        <w:rPr>
          <w:rFonts w:ascii="Arial" w:eastAsia="Times New Roman" w:hAnsi="Arial" w:cs="Arial"/>
          <w:color w:val="000000"/>
          <w:lang w:val="ro-RO"/>
        </w:rPr>
      </w:pPr>
      <w:r>
        <w:rPr>
          <w:rFonts w:ascii="Arial" w:eastAsia="Times New Roman" w:hAnsi="Arial" w:cs="Arial"/>
          <w:color w:val="000000"/>
          <w:lang w:val="ro-RO"/>
        </w:rPr>
        <w:t>Modificarea populației urbane în perioada 2011-2014 (% față de anul 2011) este redată în graficul de mai jos:</w:t>
      </w:r>
    </w:p>
    <w:p w:rsidR="00E61919" w:rsidRDefault="00E61919" w:rsidP="00E61919">
      <w:pPr>
        <w:ind w:firstLine="708"/>
        <w:rPr>
          <w:rFonts w:ascii="Arial" w:eastAsia="Times New Roman" w:hAnsi="Arial" w:cs="Arial"/>
          <w:color w:val="000000"/>
          <w:lang w:val="ro-RO"/>
        </w:rPr>
      </w:pPr>
    </w:p>
    <w:p w:rsidR="00E61919" w:rsidRDefault="00E61919" w:rsidP="00E61919">
      <w:pPr>
        <w:ind w:firstLine="708"/>
        <w:jc w:val="center"/>
        <w:rPr>
          <w:rFonts w:ascii="Arial" w:eastAsia="Times New Roman" w:hAnsi="Arial" w:cs="Arial"/>
          <w:color w:val="000000"/>
          <w:lang w:val="ro-RO"/>
        </w:rPr>
      </w:pPr>
      <w:r w:rsidRPr="00211149">
        <w:rPr>
          <w:rFonts w:ascii="Arial" w:eastAsia="Times New Roman" w:hAnsi="Arial" w:cs="Arial"/>
          <w:noProof/>
          <w:color w:val="000000"/>
          <w:lang w:val="ro-RO" w:eastAsia="ro-RO"/>
        </w:rPr>
        <w:lastRenderedPageBreak/>
        <w:drawing>
          <wp:inline distT="0" distB="0" distL="0" distR="0">
            <wp:extent cx="2059916" cy="2924355"/>
            <wp:effectExtent l="19050" t="0" r="16534" b="9345"/>
            <wp:docPr id="77"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84"/>
              </a:graphicData>
            </a:graphic>
          </wp:inline>
        </w:drawing>
      </w:r>
    </w:p>
    <w:p w:rsidR="00E61919" w:rsidRDefault="00E61919" w:rsidP="00E61919">
      <w:pPr>
        <w:tabs>
          <w:tab w:val="left" w:pos="2160"/>
          <w:tab w:val="left" w:leader="dot" w:pos="8820"/>
        </w:tabs>
        <w:ind w:right="31"/>
        <w:jc w:val="center"/>
        <w:rPr>
          <w:rFonts w:ascii="Arial" w:hAnsi="Arial" w:cs="Arial"/>
          <w:b/>
          <w:lang w:val="ro-RO"/>
        </w:rPr>
      </w:pPr>
      <w:r>
        <w:rPr>
          <w:rFonts w:ascii="Arial" w:hAnsi="Arial" w:cs="Arial"/>
          <w:b/>
          <w:lang w:val="ro-RO"/>
        </w:rPr>
        <w:t>Figura nr.1.3-2</w:t>
      </w:r>
    </w:p>
    <w:p w:rsidR="00E61919" w:rsidRDefault="00E61919" w:rsidP="00E61919">
      <w:pPr>
        <w:tabs>
          <w:tab w:val="left" w:pos="709"/>
          <w:tab w:val="left" w:pos="2160"/>
          <w:tab w:val="left" w:leader="dot" w:pos="8820"/>
        </w:tabs>
        <w:ind w:right="31" w:firstLine="709"/>
        <w:jc w:val="both"/>
        <w:rPr>
          <w:rFonts w:ascii="Arial" w:hAnsi="Arial" w:cs="Arial"/>
          <w:lang w:val="ro-RO"/>
        </w:rPr>
      </w:pPr>
      <w:r w:rsidRPr="00CE7F69">
        <w:rPr>
          <w:rFonts w:ascii="Arial" w:hAnsi="Arial" w:cs="Arial"/>
          <w:lang w:val="ro-RO"/>
        </w:rPr>
        <w:t>Modificări ale densității populației județului Brăila în perioada 2011-2014 s-au înregistrat conform graficului de mai jos. Se observă o scădere continuă în această perioadă.</w:t>
      </w:r>
    </w:p>
    <w:p w:rsidR="00E61919" w:rsidRPr="00CE7F69" w:rsidRDefault="00E61919" w:rsidP="00E61919">
      <w:pPr>
        <w:tabs>
          <w:tab w:val="left" w:pos="709"/>
          <w:tab w:val="left" w:pos="2160"/>
          <w:tab w:val="left" w:leader="dot" w:pos="8820"/>
        </w:tabs>
        <w:ind w:right="31" w:firstLine="709"/>
        <w:jc w:val="both"/>
        <w:rPr>
          <w:rFonts w:ascii="Arial" w:hAnsi="Arial" w:cs="Arial"/>
          <w:lang w:val="ro-RO"/>
        </w:rPr>
      </w:pPr>
    </w:p>
    <w:p w:rsidR="00E61919" w:rsidRDefault="00E61919" w:rsidP="00E61919">
      <w:pPr>
        <w:ind w:firstLine="708"/>
        <w:jc w:val="center"/>
        <w:rPr>
          <w:rFonts w:ascii="Arial" w:eastAsia="Times New Roman" w:hAnsi="Arial" w:cs="Arial"/>
          <w:color w:val="000000"/>
          <w:lang w:val="ro-RO"/>
        </w:rPr>
      </w:pPr>
      <w:r>
        <w:rPr>
          <w:rFonts w:ascii="Arial" w:eastAsia="Times New Roman" w:hAnsi="Arial" w:cs="Arial"/>
          <w:noProof/>
          <w:color w:val="000000"/>
          <w:lang w:val="ro-RO" w:eastAsia="ro-RO"/>
        </w:rPr>
        <w:drawing>
          <wp:inline distT="0" distB="0" distL="0" distR="0">
            <wp:extent cx="4820368" cy="2493034"/>
            <wp:effectExtent l="19050" t="0" r="18332" b="2516"/>
            <wp:docPr id="78"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85"/>
              </a:graphicData>
            </a:graphic>
          </wp:inline>
        </w:drawing>
      </w:r>
    </w:p>
    <w:p w:rsidR="00E61919" w:rsidRPr="00211149" w:rsidRDefault="00E61919" w:rsidP="00E61919">
      <w:pPr>
        <w:tabs>
          <w:tab w:val="left" w:pos="2160"/>
          <w:tab w:val="left" w:leader="dot" w:pos="8820"/>
        </w:tabs>
        <w:ind w:right="31"/>
        <w:jc w:val="center"/>
        <w:rPr>
          <w:rFonts w:ascii="Arial" w:hAnsi="Arial" w:cs="Arial"/>
          <w:b/>
          <w:lang w:val="ro-RO"/>
        </w:rPr>
      </w:pPr>
      <w:r>
        <w:rPr>
          <w:rFonts w:ascii="Arial" w:hAnsi="Arial" w:cs="Arial"/>
          <w:b/>
          <w:lang w:val="ro-RO"/>
        </w:rPr>
        <w:t>Figura nr.1.3-3</w:t>
      </w:r>
    </w:p>
    <w:p w:rsidR="00E61919" w:rsidRDefault="00E61919" w:rsidP="00E61919">
      <w:pPr>
        <w:ind w:firstLine="708"/>
        <w:jc w:val="center"/>
        <w:rPr>
          <w:rFonts w:ascii="Arial" w:eastAsia="Times New Roman" w:hAnsi="Arial" w:cs="Arial"/>
          <w:color w:val="000000"/>
          <w:lang w:val="ro-RO"/>
        </w:rPr>
      </w:pPr>
    </w:p>
    <w:p w:rsidR="00E61919" w:rsidRDefault="00E61919" w:rsidP="00E61919">
      <w:pPr>
        <w:ind w:firstLine="708"/>
        <w:rPr>
          <w:rFonts w:ascii="Arial" w:eastAsia="Times New Roman" w:hAnsi="Arial" w:cs="Arial"/>
          <w:color w:val="000000"/>
          <w:lang w:val="ro-RO"/>
        </w:rPr>
      </w:pPr>
      <w:r>
        <w:rPr>
          <w:rFonts w:ascii="Arial" w:eastAsia="Times New Roman" w:hAnsi="Arial" w:cs="Arial"/>
          <w:color w:val="000000"/>
          <w:lang w:val="ro-RO"/>
        </w:rPr>
        <w:t>Densitatea populației județului Brăila s-a modificat cu 3,22% în anul 2014 față de anul 2011:</w:t>
      </w:r>
    </w:p>
    <w:p w:rsidR="00E61919" w:rsidRDefault="00E61919" w:rsidP="00E61919">
      <w:pPr>
        <w:ind w:firstLine="708"/>
        <w:jc w:val="both"/>
        <w:rPr>
          <w:rFonts w:ascii="Arial" w:eastAsia="Times New Roman" w:hAnsi="Arial" w:cs="Arial"/>
          <w:color w:val="000000"/>
          <w:lang w:val="ro-RO"/>
        </w:rPr>
      </w:pPr>
    </w:p>
    <w:p w:rsidR="00E61919" w:rsidRDefault="00E61919" w:rsidP="00E61919">
      <w:pPr>
        <w:ind w:firstLine="708"/>
        <w:jc w:val="center"/>
        <w:rPr>
          <w:rFonts w:ascii="Arial" w:eastAsia="Times New Roman" w:hAnsi="Arial" w:cs="Arial"/>
          <w:color w:val="000000"/>
          <w:lang w:val="ro-RO"/>
        </w:rPr>
      </w:pPr>
    </w:p>
    <w:p w:rsidR="00E61919" w:rsidRPr="008071B8" w:rsidRDefault="00E61919" w:rsidP="00E61919">
      <w:pPr>
        <w:rPr>
          <w:rFonts w:ascii="Arial" w:eastAsia="Times New Roman" w:hAnsi="Arial" w:cs="Arial"/>
          <w:b/>
          <w:lang w:val="ro-RO"/>
        </w:rPr>
      </w:pPr>
      <w:r w:rsidRPr="008071B8">
        <w:rPr>
          <w:rFonts w:ascii="Arial" w:eastAsia="Times New Roman" w:hAnsi="Arial" w:cs="Arial"/>
          <w:b/>
          <w:lang w:val="ro-RO"/>
        </w:rPr>
        <w:t>IV.3.2. Expansiunea urbană</w:t>
      </w:r>
    </w:p>
    <w:p w:rsidR="00E61919" w:rsidRDefault="00E61919" w:rsidP="00E61919">
      <w:pPr>
        <w:jc w:val="both"/>
        <w:rPr>
          <w:rFonts w:ascii="Arial" w:eastAsia="Times New Roman" w:hAnsi="Arial" w:cs="Arial"/>
          <w:color w:val="000000"/>
          <w:lang w:val="ro-RO"/>
        </w:rPr>
      </w:pPr>
    </w:p>
    <w:p w:rsidR="00E61919" w:rsidRDefault="00E61919" w:rsidP="00E61919">
      <w:pPr>
        <w:ind w:firstLine="708"/>
        <w:jc w:val="both"/>
        <w:rPr>
          <w:rFonts w:ascii="Arial" w:eastAsia="Times New Roman" w:hAnsi="Arial" w:cs="Arial"/>
          <w:lang w:val="ro-RO"/>
        </w:rPr>
      </w:pPr>
      <w:r w:rsidRPr="00134704">
        <w:rPr>
          <w:rFonts w:ascii="Arial" w:eastAsia="Times New Roman" w:hAnsi="Arial" w:cs="Arial"/>
          <w:color w:val="000000"/>
          <w:lang w:val="ro-RO"/>
        </w:rPr>
        <w:t>Impactul urbanizării depinde de suprafaţa de teren ocupată şi de intensitatea de utilizare a terenurilor, de exemplu, gradul de impermeabilizare a solului şi densitatea populatiei.</w:t>
      </w:r>
    </w:p>
    <w:p w:rsidR="00E61919" w:rsidRDefault="00E61919" w:rsidP="00E61919">
      <w:pPr>
        <w:ind w:firstLine="708"/>
        <w:jc w:val="both"/>
        <w:rPr>
          <w:rFonts w:ascii="Arial" w:eastAsia="Times New Roman" w:hAnsi="Arial" w:cs="Arial"/>
          <w:color w:val="000000"/>
          <w:lang w:val="ro-RO"/>
        </w:rPr>
      </w:pPr>
      <w:r w:rsidRPr="00134704">
        <w:rPr>
          <w:rFonts w:ascii="Arial" w:eastAsia="Times New Roman" w:hAnsi="Arial" w:cs="Arial"/>
          <w:color w:val="000000"/>
          <w:lang w:val="ro-RO"/>
        </w:rPr>
        <w:t xml:space="preserve">Ocuparea terenului prin extinderea urbană şi a infrastructurii respective este, în general, ireversibilă şi conduce la impermeabilizarea solului ca urmare a acoperirii terenurilor cu locuinţe, drumuri şi alte lucrări de construcţii. Ocuparea terenurilor urbane consumă cea mai mare parte din suprafaţa terenurilor agricole, şi reduce spaţiul pentru habitate şi ecosisteme </w:t>
      </w:r>
      <w:r w:rsidRPr="00134704">
        <w:rPr>
          <w:rFonts w:ascii="Arial" w:eastAsia="Times New Roman" w:hAnsi="Arial" w:cs="Arial"/>
          <w:color w:val="000000"/>
          <w:lang w:val="ro-RO"/>
        </w:rPr>
        <w:lastRenderedPageBreak/>
        <w:t>care furnizează servicii importante, cum ar fi reglarea echilibrului apei şi protecţia împotriva inundaţiilor.</w:t>
      </w:r>
    </w:p>
    <w:p w:rsidR="00E61919" w:rsidRDefault="00E61919" w:rsidP="00E61919">
      <w:pPr>
        <w:ind w:firstLine="708"/>
        <w:jc w:val="both"/>
        <w:rPr>
          <w:rFonts w:ascii="Arial" w:eastAsia="Times New Roman" w:hAnsi="Arial" w:cs="Arial"/>
          <w:lang w:val="ro-RO"/>
        </w:rPr>
      </w:pPr>
      <w:r w:rsidRPr="00134704">
        <w:rPr>
          <w:rFonts w:ascii="Arial" w:eastAsia="Times New Roman" w:hAnsi="Arial" w:cs="Arial"/>
          <w:color w:val="000000"/>
          <w:lang w:val="ro-RO"/>
        </w:rPr>
        <w:t xml:space="preserve"> Terenurile ocupate de suprafeţele construite şi infrastructura densă conectează aşezările umane şi fragmentează peisajele. Acest lucru fiind, de asemenea, o sursă importantă de poluare a apei, solului şi a aerului.</w:t>
      </w:r>
    </w:p>
    <w:p w:rsidR="00E61919" w:rsidRDefault="00E61919" w:rsidP="00E61919">
      <w:pPr>
        <w:ind w:firstLine="708"/>
        <w:jc w:val="both"/>
        <w:rPr>
          <w:rFonts w:ascii="Arial" w:hAnsi="Arial" w:cs="Arial"/>
          <w:bCs/>
          <w:iCs/>
        </w:rPr>
      </w:pPr>
    </w:p>
    <w:p w:rsidR="00E61919" w:rsidRDefault="00E61919" w:rsidP="00E61919">
      <w:pPr>
        <w:ind w:firstLine="708"/>
        <w:jc w:val="both"/>
        <w:rPr>
          <w:rFonts w:ascii="Arial" w:hAnsi="Arial" w:cs="Arial"/>
          <w:bCs/>
          <w:iCs/>
        </w:rPr>
      </w:pPr>
      <w:r w:rsidRPr="00CC1F72">
        <w:rPr>
          <w:rFonts w:ascii="Arial" w:hAnsi="Arial" w:cs="Arial"/>
          <w:bCs/>
          <w:iCs/>
        </w:rPr>
        <w:t xml:space="preserve">Evoluţia suprafeţei </w:t>
      </w:r>
      <w:r>
        <w:rPr>
          <w:rFonts w:ascii="Arial" w:hAnsi="Arial" w:cs="Arial"/>
          <w:bCs/>
          <w:iCs/>
        </w:rPr>
        <w:t>terenurilor urbane și artificiale</w:t>
      </w:r>
      <w:r w:rsidRPr="00CC1F72">
        <w:rPr>
          <w:rFonts w:ascii="Arial" w:hAnsi="Arial" w:cs="Arial"/>
          <w:bCs/>
          <w:iCs/>
        </w:rPr>
        <w:t xml:space="preserve"> </w:t>
      </w:r>
      <w:r>
        <w:rPr>
          <w:rFonts w:ascii="Arial" w:hAnsi="Arial" w:cs="Arial"/>
          <w:bCs/>
          <w:iCs/>
        </w:rPr>
        <w:t xml:space="preserve">la nivelul județului Brăila în perioada 2010 – </w:t>
      </w:r>
      <w:r w:rsidRPr="00CC1F72">
        <w:rPr>
          <w:rFonts w:ascii="Arial" w:hAnsi="Arial" w:cs="Arial"/>
          <w:bCs/>
          <w:iCs/>
        </w:rPr>
        <w:t>201</w:t>
      </w:r>
      <w:r>
        <w:rPr>
          <w:rFonts w:ascii="Arial" w:hAnsi="Arial" w:cs="Arial"/>
          <w:bCs/>
          <w:iCs/>
        </w:rPr>
        <w:t xml:space="preserve">4 este redată în figura de mai jos. </w:t>
      </w:r>
    </w:p>
    <w:p w:rsidR="00E61919" w:rsidRDefault="00E61919" w:rsidP="00E61919">
      <w:pPr>
        <w:ind w:firstLine="708"/>
        <w:jc w:val="both"/>
        <w:rPr>
          <w:rFonts w:ascii="Arial" w:eastAsia="Times New Roman" w:hAnsi="Arial" w:cs="Arial"/>
          <w:lang w:val="ro-RO"/>
        </w:rPr>
      </w:pPr>
    </w:p>
    <w:p w:rsidR="00E61919" w:rsidRDefault="00E61919" w:rsidP="00E61919">
      <w:pPr>
        <w:pStyle w:val="BodyTextIndent"/>
        <w:tabs>
          <w:tab w:val="left" w:pos="2478"/>
        </w:tabs>
        <w:spacing w:after="0" w:line="240" w:lineRule="auto"/>
        <w:ind w:left="0"/>
        <w:jc w:val="center"/>
        <w:rPr>
          <w:rFonts w:ascii="Arial" w:hAnsi="Arial" w:cs="Arial"/>
          <w:b/>
          <w:color w:val="000000"/>
          <w:sz w:val="24"/>
          <w:szCs w:val="24"/>
          <w:lang w:val="ro-RO"/>
        </w:rPr>
      </w:pPr>
      <w:r>
        <w:rPr>
          <w:rFonts w:ascii="Arial" w:hAnsi="Arial" w:cs="Arial"/>
          <w:b/>
          <w:noProof/>
          <w:color w:val="000000"/>
          <w:sz w:val="24"/>
          <w:szCs w:val="24"/>
          <w:lang w:val="ro-RO" w:eastAsia="ro-RO"/>
        </w:rPr>
        <w:drawing>
          <wp:inline distT="0" distB="0" distL="0" distR="0">
            <wp:extent cx="5112134" cy="3648974"/>
            <wp:effectExtent l="19050" t="0" r="12316" b="8626"/>
            <wp:docPr id="79"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6"/>
              </a:graphicData>
            </a:graphic>
          </wp:inline>
        </w:drawing>
      </w:r>
    </w:p>
    <w:p w:rsidR="00E61919" w:rsidRDefault="00E61919" w:rsidP="00E61919">
      <w:pPr>
        <w:pStyle w:val="Footer"/>
        <w:rPr>
          <w:rFonts w:ascii="Arial" w:hAnsi="Arial" w:cs="Arial"/>
          <w:b/>
          <w:sz w:val="24"/>
          <w:szCs w:val="24"/>
          <w:lang w:val="it-IT"/>
        </w:rPr>
      </w:pPr>
    </w:p>
    <w:p w:rsidR="00E61919" w:rsidRDefault="00E61919" w:rsidP="00E61919">
      <w:pPr>
        <w:pStyle w:val="Footer"/>
        <w:rPr>
          <w:rFonts w:ascii="Arial" w:hAnsi="Arial" w:cs="Arial"/>
          <w:b/>
          <w:sz w:val="24"/>
          <w:szCs w:val="24"/>
          <w:lang w:val="it-IT"/>
        </w:rPr>
      </w:pPr>
    </w:p>
    <w:p w:rsidR="00E61919" w:rsidRPr="00D35444" w:rsidRDefault="00E61919" w:rsidP="00E61919">
      <w:pPr>
        <w:pStyle w:val="Footer"/>
        <w:jc w:val="cen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IV.3</w:t>
      </w:r>
      <w:r w:rsidRPr="00CC1F72">
        <w:rPr>
          <w:rFonts w:ascii="Arial" w:hAnsi="Arial" w:cs="Arial"/>
          <w:b/>
          <w:sz w:val="24"/>
          <w:szCs w:val="24"/>
          <w:lang w:val="it-IT"/>
        </w:rPr>
        <w:t>.</w:t>
      </w:r>
      <w:r>
        <w:rPr>
          <w:rFonts w:ascii="Arial" w:hAnsi="Arial" w:cs="Arial"/>
          <w:b/>
          <w:sz w:val="24"/>
          <w:szCs w:val="24"/>
          <w:lang w:val="it-IT"/>
        </w:rPr>
        <w:t>2-1</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Default="00E61919" w:rsidP="001F6C27">
      <w:pPr>
        <w:pStyle w:val="BodyTextIndent"/>
        <w:tabs>
          <w:tab w:val="left" w:pos="2478"/>
        </w:tabs>
        <w:spacing w:after="0" w:line="240" w:lineRule="auto"/>
        <w:ind w:left="0"/>
        <w:jc w:val="center"/>
        <w:rPr>
          <w:rFonts w:ascii="Arial" w:hAnsi="Arial" w:cs="Arial"/>
          <w:b/>
          <w:color w:val="000000"/>
          <w:sz w:val="24"/>
          <w:szCs w:val="24"/>
          <w:lang w:val="ro-RO"/>
        </w:rPr>
      </w:pPr>
      <w:r w:rsidRPr="00F37DB3">
        <w:rPr>
          <w:rFonts w:ascii="Arial" w:hAnsi="Arial" w:cs="Arial"/>
          <w:b/>
          <w:noProof/>
          <w:color w:val="000000"/>
          <w:sz w:val="24"/>
          <w:szCs w:val="24"/>
          <w:lang w:val="ro-RO" w:eastAsia="ro-RO"/>
        </w:rPr>
        <w:drawing>
          <wp:inline distT="0" distB="0" distL="0" distR="0">
            <wp:extent cx="5471268" cy="2355011"/>
            <wp:effectExtent l="19050" t="0" r="15132" b="7189"/>
            <wp:docPr id="80" name="Chart 13"/>
            <wp:cNvGraphicFramePr/>
            <a:graphic xmlns:a="http://schemas.openxmlformats.org/drawingml/2006/main">
              <a:graphicData uri="http://schemas.openxmlformats.org/drawingml/2006/chart">
                <c:chart xmlns:c="http://schemas.openxmlformats.org/drawingml/2006/chart" xmlns:r="http://schemas.openxmlformats.org/officeDocument/2006/relationships" r:id="rId87"/>
              </a:graphicData>
            </a:graphic>
          </wp:inline>
        </w:drawing>
      </w:r>
    </w:p>
    <w:p w:rsidR="00E61919" w:rsidRDefault="00E61919" w:rsidP="00E61919">
      <w:pPr>
        <w:pStyle w:val="Footer"/>
        <w:rPr>
          <w:rFonts w:ascii="Arial" w:hAnsi="Arial" w:cs="Arial"/>
          <w:b/>
          <w:sz w:val="24"/>
          <w:szCs w:val="24"/>
          <w:lang w:val="it-IT"/>
        </w:rPr>
      </w:pPr>
    </w:p>
    <w:p w:rsidR="00E61919" w:rsidRPr="00D35444" w:rsidRDefault="00E61919" w:rsidP="00E61919">
      <w:pPr>
        <w:pStyle w:val="Footer"/>
        <w:rPr>
          <w:rFonts w:ascii="Arial" w:hAnsi="Arial" w:cs="Arial"/>
          <w:color w:val="00B050"/>
          <w:sz w:val="24"/>
          <w:szCs w:val="24"/>
        </w:rPr>
      </w:pPr>
      <w:r w:rsidRPr="00CC1F72">
        <w:rPr>
          <w:rFonts w:ascii="Arial" w:hAnsi="Arial" w:cs="Arial"/>
          <w:b/>
          <w:sz w:val="24"/>
          <w:szCs w:val="24"/>
          <w:lang w:val="it-IT"/>
        </w:rPr>
        <w:t>Fig. nr.</w:t>
      </w:r>
      <w:r>
        <w:rPr>
          <w:rFonts w:ascii="Arial" w:hAnsi="Arial" w:cs="Arial"/>
          <w:b/>
          <w:sz w:val="24"/>
          <w:szCs w:val="24"/>
          <w:lang w:val="it-IT"/>
        </w:rPr>
        <w:t xml:space="preserve"> IV</w:t>
      </w:r>
      <w:r w:rsidRPr="00CC1F72">
        <w:rPr>
          <w:rFonts w:ascii="Arial" w:hAnsi="Arial" w:cs="Arial"/>
          <w:b/>
          <w:sz w:val="24"/>
          <w:szCs w:val="24"/>
          <w:lang w:val="it-IT"/>
        </w:rPr>
        <w:t>.</w:t>
      </w:r>
      <w:r>
        <w:rPr>
          <w:rFonts w:ascii="Arial" w:hAnsi="Arial" w:cs="Arial"/>
          <w:b/>
          <w:sz w:val="24"/>
          <w:szCs w:val="24"/>
          <w:lang w:val="it-IT"/>
        </w:rPr>
        <w:t>3</w:t>
      </w:r>
      <w:r w:rsidRPr="00CC1F72">
        <w:rPr>
          <w:rFonts w:ascii="Arial" w:hAnsi="Arial" w:cs="Arial"/>
          <w:b/>
          <w:sz w:val="24"/>
          <w:szCs w:val="24"/>
          <w:lang w:val="it-IT"/>
        </w:rPr>
        <w:t>.</w:t>
      </w:r>
      <w:r>
        <w:rPr>
          <w:rFonts w:ascii="Arial" w:hAnsi="Arial" w:cs="Arial"/>
          <w:b/>
          <w:sz w:val="24"/>
          <w:szCs w:val="24"/>
          <w:lang w:val="it-IT"/>
        </w:rPr>
        <w:t>2</w:t>
      </w:r>
      <w:r w:rsidRPr="00CC1F72">
        <w:rPr>
          <w:rFonts w:ascii="Arial" w:hAnsi="Arial" w:cs="Arial"/>
          <w:b/>
          <w:sz w:val="24"/>
          <w:szCs w:val="24"/>
          <w:lang w:val="it-IT"/>
        </w:rPr>
        <w:t>.</w:t>
      </w:r>
      <w:r>
        <w:rPr>
          <w:rFonts w:ascii="Arial" w:hAnsi="Arial" w:cs="Arial"/>
          <w:b/>
          <w:sz w:val="24"/>
          <w:szCs w:val="24"/>
          <w:lang w:val="it-IT"/>
        </w:rPr>
        <w:t xml:space="preserve"> -2</w:t>
      </w:r>
      <w:r w:rsidRPr="00CC1F72">
        <w:rPr>
          <w:rFonts w:ascii="Arial" w:hAnsi="Arial" w:cs="Arial"/>
          <w:sz w:val="24"/>
          <w:szCs w:val="24"/>
          <w:lang w:val="it-IT"/>
        </w:rPr>
        <w:t xml:space="preserve">- </w:t>
      </w:r>
      <w:r w:rsidRPr="00CC1F72">
        <w:rPr>
          <w:rFonts w:ascii="Arial" w:hAnsi="Arial" w:cs="Arial"/>
          <w:bCs/>
          <w:iCs/>
          <w:sz w:val="24"/>
          <w:szCs w:val="24"/>
        </w:rPr>
        <w:t xml:space="preserve">Evoluţia suprafeţei </w:t>
      </w:r>
      <w:r>
        <w:rPr>
          <w:rFonts w:ascii="Arial" w:hAnsi="Arial" w:cs="Arial"/>
          <w:bCs/>
          <w:iCs/>
          <w:sz w:val="24"/>
          <w:szCs w:val="24"/>
        </w:rPr>
        <w:t>terenurilor urbane și artificiale</w:t>
      </w:r>
      <w:r w:rsidRPr="00CC1F72">
        <w:rPr>
          <w:rFonts w:ascii="Arial" w:hAnsi="Arial" w:cs="Arial"/>
          <w:bCs/>
          <w:iCs/>
          <w:sz w:val="24"/>
          <w:szCs w:val="24"/>
        </w:rPr>
        <w:t xml:space="preserve"> </w:t>
      </w:r>
      <w:r>
        <w:rPr>
          <w:rFonts w:ascii="Arial" w:hAnsi="Arial" w:cs="Arial"/>
          <w:bCs/>
          <w:iCs/>
          <w:sz w:val="24"/>
          <w:szCs w:val="24"/>
        </w:rPr>
        <w:t xml:space="preserve">la nivelul județului Brăila în perioada 2010 </w:t>
      </w:r>
      <w:r w:rsidRPr="00CC1F72">
        <w:rPr>
          <w:rFonts w:ascii="Arial" w:hAnsi="Arial" w:cs="Arial"/>
          <w:bCs/>
          <w:iCs/>
          <w:sz w:val="24"/>
          <w:szCs w:val="24"/>
        </w:rPr>
        <w:t>-</w:t>
      </w:r>
      <w:r>
        <w:rPr>
          <w:rFonts w:ascii="Arial" w:hAnsi="Arial" w:cs="Arial"/>
          <w:bCs/>
          <w:iCs/>
          <w:sz w:val="24"/>
          <w:szCs w:val="24"/>
        </w:rPr>
        <w:t xml:space="preserve"> </w:t>
      </w:r>
      <w:r w:rsidRPr="00CC1F72">
        <w:rPr>
          <w:rFonts w:ascii="Arial" w:hAnsi="Arial" w:cs="Arial"/>
          <w:bCs/>
          <w:iCs/>
          <w:sz w:val="24"/>
          <w:szCs w:val="24"/>
        </w:rPr>
        <w:t>201</w:t>
      </w:r>
      <w:r>
        <w:rPr>
          <w:rFonts w:ascii="Arial" w:hAnsi="Arial" w:cs="Arial"/>
          <w:bCs/>
          <w:iCs/>
          <w:sz w:val="24"/>
          <w:szCs w:val="24"/>
        </w:rPr>
        <w:t>4</w:t>
      </w:r>
    </w:p>
    <w:p w:rsidR="00E61919" w:rsidRDefault="00E61919" w:rsidP="00E61919">
      <w:pPr>
        <w:pStyle w:val="BodyTextIndent"/>
        <w:tabs>
          <w:tab w:val="left" w:pos="2478"/>
        </w:tabs>
        <w:spacing w:after="0" w:line="240" w:lineRule="auto"/>
        <w:ind w:left="0"/>
        <w:jc w:val="both"/>
        <w:rPr>
          <w:rFonts w:ascii="Arial" w:hAnsi="Arial" w:cs="Arial"/>
          <w:b/>
          <w:color w:val="000000"/>
          <w:sz w:val="24"/>
          <w:szCs w:val="24"/>
          <w:lang w:val="ro-RO"/>
        </w:rPr>
      </w:pPr>
    </w:p>
    <w:p w:rsidR="00E61919" w:rsidRPr="004A1F26" w:rsidRDefault="00E61919" w:rsidP="00E61919">
      <w:pPr>
        <w:pStyle w:val="BodyTextIndent"/>
        <w:tabs>
          <w:tab w:val="left" w:pos="851"/>
        </w:tabs>
        <w:spacing w:after="0" w:line="240" w:lineRule="auto"/>
        <w:ind w:left="0" w:firstLine="709"/>
        <w:jc w:val="both"/>
        <w:rPr>
          <w:rFonts w:ascii="Arial" w:hAnsi="Arial" w:cs="Arial"/>
          <w:color w:val="000000"/>
          <w:sz w:val="24"/>
          <w:szCs w:val="24"/>
          <w:lang w:val="ro-RO"/>
        </w:rPr>
      </w:pPr>
      <w:r>
        <w:rPr>
          <w:rFonts w:ascii="Arial" w:hAnsi="Arial" w:cs="Arial"/>
          <w:color w:val="000000"/>
          <w:sz w:val="24"/>
          <w:szCs w:val="24"/>
          <w:lang w:val="ro-RO"/>
        </w:rPr>
        <w:tab/>
        <w:t>În ceea ce priveș</w:t>
      </w:r>
      <w:r w:rsidRPr="004A1F26">
        <w:rPr>
          <w:rFonts w:ascii="Arial" w:hAnsi="Arial" w:cs="Arial"/>
          <w:color w:val="000000"/>
          <w:sz w:val="24"/>
          <w:szCs w:val="24"/>
          <w:lang w:val="ro-RO"/>
        </w:rPr>
        <w:t xml:space="preserve">te </w:t>
      </w:r>
      <w:r w:rsidRPr="00240FB4">
        <w:rPr>
          <w:rFonts w:ascii="Arial" w:hAnsi="Arial" w:cs="Arial"/>
          <w:i/>
          <w:color w:val="000000"/>
          <w:sz w:val="24"/>
          <w:szCs w:val="24"/>
          <w:lang w:val="ro-RO"/>
        </w:rPr>
        <w:t>terenurile urbane și artificiale</w:t>
      </w:r>
      <w:r>
        <w:rPr>
          <w:rFonts w:ascii="Arial" w:hAnsi="Arial" w:cs="Arial"/>
          <w:color w:val="000000"/>
          <w:sz w:val="24"/>
          <w:szCs w:val="24"/>
          <w:lang w:val="ro-RO"/>
        </w:rPr>
        <w:t xml:space="preserve"> (curți și construcții și drumuri și căi ferate) se constată o ușoară creștere a acestora în perioada 2010 – 2014.</w:t>
      </w:r>
    </w:p>
    <w:p w:rsidR="00E61919" w:rsidRDefault="00E61919" w:rsidP="00E61919">
      <w:pPr>
        <w:jc w:val="center"/>
        <w:rPr>
          <w:rFonts w:ascii="Arial" w:eastAsia="Times New Roman" w:hAnsi="Arial" w:cs="Arial"/>
          <w:lang w:val="ro-RO"/>
        </w:rPr>
      </w:pPr>
    </w:p>
    <w:p w:rsidR="00E61919" w:rsidRDefault="00E61919" w:rsidP="00E61919">
      <w:pPr>
        <w:rPr>
          <w:rFonts w:ascii="Arial" w:eastAsia="Times New Roman" w:hAnsi="Arial" w:cs="Arial"/>
          <w:b/>
          <w:lang w:val="ro-RO"/>
        </w:rPr>
      </w:pPr>
      <w:r w:rsidRPr="008071B8">
        <w:rPr>
          <w:rFonts w:ascii="Arial" w:eastAsia="Times New Roman" w:hAnsi="Arial" w:cs="Arial"/>
          <w:b/>
          <w:lang w:val="ro-RO"/>
        </w:rPr>
        <w:t>IV</w:t>
      </w:r>
      <w:r>
        <w:rPr>
          <w:rFonts w:ascii="Arial" w:eastAsia="Times New Roman" w:hAnsi="Arial" w:cs="Arial"/>
          <w:b/>
          <w:lang w:val="ro-RO"/>
        </w:rPr>
        <w:t xml:space="preserve">.4. </w:t>
      </w:r>
      <w:r w:rsidRPr="008071B8">
        <w:rPr>
          <w:rFonts w:ascii="Arial" w:eastAsia="Times New Roman" w:hAnsi="Arial" w:cs="Arial"/>
          <w:b/>
          <w:lang w:val="ro-RO"/>
        </w:rPr>
        <w:t xml:space="preserve"> Prognoze și acțiuni întreprinse privind utilizarea terenurilor</w:t>
      </w:r>
    </w:p>
    <w:p w:rsidR="00E61919" w:rsidRDefault="00E61919" w:rsidP="00E61919">
      <w:pPr>
        <w:rPr>
          <w:rFonts w:ascii="Arial" w:eastAsia="Times New Roman" w:hAnsi="Arial" w:cs="Arial"/>
          <w:b/>
          <w:lang w:val="ro-RO"/>
        </w:rPr>
      </w:pPr>
    </w:p>
    <w:p w:rsidR="00E61919" w:rsidRPr="008071B8" w:rsidRDefault="00E61919" w:rsidP="00E61919">
      <w:pPr>
        <w:ind w:firstLine="708"/>
        <w:jc w:val="both"/>
        <w:rPr>
          <w:rFonts w:ascii="Arial" w:eastAsia="Times New Roman" w:hAnsi="Arial" w:cs="Arial"/>
          <w:lang w:val="ro-RO"/>
        </w:rPr>
      </w:pPr>
      <w:r w:rsidRPr="008071B8">
        <w:rPr>
          <w:rFonts w:ascii="Arial" w:eastAsia="Times New Roman" w:hAnsi="Arial" w:cs="Arial"/>
          <w:lang w:val="ro-RO"/>
        </w:rPr>
        <w:t>La nivel national, reducerea presiunilor datorate schimbării destinaţiei terenurilor şi care conduc la pierderea habitatelor naturale şi semi-naturale reprezintă unul dintre obiectivele prevăzute în Strategia Naţională şi Planul de Acţiune pentru Conservarea Biodiversităţii 2013 – 2020</w:t>
      </w:r>
      <w:r>
        <w:rPr>
          <w:rFonts w:ascii="Arial" w:eastAsia="Times New Roman" w:hAnsi="Arial" w:cs="Arial"/>
          <w:lang w:val="ro-RO"/>
        </w:rPr>
        <w:t>, obiective care sunt preluate și la nivel județean.</w:t>
      </w:r>
      <w:r w:rsidRPr="008071B8">
        <w:rPr>
          <w:rFonts w:ascii="Arial" w:eastAsia="Times New Roman" w:hAnsi="Arial" w:cs="Arial"/>
          <w:lang w:val="ro-RO"/>
        </w:rPr>
        <w:t xml:space="preserve"> </w:t>
      </w:r>
    </w:p>
    <w:p w:rsidR="00E61919" w:rsidRPr="008071B8" w:rsidRDefault="00E61919" w:rsidP="00E61919">
      <w:pPr>
        <w:ind w:firstLine="708"/>
        <w:jc w:val="both"/>
        <w:rPr>
          <w:rFonts w:ascii="Arial" w:eastAsia="Times New Roman" w:hAnsi="Arial" w:cs="Arial"/>
          <w:lang w:val="ro-RO"/>
        </w:rPr>
      </w:pPr>
      <w:r w:rsidRPr="008071B8">
        <w:rPr>
          <w:rFonts w:ascii="Arial" w:eastAsia="Times New Roman" w:hAnsi="Arial" w:cs="Arial"/>
          <w:lang w:val="ro-RO"/>
        </w:rPr>
        <w:t>Deciziile politice care modifică utilizarea terenurilor implică compromisuri înt</w:t>
      </w:r>
      <w:r>
        <w:rPr>
          <w:rFonts w:ascii="Arial" w:eastAsia="Times New Roman" w:hAnsi="Arial" w:cs="Arial"/>
          <w:lang w:val="ro-RO"/>
        </w:rPr>
        <w:t>r</w:t>
      </w:r>
      <w:r w:rsidRPr="008071B8">
        <w:rPr>
          <w:rFonts w:ascii="Arial" w:eastAsia="Times New Roman" w:hAnsi="Arial" w:cs="Arial"/>
          <w:lang w:val="ro-RO"/>
        </w:rPr>
        <w:t xml:space="preserve">e interesele </w:t>
      </w:r>
      <w:r>
        <w:rPr>
          <w:rFonts w:ascii="Arial" w:eastAsia="Times New Roman" w:hAnsi="Arial" w:cs="Arial"/>
          <w:lang w:val="ro-RO"/>
        </w:rPr>
        <w:t xml:space="preserve">de dezvoltare ale </w:t>
      </w:r>
      <w:r w:rsidRPr="008071B8">
        <w:rPr>
          <w:rFonts w:ascii="Arial" w:eastAsia="Times New Roman" w:hAnsi="Arial" w:cs="Arial"/>
          <w:lang w:val="ro-RO"/>
        </w:rPr>
        <w:t xml:space="preserve">sectoriale, inclusiv industrie, transport, energie, minerit, agricultură şi silvicultură. </w:t>
      </w:r>
      <w:r>
        <w:rPr>
          <w:rFonts w:ascii="Arial" w:eastAsia="Times New Roman" w:hAnsi="Arial" w:cs="Arial"/>
          <w:lang w:val="ro-RO"/>
        </w:rPr>
        <w:t>Se impune p</w:t>
      </w:r>
      <w:r w:rsidRPr="008071B8">
        <w:rPr>
          <w:rFonts w:ascii="Arial" w:eastAsia="Times New Roman" w:hAnsi="Arial" w:cs="Arial"/>
          <w:lang w:val="ro-RO"/>
        </w:rPr>
        <w:t xml:space="preserve">romovarea sistemelor de folosire integrată a terenurilor la nivel local şi regional, dublată de introducerea ghidurilor şi codurilor de bună practică prevăzută în cadrul Planului naţional de acţiune privind schimbările climatice, prin acţiunea Utilizarea terenurilor, schimbarea utilizării terenurilor şi silvicultură </w:t>
      </w:r>
      <w:r>
        <w:rPr>
          <w:rFonts w:ascii="Arial" w:eastAsia="Times New Roman" w:hAnsi="Arial" w:cs="Arial"/>
          <w:lang w:val="ro-RO"/>
        </w:rPr>
        <w:t>va  permite</w:t>
      </w:r>
      <w:r w:rsidRPr="008071B8">
        <w:rPr>
          <w:rFonts w:ascii="Arial" w:eastAsia="Times New Roman" w:hAnsi="Arial" w:cs="Arial"/>
          <w:lang w:val="ro-RO"/>
        </w:rPr>
        <w:t xml:space="preserve"> ut</w:t>
      </w:r>
      <w:r>
        <w:rPr>
          <w:rFonts w:ascii="Arial" w:eastAsia="Times New Roman" w:hAnsi="Arial" w:cs="Arial"/>
          <w:lang w:val="ro-RO"/>
        </w:rPr>
        <w:t>ilizarea durabilă a terenurilor.</w:t>
      </w:r>
    </w:p>
    <w:p w:rsidR="00E61919" w:rsidRDefault="00E61919" w:rsidP="00E61919">
      <w:pPr>
        <w:ind w:firstLine="708"/>
        <w:jc w:val="both"/>
        <w:rPr>
          <w:rFonts w:ascii="Arial" w:eastAsia="Times New Roman" w:hAnsi="Arial" w:cs="Arial"/>
          <w:lang w:val="ro-RO"/>
        </w:rPr>
      </w:pPr>
      <w:r w:rsidRPr="008071B8">
        <w:rPr>
          <w:rFonts w:ascii="Arial" w:eastAsia="Times New Roman" w:hAnsi="Arial" w:cs="Arial"/>
          <w:lang w:val="ro-RO"/>
        </w:rPr>
        <w:t>Deşi, nu există obiective cantitative în ceea ce priveşte ocuparea terenurilor prin dezvoltarea urbană la nivel european, mai multe documente reflectă necesitatea unei mai bune planificări pentru a controla dezvoltarea urbană şi extinderea infrastructurilor</w:t>
      </w:r>
      <w:r>
        <w:rPr>
          <w:rFonts w:ascii="Arial" w:eastAsia="Times New Roman" w:hAnsi="Arial" w:cs="Arial"/>
          <w:lang w:val="ro-RO"/>
        </w:rPr>
        <w:t xml:space="preserve">. </w:t>
      </w:r>
    </w:p>
    <w:p w:rsidR="00E61919" w:rsidRDefault="00E61919" w:rsidP="00E61919">
      <w:pPr>
        <w:ind w:firstLine="708"/>
        <w:jc w:val="both"/>
        <w:rPr>
          <w:rFonts w:ascii="Arial" w:eastAsia="Times New Roman" w:hAnsi="Arial" w:cs="Arial"/>
          <w:lang w:val="ro-RO"/>
        </w:rPr>
      </w:pPr>
      <w:r>
        <w:rPr>
          <w:rFonts w:ascii="Arial" w:eastAsia="Times New Roman" w:hAnsi="Arial" w:cs="Arial"/>
          <w:lang w:val="ro-RO"/>
        </w:rPr>
        <w:t>P</w:t>
      </w:r>
      <w:r w:rsidRPr="008071B8">
        <w:rPr>
          <w:rFonts w:ascii="Arial" w:eastAsia="Times New Roman" w:hAnsi="Arial" w:cs="Arial"/>
          <w:lang w:val="ro-RO"/>
        </w:rPr>
        <w:t>olitici</w:t>
      </w:r>
      <w:r>
        <w:rPr>
          <w:rFonts w:ascii="Arial" w:eastAsia="Times New Roman" w:hAnsi="Arial" w:cs="Arial"/>
          <w:lang w:val="ro-RO"/>
        </w:rPr>
        <w:t>le</w:t>
      </w:r>
      <w:r w:rsidRPr="008071B8">
        <w:rPr>
          <w:rFonts w:ascii="Arial" w:eastAsia="Times New Roman" w:hAnsi="Arial" w:cs="Arial"/>
          <w:lang w:val="ro-RO"/>
        </w:rPr>
        <w:t xml:space="preserve"> referitoare la problemele de utilizare </w:t>
      </w:r>
      <w:r>
        <w:rPr>
          <w:rFonts w:ascii="Arial" w:eastAsia="Times New Roman" w:hAnsi="Arial" w:cs="Arial"/>
          <w:lang w:val="ro-RO"/>
        </w:rPr>
        <w:t xml:space="preserve">rațională </w:t>
      </w:r>
      <w:r w:rsidRPr="008071B8">
        <w:rPr>
          <w:rFonts w:ascii="Arial" w:eastAsia="Times New Roman" w:hAnsi="Arial" w:cs="Arial"/>
          <w:lang w:val="ro-RO"/>
        </w:rPr>
        <w:t>a terenurilor şi la planificarea fizică şi spaţială</w:t>
      </w:r>
      <w:r>
        <w:rPr>
          <w:rFonts w:ascii="Arial" w:eastAsia="Times New Roman" w:hAnsi="Arial" w:cs="Arial"/>
          <w:lang w:val="ro-RO"/>
        </w:rPr>
        <w:t xml:space="preserve"> a acestora </w:t>
      </w:r>
      <w:r w:rsidRPr="008071B8">
        <w:rPr>
          <w:rFonts w:ascii="Arial" w:eastAsia="Times New Roman" w:hAnsi="Arial" w:cs="Arial"/>
          <w:lang w:val="ro-RO"/>
        </w:rPr>
        <w:t xml:space="preserve">sunt în responsabilitatea autorităţilor </w:t>
      </w:r>
      <w:r>
        <w:rPr>
          <w:rFonts w:ascii="Arial" w:eastAsia="Times New Roman" w:hAnsi="Arial" w:cs="Arial"/>
          <w:lang w:val="ro-RO"/>
        </w:rPr>
        <w:t>locale</w:t>
      </w:r>
      <w:r w:rsidRPr="008071B8">
        <w:rPr>
          <w:rFonts w:ascii="Arial" w:eastAsia="Times New Roman" w:hAnsi="Arial" w:cs="Arial"/>
          <w:lang w:val="ro-RO"/>
        </w:rPr>
        <w:t xml:space="preserve">. </w:t>
      </w:r>
    </w:p>
    <w:p w:rsidR="00E61919" w:rsidRPr="008071B8" w:rsidRDefault="00E61919" w:rsidP="00E61919">
      <w:pPr>
        <w:ind w:firstLine="708"/>
        <w:jc w:val="both"/>
        <w:rPr>
          <w:rFonts w:ascii="Arial" w:eastAsia="Times New Roman" w:hAnsi="Arial" w:cs="Arial"/>
          <w:lang w:val="ro-RO"/>
        </w:rPr>
      </w:pPr>
      <w:r>
        <w:rPr>
          <w:rFonts w:ascii="Arial" w:eastAsia="Times New Roman" w:hAnsi="Arial" w:cs="Arial"/>
          <w:lang w:val="ro-RO"/>
        </w:rPr>
        <w:t xml:space="preserve">În ceea ce privește utilizarea terenurilor în județul Brăila se constată în ultimii ani o tendință de creștere ușoară a terenurilor agricole de scădere a terenurilor neproductive și o ușoară creștere a  </w:t>
      </w:r>
      <w:r w:rsidRPr="00134704">
        <w:rPr>
          <w:rFonts w:ascii="Arial" w:eastAsia="Times New Roman" w:hAnsi="Arial" w:cs="Arial"/>
          <w:lang w:val="ro-RO"/>
        </w:rPr>
        <w:t>terenurilor urbane și artificiale care probabil se va păstra în perioada următoare.</w:t>
      </w:r>
    </w:p>
    <w:p w:rsidR="00D07F84" w:rsidRDefault="00D07F84" w:rsidP="00691934">
      <w:pPr>
        <w:pStyle w:val="ListParagraph"/>
        <w:tabs>
          <w:tab w:val="left" w:pos="720"/>
        </w:tabs>
        <w:suppressAutoHyphens/>
        <w:autoSpaceDE w:val="0"/>
        <w:autoSpaceDN w:val="0"/>
        <w:adjustRightInd w:val="0"/>
        <w:jc w:val="both"/>
        <w:rPr>
          <w:rFonts w:ascii="Arial" w:hAnsi="Arial" w:cs="Arial"/>
          <w:noProof/>
        </w:rPr>
      </w:pPr>
    </w:p>
    <w:p w:rsidR="000F4FEA" w:rsidRPr="00730CFC" w:rsidRDefault="000F4FEA" w:rsidP="00012F90">
      <w:pPr>
        <w:ind w:left="735"/>
        <w:jc w:val="both"/>
        <w:rPr>
          <w:rFonts w:ascii="Arial" w:hAnsi="Arial" w:cs="Arial"/>
        </w:rPr>
      </w:pPr>
    </w:p>
    <w:p w:rsidR="000F4FEA" w:rsidRPr="00730CFC" w:rsidRDefault="000F4FEA" w:rsidP="00012F90">
      <w:pPr>
        <w:jc w:val="both"/>
        <w:rPr>
          <w:rFonts w:ascii="Arial" w:hAnsi="Arial" w:cs="Arial"/>
          <w:b/>
        </w:rPr>
      </w:pPr>
      <w:r w:rsidRPr="00730CFC">
        <w:rPr>
          <w:rFonts w:ascii="Arial" w:hAnsi="Arial" w:cs="Arial"/>
          <w:b/>
        </w:rPr>
        <w:t>CAP. V PROTECȚIA NATURII ȘI BIODIVERSITATEA</w:t>
      </w:r>
    </w:p>
    <w:p w:rsidR="000F4FEA" w:rsidRPr="00730CFC" w:rsidRDefault="000F4FEA" w:rsidP="00012F90">
      <w:pPr>
        <w:jc w:val="both"/>
        <w:rPr>
          <w:rFonts w:ascii="Arial" w:hAnsi="Arial" w:cs="Arial"/>
          <w:b/>
        </w:rPr>
      </w:pPr>
    </w:p>
    <w:p w:rsidR="000F4FEA" w:rsidRPr="00730CFC" w:rsidRDefault="000F4FEA" w:rsidP="00012F90">
      <w:pPr>
        <w:jc w:val="both"/>
        <w:rPr>
          <w:rFonts w:ascii="Arial" w:eastAsia="Times New Roman" w:hAnsi="Arial" w:cs="Arial"/>
          <w:lang w:val="ro-RO" w:eastAsia="ro-RO"/>
        </w:rPr>
      </w:pPr>
      <w:r w:rsidRPr="00730CFC">
        <w:rPr>
          <w:rFonts w:ascii="Arial" w:hAnsi="Arial" w:cs="Arial"/>
        </w:rPr>
        <w:t>Noţiunea de biodiversitate este complexă şi referă atât la varietatea organismelor vii, specii de plante (floră) şi animale (faună), fie ele terestre sau acvatice care populează Pâmântul şi formează biosfera, cât şi la varietatea complexelor ecologice din care fac parte –ecosistemele, la varietatea peisajelor, dar şi la diversitatea culturală umană. Deci, b</w:t>
      </w:r>
      <w:r w:rsidRPr="00730CFC">
        <w:rPr>
          <w:rFonts w:ascii="Arial" w:eastAsia="Times New Roman" w:hAnsi="Arial" w:cs="Arial"/>
          <w:lang w:val="ro-RO" w:eastAsia="ro-RO"/>
        </w:rPr>
        <w:t xml:space="preserve">iodiversitatea este compusă din diversitatea ecosistemelor, a speciilor şi cea genetică, dar şi cea etnoculturală. Umanitatea este ea însăşi o parte a biodiversităţii şi existenţa noastră în lume ar fi imposibilă fără aceasta. Calitatea vieţii, competitivitatea economică, forţa de muncă şi securitatea, toate se bazează pe acest capital natural.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România a ratificat </w:t>
      </w:r>
      <w:r w:rsidRPr="00730CFC">
        <w:rPr>
          <w:rFonts w:ascii="Arial" w:eastAsia="Times New Roman" w:hAnsi="Arial" w:cs="Arial"/>
          <w:i/>
          <w:iCs/>
          <w:lang w:val="ro-RO" w:eastAsia="ro-RO"/>
        </w:rPr>
        <w:t xml:space="preserve">Convenţia privind Diversitatea Biologică </w:t>
      </w:r>
      <w:r w:rsidRPr="00730CFC">
        <w:rPr>
          <w:rFonts w:ascii="Arial" w:eastAsia="Times New Roman" w:hAnsi="Arial" w:cs="Arial"/>
          <w:lang w:val="ro-RO" w:eastAsia="ro-RO"/>
        </w:rPr>
        <w:t xml:space="preserve">(denumită în continuare "Convenţia" sau CBD), semnată la Rio de Janeiro, în 5 iunie 1992, prin </w:t>
      </w:r>
      <w:r w:rsidRPr="00730CFC">
        <w:rPr>
          <w:rFonts w:ascii="Arial" w:eastAsia="Times New Roman" w:hAnsi="Arial" w:cs="Arial"/>
          <w:i/>
          <w:iCs/>
          <w:lang w:val="ro-RO" w:eastAsia="ro-RO"/>
        </w:rPr>
        <w:t>Legea nr.58/1994</w:t>
      </w:r>
      <w:r w:rsidRPr="00730CFC">
        <w:rPr>
          <w:rFonts w:ascii="Arial" w:eastAsia="Times New Roman" w:hAnsi="Arial" w:cs="Arial"/>
          <w:lang w:val="ro-RO" w:eastAsia="ro-RO"/>
        </w:rPr>
        <w:t xml:space="preserve">. Conform </w:t>
      </w:r>
      <w:r w:rsidRPr="00730CFC">
        <w:rPr>
          <w:rFonts w:ascii="Arial" w:eastAsia="Times New Roman" w:hAnsi="Arial" w:cs="Arial"/>
          <w:i/>
          <w:iCs/>
          <w:lang w:val="ro-RO" w:eastAsia="ro-RO"/>
        </w:rPr>
        <w:t>Convenţiei</w:t>
      </w:r>
      <w:r w:rsidRPr="00730CFC">
        <w:rPr>
          <w:rFonts w:ascii="Arial" w:eastAsia="Times New Roman" w:hAnsi="Arial" w:cs="Arial"/>
          <w:lang w:val="ro-RO" w:eastAsia="ro-RO"/>
        </w:rPr>
        <w:t>, prin biodiversitate înţelegem varietatea de expresie a lumii vii, variabilitatea organismelor vii din toate sursele, inclusiv, printre altele, a ecosistemelor terestre, marine şi a altor ecosisteme acvatice şi a complexelor ecologice din care acestea fac parte; aceasta include diversitatea în cadrul speciilor, dintre specii şi a ecosistemelor</w:t>
      </w:r>
      <w:r w:rsidRPr="00730CFC">
        <w:rPr>
          <w:rFonts w:ascii="Arial" w:eastAsia="Times New Roman" w:hAnsi="Arial" w:cs="Arial"/>
          <w:i/>
          <w:iCs/>
          <w:lang w:val="ro-RO" w:eastAsia="ro-RO"/>
        </w:rPr>
        <w:t xml:space="preserve">.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i/>
          <w:iCs/>
          <w:lang w:val="ro-RO" w:eastAsia="ro-RO"/>
        </w:rPr>
        <w:t xml:space="preserve">Cele trei obiective ale CBD sunt următoarele: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conservarea diversităţii biologice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utilizarea durabilă a componentelor diversităţii biologice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împărţirea corectă şi echitabilă a beneficiilor rezultate din utilizarea resurselor genetice.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România a participat continuu la politica internaţională de mediu, semnând şi ratificând cele mai importante convenţii, rezoluţii, declaraţii şi acorduri de mediu. Astfel, a participat la: Conferinţa Naţiunilor Unite pentru Protecţia Mediului Înconjurător, Stockholm 1972, în 1992 la </w:t>
      </w:r>
      <w:r w:rsidRPr="00730CFC">
        <w:rPr>
          <w:rFonts w:ascii="Arial" w:eastAsia="Times New Roman" w:hAnsi="Arial" w:cs="Arial"/>
          <w:lang w:val="ro-RO" w:eastAsia="ro-RO"/>
        </w:rPr>
        <w:lastRenderedPageBreak/>
        <w:t xml:space="preserve">Conferinţa Naţiunilor Unite de la Rio de Janeiro, ratificând, în 1994, </w:t>
      </w:r>
      <w:r w:rsidRPr="00730CFC">
        <w:rPr>
          <w:rFonts w:ascii="Arial" w:eastAsia="Times New Roman" w:hAnsi="Arial" w:cs="Arial"/>
          <w:i/>
          <w:iCs/>
          <w:lang w:val="ro-RO" w:eastAsia="ro-RO"/>
        </w:rPr>
        <w:t>Convenţia Diversităţii Biologice</w:t>
      </w:r>
      <w:r w:rsidRPr="00730CFC">
        <w:rPr>
          <w:rFonts w:ascii="Arial" w:eastAsia="Times New Roman" w:hAnsi="Arial" w:cs="Arial"/>
          <w:lang w:val="ro-RO" w:eastAsia="ro-RO"/>
        </w:rPr>
        <w:t xml:space="preserve">, în anul 2002, la Conferinţa Naţiunilor Unite de la Johanesburg.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Totodată, România a ratificat </w:t>
      </w:r>
      <w:r w:rsidRPr="00730CFC">
        <w:rPr>
          <w:rFonts w:ascii="Arial" w:eastAsia="Times New Roman" w:hAnsi="Arial" w:cs="Arial"/>
          <w:i/>
          <w:iCs/>
          <w:lang w:val="ro-RO" w:eastAsia="ro-RO"/>
        </w:rPr>
        <w:t xml:space="preserve">Convenţia privind Importanţa Internaţională a Zonelor Umede </w:t>
      </w:r>
      <w:r w:rsidRPr="00730CFC">
        <w:rPr>
          <w:rFonts w:ascii="Arial" w:eastAsia="Times New Roman" w:hAnsi="Arial" w:cs="Arial"/>
          <w:lang w:val="ro-RO" w:eastAsia="ro-RO"/>
        </w:rPr>
        <w:t xml:space="preserve">(Ramsar,1991), </w:t>
      </w:r>
      <w:r w:rsidRPr="00730CFC">
        <w:rPr>
          <w:rFonts w:ascii="Arial" w:eastAsia="Times New Roman" w:hAnsi="Arial" w:cs="Arial"/>
          <w:i/>
          <w:iCs/>
          <w:lang w:val="ro-RO" w:eastAsia="ro-RO"/>
        </w:rPr>
        <w:t xml:space="preserve">Convenţia de la Berna privind Conservarea speciilor sălbatice şi habitatelor naturale </w:t>
      </w:r>
      <w:r w:rsidRPr="00730CFC">
        <w:rPr>
          <w:rFonts w:ascii="Arial" w:eastAsia="Times New Roman" w:hAnsi="Arial" w:cs="Arial"/>
          <w:lang w:val="ro-RO" w:eastAsia="ro-RO"/>
        </w:rPr>
        <w:t xml:space="preserve">(1993), </w:t>
      </w:r>
      <w:r w:rsidRPr="00730CFC">
        <w:rPr>
          <w:rFonts w:ascii="Arial" w:eastAsia="Times New Roman" w:hAnsi="Arial" w:cs="Arial"/>
          <w:i/>
          <w:iCs/>
          <w:lang w:val="ro-RO" w:eastAsia="ro-RO"/>
        </w:rPr>
        <w:t xml:space="preserve">Convenţia privind comerţul internaţional cu specii ale faunei şi florei sălbatice pe cale de dispariţie </w:t>
      </w:r>
      <w:r w:rsidRPr="00730CFC">
        <w:rPr>
          <w:rFonts w:ascii="Arial" w:eastAsia="Times New Roman" w:hAnsi="Arial" w:cs="Arial"/>
          <w:lang w:val="ro-RO" w:eastAsia="ro-RO"/>
        </w:rPr>
        <w:t xml:space="preserve">(CITES, 1994), </w:t>
      </w:r>
      <w:r w:rsidRPr="00730CFC">
        <w:rPr>
          <w:rFonts w:ascii="Arial" w:eastAsia="Times New Roman" w:hAnsi="Arial" w:cs="Arial"/>
          <w:i/>
          <w:iCs/>
          <w:lang w:val="ro-RO" w:eastAsia="ro-RO"/>
        </w:rPr>
        <w:t xml:space="preserve">Convenţia de la Bonn privind Conservarea Speciilor Migratoare </w:t>
      </w:r>
      <w:r w:rsidRPr="00730CFC">
        <w:rPr>
          <w:rFonts w:ascii="Arial" w:eastAsia="Times New Roman" w:hAnsi="Arial" w:cs="Arial"/>
          <w:lang w:val="ro-RO" w:eastAsia="ro-RO"/>
        </w:rPr>
        <w:t xml:space="preserve">(1998), </w:t>
      </w:r>
      <w:r w:rsidRPr="00730CFC">
        <w:rPr>
          <w:rFonts w:ascii="Arial" w:eastAsia="Times New Roman" w:hAnsi="Arial" w:cs="Arial"/>
          <w:i/>
          <w:iCs/>
          <w:lang w:val="ro-RO" w:eastAsia="ro-RO"/>
        </w:rPr>
        <w:t xml:space="preserve">Convenţia Carpatică </w:t>
      </w:r>
      <w:r w:rsidRPr="00730CFC">
        <w:rPr>
          <w:rFonts w:ascii="Arial" w:eastAsia="Times New Roman" w:hAnsi="Arial" w:cs="Arial"/>
          <w:lang w:val="ro-RO" w:eastAsia="ro-RO"/>
        </w:rPr>
        <w:t>(2003). De asemenea, ţara noastră a aderat la Strategia şi Planul de Acţiune Pan - European privind Conservarea Diversităţii Biologice şi a „</w:t>
      </w:r>
      <w:r w:rsidRPr="00730CFC">
        <w:rPr>
          <w:rFonts w:ascii="Arial" w:eastAsia="Times New Roman" w:hAnsi="Arial" w:cs="Arial"/>
          <w:i/>
          <w:iCs/>
          <w:lang w:val="ro-RO" w:eastAsia="ro-RO"/>
        </w:rPr>
        <w:t>landscape</w:t>
      </w:r>
      <w:r w:rsidRPr="00730CFC">
        <w:rPr>
          <w:rFonts w:ascii="Arial" w:eastAsia="Times New Roman" w:hAnsi="Arial" w:cs="Arial"/>
          <w:lang w:val="ro-RO" w:eastAsia="ro-RO"/>
        </w:rPr>
        <w:t xml:space="preserve">-ului”, la Acordul privind Conservarea Cetaceelor Mici din Marea Mediterană şi Marea Neagră. </w:t>
      </w:r>
    </w:p>
    <w:p w:rsidR="000F4FEA" w:rsidRPr="00730CFC" w:rsidRDefault="000F4FEA" w:rsidP="00012F90">
      <w:pPr>
        <w:autoSpaceDE w:val="0"/>
        <w:autoSpaceDN w:val="0"/>
        <w:adjustRightInd w:val="0"/>
        <w:jc w:val="both"/>
        <w:rPr>
          <w:rFonts w:ascii="Arial" w:eastAsia="Times New Roman" w:hAnsi="Arial" w:cs="Arial"/>
          <w:lang w:val="ro-RO" w:eastAsia="ro-RO"/>
        </w:rPr>
      </w:pP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Ca o consecinţă a poziţionării sale geografice, România se bucură de existenţa unei biodiversităţi unice, atât la nivelul ecosistemelor şi speciilor, cât şi la nivel genetic. Pe teritoriul ţării noastre se reunesc nu mai puţin de cinci regiuni biogeografice, dintre care două, cea stepică şi cea pontică, reprezintă elemente naturale noi adăugate la zestrea Uniunii Europene, marcând introducerea a numeroase noi tipuri de habitate şi specii.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Cele cinci regiuni biogeografice sunt (figura nr. V-1.):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continentală (53%);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alpină (23%);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stepică (17%);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panonică (6%); </w:t>
      </w:r>
    </w:p>
    <w:p w:rsidR="000F4FEA" w:rsidRPr="00730CFC" w:rsidRDefault="000F4FEA" w:rsidP="005E6B2E">
      <w:pPr>
        <w:numPr>
          <w:ilvl w:val="0"/>
          <w:numId w:val="42"/>
        </w:num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pontică (1%). </w:t>
      </w:r>
    </w:p>
    <w:p w:rsidR="000F4FEA" w:rsidRPr="00730CFC" w:rsidRDefault="000F4FEA" w:rsidP="00012F90">
      <w:pPr>
        <w:ind w:left="735"/>
        <w:jc w:val="both"/>
        <w:rPr>
          <w:rFonts w:ascii="Arial" w:hAnsi="Arial" w:cs="Arial"/>
          <w:i/>
          <w:iCs/>
        </w:rPr>
      </w:pPr>
    </w:p>
    <w:p w:rsidR="000F4FEA" w:rsidRPr="00730CFC" w:rsidRDefault="000F4FEA" w:rsidP="00012F90">
      <w:pPr>
        <w:ind w:left="735"/>
        <w:jc w:val="both"/>
        <w:rPr>
          <w:rFonts w:ascii="Arial" w:hAnsi="Arial" w:cs="Arial"/>
        </w:rPr>
      </w:pPr>
    </w:p>
    <w:p w:rsidR="000F4FEA" w:rsidRPr="00730CFC" w:rsidRDefault="000F4FEA" w:rsidP="00012F90">
      <w:pPr>
        <w:ind w:left="735"/>
        <w:jc w:val="both"/>
        <w:rPr>
          <w:rFonts w:ascii="Arial" w:hAnsi="Arial" w:cs="Arial"/>
        </w:rPr>
      </w:pPr>
      <w:r w:rsidRPr="00730CFC">
        <w:rPr>
          <w:rFonts w:ascii="Arial" w:hAnsi="Arial" w:cs="Arial"/>
          <w:noProof/>
          <w:lang w:val="ro-RO" w:eastAsia="ro-RO"/>
        </w:rPr>
        <w:drawing>
          <wp:inline distT="0" distB="0" distL="0" distR="0">
            <wp:extent cx="5633085" cy="4451350"/>
            <wp:effectExtent l="19050" t="0" r="5715" b="0"/>
            <wp:docPr id="8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8" cstate="print"/>
                    <a:srcRect/>
                    <a:stretch>
                      <a:fillRect/>
                    </a:stretch>
                  </pic:blipFill>
                  <pic:spPr bwMode="auto">
                    <a:xfrm>
                      <a:off x="0" y="0"/>
                      <a:ext cx="5633085" cy="4451350"/>
                    </a:xfrm>
                    <a:prstGeom prst="rect">
                      <a:avLst/>
                    </a:prstGeom>
                    <a:noFill/>
                    <a:ln w="9525">
                      <a:noFill/>
                      <a:miter lim="800000"/>
                      <a:headEnd/>
                      <a:tailEnd/>
                    </a:ln>
                  </pic:spPr>
                </pic:pic>
              </a:graphicData>
            </a:graphic>
          </wp:inline>
        </w:drawing>
      </w:r>
    </w:p>
    <w:p w:rsidR="000F4FEA" w:rsidRPr="00730CFC" w:rsidRDefault="000F4FEA" w:rsidP="00012F90">
      <w:pPr>
        <w:ind w:left="735"/>
        <w:jc w:val="center"/>
        <w:rPr>
          <w:rFonts w:ascii="Arial" w:hAnsi="Arial" w:cs="Arial"/>
        </w:rPr>
      </w:pPr>
      <w:r w:rsidRPr="00730CFC">
        <w:rPr>
          <w:rFonts w:ascii="Arial" w:hAnsi="Arial" w:cs="Arial"/>
          <w:i/>
          <w:iCs/>
        </w:rPr>
        <w:t>Figura V-1. Regiunile biogeografice ale României</w:t>
      </w:r>
    </w:p>
    <w:p w:rsidR="000F4FEA" w:rsidRPr="00730CFC" w:rsidRDefault="000F4FEA" w:rsidP="00012F90">
      <w:pPr>
        <w:ind w:left="735"/>
        <w:jc w:val="center"/>
        <w:rPr>
          <w:rFonts w:ascii="Arial" w:hAnsi="Arial" w:cs="Arial"/>
        </w:rPr>
      </w:pP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lastRenderedPageBreak/>
        <w:t>Judeţul Brăila deţine o mare varietate de ecosisteme terestre şi acvatice (păduri specifice de luncă, pajişti, bălţi şi lacuri, canale cu maluri aluviale), caracteristice regiunii biogeografice stepice. Vegetaţia naturală de stepă se mai găseşte în prezent pe versanţii depresiunilor de tasare, în spaţiile dintre parcelele agricole, pe marginile drumurilor, în zonele necultivate temporar. În Balta Mică a Brăilei, zonă cu statut de protecţie, în ciuda modificărilor survenite în structura sistemelor ecologice, ecosistemele naturale sunt conservate în procent de cca 50%. Astfel, peste jumătate din păsările observate în ţară se regăsesc în judeţul Brăila, acesta fiind situat pe cel mai important culoar de migraţie al păsărilor din bazinul inferior al Dunării de Jos, la jumătatea rutelor de migraţie între locurile de cuibărit din nordul Europei şi refugiile de iernat din Africa.</w:t>
      </w:r>
    </w:p>
    <w:p w:rsidR="000F4FEA" w:rsidRPr="00730CFC" w:rsidRDefault="000F4FEA" w:rsidP="00012F90">
      <w:pPr>
        <w:pStyle w:val="BodyTextIndent2"/>
        <w:spacing w:after="0" w:line="240" w:lineRule="auto"/>
        <w:ind w:left="0"/>
        <w:jc w:val="both"/>
        <w:rPr>
          <w:rStyle w:val="tpt1"/>
          <w:rFonts w:ascii="Arial" w:hAnsi="Arial" w:cs="Arial"/>
          <w:b/>
        </w:rPr>
      </w:pPr>
    </w:p>
    <w:p w:rsidR="000F4FEA" w:rsidRPr="00730CFC" w:rsidRDefault="000F4FEA" w:rsidP="00012F90">
      <w:pPr>
        <w:pStyle w:val="BodyTextIndent2"/>
        <w:spacing w:after="0" w:line="240" w:lineRule="auto"/>
        <w:ind w:left="0"/>
        <w:jc w:val="both"/>
        <w:rPr>
          <w:rStyle w:val="tpt1"/>
          <w:rFonts w:ascii="Arial" w:hAnsi="Arial" w:cs="Arial"/>
          <w:b/>
        </w:rPr>
      </w:pPr>
      <w:r w:rsidRPr="00730CFC">
        <w:rPr>
          <w:rStyle w:val="tpt1"/>
          <w:rFonts w:ascii="Arial" w:hAnsi="Arial" w:cs="Arial"/>
          <w:b/>
        </w:rPr>
        <w:t>Habitatele naturale</w:t>
      </w:r>
    </w:p>
    <w:p w:rsidR="000F4FEA" w:rsidRPr="00730CFC" w:rsidRDefault="000F4FEA" w:rsidP="00012F90">
      <w:pPr>
        <w:jc w:val="both"/>
        <w:rPr>
          <w:rFonts w:ascii="Arial" w:hAnsi="Arial" w:cs="Arial"/>
        </w:rPr>
      </w:pPr>
      <w:r w:rsidRPr="00730CFC">
        <w:rPr>
          <w:rFonts w:ascii="Arial" w:hAnsi="Arial" w:cs="Arial"/>
          <w:bCs/>
        </w:rPr>
        <w:t>Conform OUG nr. 57/2007 privind regimul ariilor naturale protejate, conservarea habitatelor naturale, a florei şi faunei salbatice</w:t>
      </w:r>
      <w:r w:rsidRPr="00730CFC">
        <w:rPr>
          <w:rFonts w:ascii="Arial" w:hAnsi="Arial" w:cs="Arial"/>
        </w:rPr>
        <w:t>, aprobată cu modificări şi completări prin Legea nr. 49/2011, cu completările ulterioare habitatele naturale sunt zone terestre, acvatice sau subterane, în stare naturală sau seminaturală, ce se diferenţiază prin caracteristici geografice, abiotice şi biotice. Principalele tipuri de habitate din judeţul Brăila sunt caracteristice regiunii biogeografice stepice şi sunt atât acvatice, cât şi terestre (păduri şi pajişti):</w:t>
      </w:r>
    </w:p>
    <w:p w:rsidR="000F4FEA" w:rsidRPr="00730CFC" w:rsidRDefault="000F4FEA" w:rsidP="005E6B2E">
      <w:pPr>
        <w:numPr>
          <w:ilvl w:val="0"/>
          <w:numId w:val="45"/>
        </w:numPr>
        <w:jc w:val="both"/>
        <w:rPr>
          <w:rFonts w:ascii="Arial" w:hAnsi="Arial" w:cs="Arial"/>
          <w:lang w:val="fr-FR"/>
        </w:rPr>
      </w:pPr>
      <w:r w:rsidRPr="00730CFC">
        <w:rPr>
          <w:rFonts w:ascii="Arial" w:hAnsi="Arial" w:cs="Arial"/>
          <w:lang w:val="fr-FR"/>
        </w:rPr>
        <w:t>Habitatele de pădure.</w:t>
      </w:r>
    </w:p>
    <w:p w:rsidR="000F4FEA" w:rsidRPr="00730CFC" w:rsidRDefault="000F4FEA" w:rsidP="00012F90">
      <w:pPr>
        <w:ind w:left="66"/>
        <w:jc w:val="both"/>
        <w:rPr>
          <w:rFonts w:ascii="Arial" w:hAnsi="Arial" w:cs="Arial"/>
          <w:lang w:val="fr-FR"/>
        </w:rPr>
      </w:pPr>
      <w:r w:rsidRPr="00730CFC">
        <w:rPr>
          <w:rFonts w:ascii="Arial" w:hAnsi="Arial" w:cs="Arial"/>
          <w:lang w:val="fr-FR"/>
        </w:rPr>
        <w:t>Habitatele cu vegetaţie forestieră reprezintă circa 5% din suprafaţa judeţului şi sunt situate:</w:t>
      </w:r>
    </w:p>
    <w:p w:rsidR="000F4FEA" w:rsidRPr="00730CFC" w:rsidRDefault="000F4FEA" w:rsidP="00012F90">
      <w:pPr>
        <w:ind w:left="66" w:firstLine="654"/>
        <w:jc w:val="both"/>
        <w:rPr>
          <w:rFonts w:ascii="Arial" w:hAnsi="Arial" w:cs="Arial"/>
          <w:lang w:val="fr-FR"/>
        </w:rPr>
      </w:pPr>
      <w:r w:rsidRPr="00730CFC">
        <w:rPr>
          <w:rFonts w:ascii="Arial" w:hAnsi="Arial" w:cs="Arial"/>
          <w:lang w:val="fr-FR"/>
        </w:rPr>
        <w:t xml:space="preserve">-80% în luncile inundabile ale fluviului Dunărea şi ale râurilor Buzău şi Siret (predominant din plop şi salcie); </w:t>
      </w:r>
    </w:p>
    <w:p w:rsidR="000F4FEA" w:rsidRPr="00730CFC" w:rsidRDefault="000F4FEA" w:rsidP="00012F90">
      <w:pPr>
        <w:ind w:left="66" w:firstLine="654"/>
        <w:jc w:val="both"/>
        <w:rPr>
          <w:rFonts w:ascii="Arial" w:hAnsi="Arial" w:cs="Arial"/>
          <w:lang w:val="fr-FR"/>
        </w:rPr>
      </w:pPr>
      <w:r w:rsidRPr="00730CFC">
        <w:rPr>
          <w:rFonts w:ascii="Arial" w:hAnsi="Arial" w:cs="Arial"/>
          <w:lang w:val="fr-FR"/>
        </w:rPr>
        <w:t>-20% sunt păduri de terasă pe raza judeţului, compuse preponderent din salcâm şi stejar, cele mai importante fiind trupurile: Viişoara, Colţea, Tătaru, Râmnicelu, Romanu, Rubla şi Lacu Sărat.</w:t>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r w:rsidRPr="00730CFC">
        <w:rPr>
          <w:rFonts w:ascii="Arial" w:hAnsi="Arial" w:cs="Arial"/>
          <w:lang w:val="fr-FR"/>
        </w:rPr>
        <w:tab/>
      </w:r>
    </w:p>
    <w:p w:rsidR="000F4FEA" w:rsidRPr="00730CFC" w:rsidRDefault="000F4FEA" w:rsidP="00012F90">
      <w:pPr>
        <w:jc w:val="both"/>
        <w:rPr>
          <w:rFonts w:ascii="Arial" w:hAnsi="Arial" w:cs="Arial"/>
          <w:lang w:val="fr-FR"/>
        </w:rPr>
      </w:pPr>
      <w:r w:rsidRPr="00730CFC">
        <w:rPr>
          <w:rFonts w:ascii="Arial" w:hAnsi="Arial" w:cs="Arial"/>
          <w:lang w:val="fr-FR"/>
        </w:rPr>
        <w:t>Tipuri de habitate forestiere:</w:t>
      </w:r>
    </w:p>
    <w:p w:rsidR="000F4FEA" w:rsidRPr="00730CFC" w:rsidRDefault="000F4FEA" w:rsidP="00012F90">
      <w:pPr>
        <w:ind w:firstLine="357"/>
        <w:jc w:val="both"/>
        <w:rPr>
          <w:rFonts w:ascii="Arial" w:hAnsi="Arial" w:cs="Arial"/>
          <w:lang w:val="fr-FR"/>
        </w:rPr>
      </w:pPr>
      <w:r w:rsidRPr="00730CFC">
        <w:rPr>
          <w:rFonts w:ascii="Arial" w:hAnsi="Arial" w:cs="Arial"/>
          <w:lang w:val="fr-FR"/>
        </w:rPr>
        <w:t>- Stejăret (Quercus pubescens) pe soluri sărăturoase în stepă;</w:t>
      </w:r>
    </w:p>
    <w:p w:rsidR="000F4FEA" w:rsidRPr="00730CFC" w:rsidRDefault="000F4FEA" w:rsidP="00012F90">
      <w:pPr>
        <w:ind w:firstLine="357"/>
        <w:jc w:val="both"/>
        <w:rPr>
          <w:rFonts w:ascii="Arial" w:hAnsi="Arial" w:cs="Arial"/>
          <w:lang w:val="fr-FR"/>
        </w:rPr>
      </w:pPr>
      <w:r w:rsidRPr="00730CFC">
        <w:rPr>
          <w:rFonts w:ascii="Arial" w:hAnsi="Arial" w:cs="Arial"/>
          <w:lang w:val="fr-FR"/>
        </w:rPr>
        <w:t>- Păduri stepice cu stejar brumăriu (Quercus pedunculiflora);</w:t>
      </w:r>
    </w:p>
    <w:p w:rsidR="000F4FEA" w:rsidRPr="00730CFC" w:rsidRDefault="000F4FEA" w:rsidP="00012F90">
      <w:pPr>
        <w:ind w:firstLine="357"/>
        <w:jc w:val="both"/>
        <w:rPr>
          <w:rFonts w:ascii="Arial" w:hAnsi="Arial" w:cs="Arial"/>
          <w:lang w:val="fr-FR"/>
        </w:rPr>
      </w:pPr>
      <w:r w:rsidRPr="00730CFC">
        <w:rPr>
          <w:rFonts w:ascii="Arial" w:hAnsi="Arial" w:cs="Arial"/>
          <w:lang w:val="fr-FR"/>
        </w:rPr>
        <w:t>- Amestec de şleau de luncă cu stejar pedunculat (Quercus robur);</w:t>
      </w:r>
    </w:p>
    <w:p w:rsidR="000F4FEA" w:rsidRPr="00730CFC" w:rsidRDefault="000F4FEA" w:rsidP="00012F90">
      <w:pPr>
        <w:ind w:firstLine="357"/>
        <w:jc w:val="both"/>
        <w:rPr>
          <w:rFonts w:ascii="Arial" w:hAnsi="Arial" w:cs="Arial"/>
          <w:lang w:val="fr-FR"/>
        </w:rPr>
      </w:pPr>
      <w:r w:rsidRPr="00730CFC">
        <w:rPr>
          <w:rFonts w:ascii="Arial" w:hAnsi="Arial" w:cs="Arial"/>
          <w:lang w:val="fr-FR"/>
        </w:rPr>
        <w:t>- Frăsinet de haşmac (păduri dispuse în fâşii înguste) cu Fraxinus excelsior;</w:t>
      </w:r>
    </w:p>
    <w:p w:rsidR="000F4FEA" w:rsidRPr="00730CFC" w:rsidRDefault="000F4FEA" w:rsidP="00012F90">
      <w:pPr>
        <w:ind w:firstLine="357"/>
        <w:jc w:val="both"/>
        <w:rPr>
          <w:rFonts w:ascii="Arial" w:hAnsi="Arial" w:cs="Arial"/>
          <w:lang w:val="fr-FR"/>
        </w:rPr>
      </w:pPr>
      <w:r w:rsidRPr="00730CFC">
        <w:rPr>
          <w:rFonts w:ascii="Arial" w:hAnsi="Arial" w:cs="Arial"/>
          <w:lang w:val="fr-FR"/>
        </w:rPr>
        <w:t>- Ulmet de luncă cu Ulmus campestris;</w:t>
      </w:r>
    </w:p>
    <w:p w:rsidR="000F4FEA" w:rsidRPr="00730CFC" w:rsidRDefault="000F4FEA" w:rsidP="00012F90">
      <w:pPr>
        <w:ind w:firstLine="357"/>
        <w:jc w:val="both"/>
        <w:rPr>
          <w:rFonts w:ascii="Arial" w:hAnsi="Arial" w:cs="Arial"/>
          <w:lang w:val="fr-FR"/>
        </w:rPr>
      </w:pPr>
      <w:r w:rsidRPr="00730CFC">
        <w:rPr>
          <w:rFonts w:ascii="Arial" w:hAnsi="Arial" w:cs="Arial"/>
          <w:lang w:val="fr-FR"/>
        </w:rPr>
        <w:t>- Păduri aluviale (zăvoaie) de plopi albi (Populus alba) din luncă;</w:t>
      </w:r>
    </w:p>
    <w:p w:rsidR="000F4FEA" w:rsidRPr="00730CFC" w:rsidRDefault="000F4FEA" w:rsidP="00012F90">
      <w:pPr>
        <w:ind w:firstLine="357"/>
        <w:jc w:val="both"/>
        <w:rPr>
          <w:rFonts w:ascii="Arial" w:hAnsi="Arial" w:cs="Arial"/>
          <w:lang w:val="fr-FR"/>
        </w:rPr>
      </w:pPr>
      <w:r w:rsidRPr="00730CFC">
        <w:rPr>
          <w:rFonts w:ascii="Arial" w:hAnsi="Arial" w:cs="Arial"/>
          <w:lang w:val="fr-FR"/>
        </w:rPr>
        <w:t>- Zăvoaie de plop negru (Populus nigra) din luncă;</w:t>
      </w:r>
    </w:p>
    <w:p w:rsidR="000F4FEA" w:rsidRPr="00730CFC" w:rsidRDefault="000F4FEA" w:rsidP="00012F90">
      <w:pPr>
        <w:ind w:firstLine="357"/>
        <w:jc w:val="both"/>
        <w:rPr>
          <w:rFonts w:ascii="Arial" w:hAnsi="Arial" w:cs="Arial"/>
          <w:lang w:val="fr-FR"/>
        </w:rPr>
      </w:pPr>
      <w:r w:rsidRPr="00730CFC">
        <w:rPr>
          <w:rFonts w:ascii="Arial" w:hAnsi="Arial" w:cs="Arial"/>
          <w:lang w:val="fr-FR"/>
        </w:rPr>
        <w:t>- Zăvoaie amestecate de Populus alba şi P. nigra din luncă;</w:t>
      </w:r>
    </w:p>
    <w:p w:rsidR="000F4FEA" w:rsidRPr="00730CFC" w:rsidRDefault="000F4FEA" w:rsidP="00012F90">
      <w:pPr>
        <w:ind w:firstLine="357"/>
        <w:jc w:val="both"/>
        <w:rPr>
          <w:rFonts w:ascii="Arial" w:hAnsi="Arial" w:cs="Arial"/>
          <w:lang w:val="fr-FR"/>
        </w:rPr>
      </w:pPr>
      <w:r w:rsidRPr="00730CFC">
        <w:rPr>
          <w:rFonts w:ascii="Arial" w:hAnsi="Arial" w:cs="Arial"/>
          <w:lang w:val="fr-FR"/>
        </w:rPr>
        <w:t>- Zăvoaie de salcie (Salix alba) din luncă;</w:t>
      </w:r>
    </w:p>
    <w:p w:rsidR="000F4FEA" w:rsidRPr="00730CFC" w:rsidRDefault="000F4FEA" w:rsidP="00012F90">
      <w:pPr>
        <w:ind w:firstLine="357"/>
        <w:jc w:val="both"/>
        <w:rPr>
          <w:rFonts w:ascii="Arial" w:hAnsi="Arial" w:cs="Arial"/>
          <w:lang w:val="fr-FR"/>
        </w:rPr>
      </w:pPr>
      <w:r w:rsidRPr="00730CFC">
        <w:rPr>
          <w:rFonts w:ascii="Arial" w:hAnsi="Arial" w:cs="Arial"/>
          <w:lang w:val="fr-FR"/>
        </w:rPr>
        <w:t>- Zăvoaie amestecate de plopi şi salcie din luncă;</w:t>
      </w:r>
    </w:p>
    <w:p w:rsidR="000F4FEA" w:rsidRPr="00730CFC" w:rsidRDefault="000F4FEA" w:rsidP="00012F90">
      <w:pPr>
        <w:ind w:firstLine="357"/>
        <w:jc w:val="both"/>
        <w:rPr>
          <w:rFonts w:ascii="Arial" w:hAnsi="Arial" w:cs="Arial"/>
          <w:lang w:val="fr-FR"/>
        </w:rPr>
      </w:pPr>
      <w:r w:rsidRPr="00730CFC">
        <w:rPr>
          <w:rFonts w:ascii="Arial" w:hAnsi="Arial" w:cs="Arial"/>
          <w:lang w:val="fr-FR"/>
        </w:rPr>
        <w:t>- Zăvoaie de salcie şi cătină (Tamarix ramosissima) din lunci, pe soluri sărăturoase.</w:t>
      </w:r>
    </w:p>
    <w:p w:rsidR="000F4FEA" w:rsidRPr="00730CFC" w:rsidRDefault="000F4FEA" w:rsidP="00012F90">
      <w:pPr>
        <w:ind w:firstLine="357"/>
        <w:jc w:val="both"/>
        <w:rPr>
          <w:rFonts w:ascii="Arial" w:hAnsi="Arial" w:cs="Arial"/>
          <w:lang w:val="fr-FR"/>
        </w:rPr>
      </w:pPr>
    </w:p>
    <w:p w:rsidR="000F4FEA" w:rsidRPr="00730CFC" w:rsidRDefault="000F4FEA" w:rsidP="005E6B2E">
      <w:pPr>
        <w:numPr>
          <w:ilvl w:val="0"/>
          <w:numId w:val="45"/>
        </w:numPr>
        <w:jc w:val="both"/>
        <w:rPr>
          <w:rFonts w:ascii="Arial" w:hAnsi="Arial" w:cs="Arial"/>
          <w:lang w:val="fr-FR"/>
        </w:rPr>
      </w:pPr>
      <w:r w:rsidRPr="00730CFC">
        <w:rPr>
          <w:rFonts w:ascii="Arial" w:hAnsi="Arial" w:cs="Arial"/>
          <w:lang w:val="fr-FR"/>
        </w:rPr>
        <w:t>Habitatele de pajişti (pajişti de stepă, pajişti de luncă şi tufărişuri)</w:t>
      </w:r>
    </w:p>
    <w:p w:rsidR="000F4FEA" w:rsidRPr="00730CFC" w:rsidRDefault="000F4FEA" w:rsidP="00012F90">
      <w:pPr>
        <w:jc w:val="both"/>
        <w:rPr>
          <w:rFonts w:ascii="Arial" w:hAnsi="Arial" w:cs="Arial"/>
          <w:bCs/>
        </w:rPr>
      </w:pPr>
      <w:r w:rsidRPr="00730CFC">
        <w:rPr>
          <w:rFonts w:ascii="Arial" w:hAnsi="Arial" w:cs="Arial"/>
          <w:bCs/>
        </w:rPr>
        <w:t xml:space="preserve">Pajiştile stepice sunt puternic modificate, cu graminee şi ierburi xerofile, printre care Festuca valesiaca (păiuş), Stipa lessingiana (colilie), Stipa capillata (năgară). Pe pârloagele stepice (terenuri agricole necultivate) sunt  întâlnite specii ca Cynodon dactylon (pir gros), Bromus tectorum, Salsola ruthenica şi Artemisia austriaca (peliniţă) .                                                                                 </w:t>
      </w:r>
    </w:p>
    <w:p w:rsidR="000F4FEA" w:rsidRPr="00730CFC" w:rsidRDefault="000F4FEA" w:rsidP="00012F90">
      <w:pPr>
        <w:jc w:val="both"/>
        <w:rPr>
          <w:rFonts w:ascii="Arial" w:hAnsi="Arial" w:cs="Arial"/>
          <w:bCs/>
        </w:rPr>
      </w:pPr>
      <w:r w:rsidRPr="00730CFC">
        <w:rPr>
          <w:rFonts w:ascii="Arial" w:hAnsi="Arial" w:cs="Arial"/>
          <w:bCs/>
        </w:rPr>
        <w:t>Habitatele de pajişti naturale sunt mai bine reprezentate în perimetrul Parcului Natural Balta Mică a Brăilei, afectate în trecut de păşunatul animalelor lăsate în stare semisălbatică (vaci, cai, dar mai ales porci), precum şi de păşunatul ovinelor, prin acumularea şi descompunerea dejecţiilor de ovine, rămânând doar speciile rezistente la acidifierea solului.</w:t>
      </w:r>
    </w:p>
    <w:p w:rsidR="000F4FEA" w:rsidRPr="00730CFC" w:rsidRDefault="000F4FEA" w:rsidP="00012F90">
      <w:pPr>
        <w:jc w:val="both"/>
        <w:rPr>
          <w:rFonts w:ascii="Arial" w:hAnsi="Arial" w:cs="Arial"/>
          <w:bCs/>
        </w:rPr>
      </w:pPr>
      <w:r w:rsidRPr="00730CFC">
        <w:rPr>
          <w:rFonts w:ascii="Arial" w:hAnsi="Arial" w:cs="Arial"/>
          <w:bCs/>
        </w:rPr>
        <w:t>Tufărişurile au cea mai mică dezvoltare, fie aparţinând pajiştilor, fie existând izolat, pe arii restrânse, în zone de luncă cu maluri nisipoase.</w:t>
      </w:r>
    </w:p>
    <w:p w:rsidR="000F4FEA" w:rsidRPr="00730CFC" w:rsidRDefault="000F4FEA" w:rsidP="00012F90">
      <w:pPr>
        <w:ind w:firstLine="708"/>
        <w:jc w:val="both"/>
        <w:rPr>
          <w:rFonts w:ascii="Arial" w:hAnsi="Arial" w:cs="Arial"/>
          <w:bCs/>
        </w:rPr>
      </w:pPr>
    </w:p>
    <w:p w:rsidR="000F4FEA" w:rsidRPr="00730CFC" w:rsidRDefault="000F4FEA" w:rsidP="005E6B2E">
      <w:pPr>
        <w:numPr>
          <w:ilvl w:val="0"/>
          <w:numId w:val="45"/>
        </w:numPr>
        <w:jc w:val="both"/>
        <w:rPr>
          <w:rFonts w:ascii="Arial" w:hAnsi="Arial" w:cs="Arial"/>
          <w:lang w:val="fr-FR"/>
        </w:rPr>
      </w:pPr>
      <w:r w:rsidRPr="00730CFC">
        <w:rPr>
          <w:rFonts w:ascii="Arial" w:hAnsi="Arial" w:cs="Arial"/>
          <w:lang w:val="fr-FR"/>
        </w:rPr>
        <w:t>Habitatele acvatice sunt reprezentate prin:</w:t>
      </w:r>
    </w:p>
    <w:p w:rsidR="000F4FEA" w:rsidRPr="00730CFC" w:rsidRDefault="000F4FEA" w:rsidP="005E6B2E">
      <w:pPr>
        <w:numPr>
          <w:ilvl w:val="0"/>
          <w:numId w:val="46"/>
        </w:numPr>
        <w:jc w:val="both"/>
        <w:rPr>
          <w:rFonts w:ascii="Arial" w:hAnsi="Arial" w:cs="Arial"/>
          <w:lang w:val="fr-FR"/>
        </w:rPr>
      </w:pPr>
      <w:r w:rsidRPr="00730CFC">
        <w:rPr>
          <w:rFonts w:ascii="Arial" w:hAnsi="Arial" w:cs="Arial"/>
          <w:lang w:val="fr-FR"/>
        </w:rPr>
        <w:lastRenderedPageBreak/>
        <w:t>lacuri (sărate şi dulci)</w:t>
      </w:r>
    </w:p>
    <w:p w:rsidR="000F4FEA" w:rsidRPr="00730CFC" w:rsidRDefault="000F4FEA" w:rsidP="005E6B2E">
      <w:pPr>
        <w:numPr>
          <w:ilvl w:val="0"/>
          <w:numId w:val="46"/>
        </w:numPr>
        <w:jc w:val="both"/>
        <w:rPr>
          <w:rFonts w:ascii="Arial" w:hAnsi="Arial" w:cs="Arial"/>
          <w:lang w:val="fr-FR"/>
        </w:rPr>
      </w:pPr>
      <w:r w:rsidRPr="00730CFC">
        <w:rPr>
          <w:rFonts w:ascii="Arial" w:hAnsi="Arial" w:cs="Arial"/>
          <w:lang w:val="fr-FR"/>
        </w:rPr>
        <w:t>bălţi (permanente şi temporare)</w:t>
      </w:r>
    </w:p>
    <w:p w:rsidR="000F4FEA" w:rsidRPr="00730CFC" w:rsidRDefault="000F4FEA" w:rsidP="005E6B2E">
      <w:pPr>
        <w:numPr>
          <w:ilvl w:val="0"/>
          <w:numId w:val="46"/>
        </w:numPr>
        <w:jc w:val="both"/>
        <w:rPr>
          <w:rFonts w:ascii="Arial" w:hAnsi="Arial" w:cs="Arial"/>
          <w:lang w:val="fr-FR"/>
        </w:rPr>
      </w:pPr>
      <w:r w:rsidRPr="00730CFC">
        <w:rPr>
          <w:rFonts w:ascii="Arial" w:hAnsi="Arial" w:cs="Arial"/>
          <w:lang w:val="fr-FR"/>
        </w:rPr>
        <w:t>mlaştini</w:t>
      </w:r>
    </w:p>
    <w:p w:rsidR="000F4FEA" w:rsidRPr="00730CFC" w:rsidRDefault="000F4FEA" w:rsidP="005E6B2E">
      <w:pPr>
        <w:numPr>
          <w:ilvl w:val="0"/>
          <w:numId w:val="46"/>
        </w:numPr>
        <w:jc w:val="both"/>
        <w:rPr>
          <w:rFonts w:ascii="Arial" w:hAnsi="Arial" w:cs="Arial"/>
          <w:lang w:val="fr-FR"/>
        </w:rPr>
      </w:pPr>
      <w:r w:rsidRPr="00730CFC">
        <w:rPr>
          <w:rFonts w:ascii="Arial" w:hAnsi="Arial" w:cs="Arial"/>
          <w:lang w:val="fr-FR"/>
        </w:rPr>
        <w:t>zone mlăştinoase</w:t>
      </w:r>
    </w:p>
    <w:p w:rsidR="000F4FEA" w:rsidRPr="00730CFC" w:rsidRDefault="000F4FEA" w:rsidP="005E6B2E">
      <w:pPr>
        <w:numPr>
          <w:ilvl w:val="0"/>
          <w:numId w:val="46"/>
        </w:numPr>
        <w:jc w:val="both"/>
        <w:rPr>
          <w:rFonts w:ascii="Arial" w:hAnsi="Arial" w:cs="Arial"/>
          <w:lang w:val="fr-FR"/>
        </w:rPr>
      </w:pPr>
      <w:r w:rsidRPr="00730CFC">
        <w:rPr>
          <w:rFonts w:ascii="Arial" w:hAnsi="Arial" w:cs="Arial"/>
          <w:lang w:val="fr-FR"/>
        </w:rPr>
        <w:t>canale</w:t>
      </w:r>
    </w:p>
    <w:p w:rsidR="000F4FEA" w:rsidRPr="00730CFC" w:rsidRDefault="000F4FEA" w:rsidP="00012F90">
      <w:pPr>
        <w:jc w:val="both"/>
        <w:rPr>
          <w:rFonts w:ascii="Arial" w:hAnsi="Arial" w:cs="Arial"/>
          <w:bCs/>
        </w:rPr>
      </w:pPr>
      <w:r w:rsidRPr="00730CFC">
        <w:rPr>
          <w:rFonts w:ascii="Arial" w:hAnsi="Arial" w:cs="Arial"/>
          <w:bCs/>
        </w:rPr>
        <w:t>Habitatele acvatice sunt destul de diverse, mergând ca reprezentare de la braţele Dunării şi luciile de apă din lunca inundabilă până la diverse lacuri dulci sau sărate situate pe teritoriul judeţului, fiind totodată şi cele care, în pofida impactului antropic, au conservat cel mai bine diversitatea biologică naturală caracteristică regiunii.</w:t>
      </w:r>
    </w:p>
    <w:p w:rsidR="000F4FEA" w:rsidRPr="00730CFC" w:rsidRDefault="000F4FEA" w:rsidP="00012F90">
      <w:pPr>
        <w:jc w:val="both"/>
        <w:rPr>
          <w:rFonts w:ascii="Arial" w:hAnsi="Arial" w:cs="Arial"/>
          <w:bCs/>
        </w:rPr>
      </w:pPr>
      <w:r w:rsidRPr="00730CFC">
        <w:rPr>
          <w:rFonts w:ascii="Arial" w:hAnsi="Arial" w:cs="Arial"/>
          <w:bCs/>
        </w:rPr>
        <w:t xml:space="preserve">Lacurile din judeţul Brăila sunt de trei categorii: clasto-carstice (lacurile cantonate în  depresiuni de tasare în loess sau crovuri), numite şi lacuri de crov, limanuri fluviatile (lacurile de meandru) şi lacuri de luncă. </w:t>
      </w:r>
    </w:p>
    <w:p w:rsidR="000F4FEA" w:rsidRPr="00730CFC" w:rsidRDefault="000F4FEA" w:rsidP="00012F90">
      <w:pPr>
        <w:jc w:val="both"/>
        <w:rPr>
          <w:rFonts w:ascii="Arial" w:hAnsi="Arial" w:cs="Arial"/>
          <w:bCs/>
        </w:rPr>
      </w:pPr>
      <w:r w:rsidRPr="00730CFC">
        <w:rPr>
          <w:rFonts w:ascii="Arial" w:hAnsi="Arial" w:cs="Arial"/>
          <w:bCs/>
        </w:rPr>
        <w:t>Lacurile de meandru şi de braţ părăsit se găsesc îndeosebi în lunca Dunării (Blasova), pe terasa Călmăţuiului, precum şi în apropiere de Brăila (Lacul Sărat Brăila).</w:t>
      </w:r>
    </w:p>
    <w:p w:rsidR="000F4FEA" w:rsidRPr="00730CFC" w:rsidRDefault="000F4FEA" w:rsidP="00012F90">
      <w:pPr>
        <w:jc w:val="both"/>
        <w:rPr>
          <w:rFonts w:ascii="Arial" w:hAnsi="Arial" w:cs="Arial"/>
          <w:bCs/>
        </w:rPr>
      </w:pPr>
      <w:r w:rsidRPr="00730CFC">
        <w:rPr>
          <w:rFonts w:ascii="Arial" w:hAnsi="Arial" w:cs="Arial"/>
          <w:bCs/>
        </w:rPr>
        <w:t>O importantă categorie a apelor de suprafaţă o constituie lacurile terapeutice sărate, cu nămol sapropelic. Acestea sunt: Lacul Sărat Brăila, Lacurile Câineni Băi şi Movila Miresii.</w:t>
      </w:r>
    </w:p>
    <w:p w:rsidR="000F4FEA" w:rsidRPr="00730CFC" w:rsidRDefault="000F4FEA" w:rsidP="00012F90">
      <w:pPr>
        <w:jc w:val="both"/>
        <w:rPr>
          <w:rFonts w:ascii="Arial" w:hAnsi="Arial" w:cs="Arial"/>
          <w:bCs/>
        </w:rPr>
      </w:pPr>
      <w:r w:rsidRPr="00730CFC">
        <w:rPr>
          <w:rFonts w:ascii="Arial" w:hAnsi="Arial" w:cs="Arial"/>
          <w:bCs/>
        </w:rPr>
        <w:t>Lacul Sărat Brăila, este un vechi curs al Dunării, blocat acum, situat în sudul municipiului Brăila. Apa are o salinitate mare, iar fundul lacului este acoperit cu nămol terapeutic sapropelic. Morfologic este alcătuit din două compartimente (I şi II) separate de DJ 212, acestea putând comunica la nivele mari printr-o subtraversare a drumului. Lacul Sărat I Brăila, este singurul lac terapeutic din judeţ ale cărui resurse (apă sărată și nămol sapropelic) sunt valorificate la ora actuală. Valoarea terapeutică a apei şi a nămolului este cunoscută de multă vreme de către locuitorii acestei regiuni şi din vecinătăţi.</w:t>
      </w:r>
    </w:p>
    <w:p w:rsidR="000F4FEA" w:rsidRPr="00730CFC" w:rsidRDefault="000F4FEA" w:rsidP="00012F90">
      <w:pPr>
        <w:jc w:val="both"/>
        <w:rPr>
          <w:rFonts w:ascii="Arial" w:hAnsi="Arial" w:cs="Arial"/>
          <w:b/>
          <w:bCs/>
        </w:rPr>
      </w:pPr>
    </w:p>
    <w:p w:rsidR="000F4FEA" w:rsidRPr="00730CFC" w:rsidRDefault="000F4FEA" w:rsidP="00012F90">
      <w:pPr>
        <w:jc w:val="both"/>
        <w:rPr>
          <w:rFonts w:ascii="Arial" w:hAnsi="Arial" w:cs="Arial"/>
          <w:b/>
          <w:bCs/>
        </w:rPr>
      </w:pPr>
      <w:r w:rsidRPr="00730CFC">
        <w:rPr>
          <w:rFonts w:ascii="Arial" w:hAnsi="Arial" w:cs="Arial"/>
          <w:b/>
          <w:bCs/>
        </w:rPr>
        <w:t>Habitate de interes European</w:t>
      </w:r>
    </w:p>
    <w:p w:rsidR="000F4FEA" w:rsidRPr="00730CFC" w:rsidRDefault="000F4FEA" w:rsidP="00012F90">
      <w:pPr>
        <w:jc w:val="both"/>
        <w:rPr>
          <w:rFonts w:ascii="Arial" w:hAnsi="Arial" w:cs="Arial"/>
          <w:b/>
          <w:bCs/>
        </w:rPr>
      </w:pPr>
    </w:p>
    <w:p w:rsidR="000F4FEA" w:rsidRPr="00730CFC" w:rsidRDefault="000F4FEA" w:rsidP="00012F90">
      <w:pPr>
        <w:jc w:val="both"/>
        <w:rPr>
          <w:rFonts w:ascii="Arial" w:hAnsi="Arial" w:cs="Arial"/>
          <w:lang w:val="it-IT"/>
        </w:rPr>
      </w:pPr>
      <w:r w:rsidRPr="00730CFC">
        <w:rPr>
          <w:rStyle w:val="tpt1"/>
          <w:rFonts w:ascii="Arial" w:hAnsi="Arial" w:cs="Arial"/>
          <w:lang w:val="it-IT"/>
        </w:rPr>
        <w:t>Habitatele naturale de interes comunitar sunt acele tipuri care:</w:t>
      </w:r>
    </w:p>
    <w:p w:rsidR="000F4FEA" w:rsidRPr="00F75744" w:rsidRDefault="000F4FEA" w:rsidP="00012F90">
      <w:pPr>
        <w:jc w:val="both"/>
        <w:rPr>
          <w:rFonts w:ascii="Arial" w:hAnsi="Arial" w:cs="Arial"/>
          <w:lang w:val="it-IT"/>
        </w:rPr>
      </w:pPr>
      <w:r w:rsidRPr="00F75744">
        <w:rPr>
          <w:rStyle w:val="li1"/>
          <w:rFonts w:ascii="Arial" w:hAnsi="Arial" w:cs="Arial"/>
          <w:color w:val="auto"/>
          <w:lang w:val="it-IT"/>
        </w:rPr>
        <w:t xml:space="preserve">a) </w:t>
      </w:r>
      <w:r w:rsidRPr="00F75744">
        <w:rPr>
          <w:rStyle w:val="tli1"/>
          <w:rFonts w:ascii="Arial" w:hAnsi="Arial" w:cs="Arial"/>
          <w:lang w:val="it-IT"/>
        </w:rPr>
        <w:t>sunt în pericol de dispariţie în arealul lor natural;</w:t>
      </w:r>
    </w:p>
    <w:p w:rsidR="000F4FEA" w:rsidRPr="00F75744" w:rsidRDefault="000F4FEA" w:rsidP="00012F90">
      <w:pPr>
        <w:jc w:val="both"/>
        <w:rPr>
          <w:rFonts w:ascii="Arial" w:hAnsi="Arial" w:cs="Arial"/>
          <w:lang w:val="it-IT"/>
        </w:rPr>
      </w:pPr>
      <w:r w:rsidRPr="00F75744">
        <w:rPr>
          <w:rStyle w:val="li1"/>
          <w:rFonts w:ascii="Arial" w:hAnsi="Arial" w:cs="Arial"/>
          <w:color w:val="auto"/>
          <w:lang w:val="it-IT"/>
        </w:rPr>
        <w:t xml:space="preserve">b) </w:t>
      </w:r>
      <w:r w:rsidRPr="00F75744">
        <w:rPr>
          <w:rStyle w:val="tli1"/>
          <w:rFonts w:ascii="Arial" w:hAnsi="Arial" w:cs="Arial"/>
          <w:lang w:val="it-IT"/>
        </w:rPr>
        <w:t>au un areal natural redus ca urmare a restrângerii acestuia sau suprafaţa sa este redusă în mod natural;</w:t>
      </w:r>
    </w:p>
    <w:p w:rsidR="000F4FEA" w:rsidRPr="00730CFC" w:rsidRDefault="000F4FEA" w:rsidP="00012F90">
      <w:pPr>
        <w:jc w:val="both"/>
        <w:rPr>
          <w:rFonts w:ascii="Arial" w:hAnsi="Arial" w:cs="Arial"/>
          <w:lang w:val="it-IT"/>
        </w:rPr>
      </w:pPr>
      <w:r w:rsidRPr="00F75744">
        <w:rPr>
          <w:rStyle w:val="li1"/>
          <w:rFonts w:ascii="Arial" w:hAnsi="Arial" w:cs="Arial"/>
          <w:color w:val="auto"/>
          <w:lang w:val="it-IT"/>
        </w:rPr>
        <w:t xml:space="preserve">c) </w:t>
      </w:r>
      <w:r w:rsidRPr="00F75744">
        <w:rPr>
          <w:rStyle w:val="tli1"/>
          <w:rFonts w:ascii="Arial" w:hAnsi="Arial" w:cs="Arial"/>
          <w:lang w:val="it-IT"/>
        </w:rPr>
        <w:t>sunt</w:t>
      </w:r>
      <w:r w:rsidRPr="00730CFC">
        <w:rPr>
          <w:rStyle w:val="tli1"/>
          <w:rFonts w:ascii="Arial" w:hAnsi="Arial" w:cs="Arial"/>
          <w:lang w:val="it-IT"/>
        </w:rPr>
        <w:t xml:space="preserve"> eşantioane reprezentative cu caracteristici tipice pentru una sau mai multe dintre cele 5 regiuni biogeografice: alpină, continentală, panonică, stepică şi pontică.</w:t>
      </w:r>
    </w:p>
    <w:p w:rsidR="000F4FEA" w:rsidRPr="00730CFC" w:rsidRDefault="000F4FEA" w:rsidP="00012F90">
      <w:pPr>
        <w:jc w:val="both"/>
        <w:rPr>
          <w:rFonts w:ascii="Arial" w:hAnsi="Arial" w:cs="Arial"/>
          <w:lang w:val="it-IT"/>
        </w:rPr>
      </w:pPr>
      <w:r w:rsidRPr="00730CFC">
        <w:rPr>
          <w:rFonts w:ascii="Arial" w:hAnsi="Arial" w:cs="Arial"/>
          <w:lang w:val="it-IT"/>
        </w:rPr>
        <w:t>Unele dintre acestea sunt habitate naturale prioritare deoarece sunt în pericol de dispariţie, iar pentru conservarea lor Uniunea Europeană are o responsabilitate particulară, ţinând cont de proporţia arealului lor natural de răspândire.</w:t>
      </w:r>
    </w:p>
    <w:p w:rsidR="000F4FEA" w:rsidRPr="00730CFC" w:rsidRDefault="000F4FEA" w:rsidP="00012F90">
      <w:pPr>
        <w:jc w:val="both"/>
        <w:rPr>
          <w:rFonts w:ascii="Arial" w:hAnsi="Arial" w:cs="Arial"/>
          <w:bCs/>
        </w:rPr>
      </w:pPr>
      <w:r w:rsidRPr="00730CFC">
        <w:rPr>
          <w:rFonts w:ascii="Arial" w:hAnsi="Arial" w:cs="Arial"/>
          <w:bCs/>
        </w:rPr>
        <w:t>Dintre habitatele protejate pe plan european pentru conservarea unor specii de floră şi faună rare sau pe cale de dispariţie, cele caracteristice zonelor umede sunt cel mai bine reprezentate, diversitatea cea mai mare existând în lunca inundabilă a Dunării.</w:t>
      </w:r>
    </w:p>
    <w:p w:rsidR="000F4FEA" w:rsidRPr="00730CFC" w:rsidRDefault="000F4FEA" w:rsidP="00012F90">
      <w:pPr>
        <w:jc w:val="both"/>
        <w:rPr>
          <w:rFonts w:ascii="Arial" w:hAnsi="Arial" w:cs="Arial"/>
          <w:lang w:val="pt-BR"/>
        </w:rPr>
      </w:pPr>
    </w:p>
    <w:p w:rsidR="000F4FEA" w:rsidRPr="00730CFC" w:rsidRDefault="000F4FEA" w:rsidP="00012F90">
      <w:pPr>
        <w:jc w:val="both"/>
        <w:rPr>
          <w:rFonts w:ascii="Arial" w:hAnsi="Arial" w:cs="Arial"/>
        </w:rPr>
      </w:pPr>
      <w:r w:rsidRPr="00730CFC">
        <w:rPr>
          <w:rFonts w:ascii="Arial" w:hAnsi="Arial" w:cs="Arial"/>
          <w:lang w:val="pt-BR"/>
        </w:rPr>
        <w:t> </w:t>
      </w:r>
      <w:r w:rsidRPr="00730CFC">
        <w:rPr>
          <w:rFonts w:ascii="Arial" w:hAnsi="Arial" w:cs="Arial"/>
        </w:rPr>
        <w:t>Tabel nr. V-1. Inventarul tipurilor de habitate de interes comunitar identificate în judeţul Brăila</w:t>
      </w:r>
    </w:p>
    <w:tbl>
      <w:tblPr>
        <w:tblW w:w="9591" w:type="dxa"/>
        <w:tblInd w:w="29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tblPr>
      <w:tblGrid>
        <w:gridCol w:w="528"/>
        <w:gridCol w:w="3534"/>
        <w:gridCol w:w="1111"/>
        <w:gridCol w:w="4418"/>
      </w:tblGrid>
      <w:tr w:rsidR="000F4FEA" w:rsidRPr="00730CFC" w:rsidTr="00012F90">
        <w:trPr>
          <w:trHeight w:val="557"/>
        </w:trPr>
        <w:tc>
          <w:tcPr>
            <w:tcW w:w="52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rPr>
            </w:pPr>
            <w:r w:rsidRPr="00730CFC">
              <w:rPr>
                <w:rFonts w:ascii="Arial" w:hAnsi="Arial" w:cs="Arial"/>
              </w:rPr>
              <w:t>Nr. crt.</w:t>
            </w: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pStyle w:val="Footer"/>
              <w:jc w:val="center"/>
              <w:rPr>
                <w:rFonts w:ascii="Arial" w:hAnsi="Arial" w:cs="Arial"/>
                <w:lang w:val="ro-RO"/>
              </w:rPr>
            </w:pPr>
            <w:r w:rsidRPr="00730CFC">
              <w:rPr>
                <w:rFonts w:ascii="Arial" w:hAnsi="Arial" w:cs="Arial"/>
                <w:lang w:val="ro-RO"/>
              </w:rPr>
              <w:t>Tip habitat</w:t>
            </w:r>
          </w:p>
          <w:p w:rsidR="000F4FEA" w:rsidRPr="00730CFC" w:rsidRDefault="000F4FEA" w:rsidP="00012F90">
            <w:pPr>
              <w:pStyle w:val="Footer"/>
              <w:jc w:val="center"/>
              <w:rPr>
                <w:rFonts w:ascii="Arial" w:hAnsi="Arial" w:cs="Arial"/>
                <w:lang w:val="ro-RO"/>
              </w:rPr>
            </w:pPr>
            <w:r w:rsidRPr="00730CFC">
              <w:rPr>
                <w:rFonts w:ascii="Arial" w:hAnsi="Arial" w:cs="Arial"/>
                <w:lang w:val="ro-RO"/>
              </w:rPr>
              <w:t>conform OUG 57/2007</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rPr>
            </w:pPr>
            <w:r w:rsidRPr="00730CFC">
              <w:rPr>
                <w:rFonts w:ascii="Arial" w:hAnsi="Arial" w:cs="Arial"/>
              </w:rPr>
              <w:t>Cod</w:t>
            </w:r>
          </w:p>
          <w:p w:rsidR="000F4FEA" w:rsidRPr="00730CFC" w:rsidRDefault="000F4FEA" w:rsidP="00012F90">
            <w:pPr>
              <w:jc w:val="center"/>
              <w:rPr>
                <w:rFonts w:ascii="Arial" w:hAnsi="Arial" w:cs="Arial"/>
              </w:rPr>
            </w:pPr>
            <w:r w:rsidRPr="00730CFC">
              <w:rPr>
                <w:rFonts w:ascii="Arial" w:hAnsi="Arial" w:cs="Arial"/>
              </w:rPr>
              <w:t>Natura</w:t>
            </w:r>
          </w:p>
          <w:p w:rsidR="000F4FEA" w:rsidRPr="00730CFC" w:rsidRDefault="000F4FEA" w:rsidP="00012F90">
            <w:pPr>
              <w:jc w:val="center"/>
              <w:rPr>
                <w:rFonts w:ascii="Arial" w:hAnsi="Arial" w:cs="Arial"/>
              </w:rPr>
            </w:pPr>
            <w:r w:rsidRPr="00730CFC">
              <w:rPr>
                <w:rFonts w:ascii="Arial" w:hAnsi="Arial" w:cs="Arial"/>
              </w:rPr>
              <w:t>2000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pStyle w:val="Footer"/>
              <w:jc w:val="center"/>
              <w:rPr>
                <w:rFonts w:ascii="Arial" w:hAnsi="Arial" w:cs="Arial"/>
                <w:lang w:val="ro-RO"/>
              </w:rPr>
            </w:pPr>
            <w:r w:rsidRPr="00730CFC">
              <w:rPr>
                <w:rFonts w:ascii="Arial" w:hAnsi="Arial" w:cs="Arial"/>
                <w:lang w:val="ro-RO"/>
              </w:rPr>
              <w:t>Zona în care a fost identificat</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rPr>
            </w:pPr>
            <w:r w:rsidRPr="00730CFC">
              <w:rPr>
                <w:rFonts w:ascii="Arial" w:hAnsi="Arial" w:cs="Arial"/>
              </w:rPr>
              <w:t>Comunităţi cu Salicornia şi alte specii anuale care colonizează terenurile umede şi nisipoase</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rPr>
            </w:pPr>
            <w:r w:rsidRPr="00730CFC">
              <w:rPr>
                <w:rFonts w:ascii="Arial" w:hAnsi="Arial" w:cs="Arial"/>
              </w:rPr>
              <w:t>1310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rPr>
            </w:pPr>
            <w:r w:rsidRPr="00730CFC">
              <w:rPr>
                <w:rFonts w:ascii="Arial" w:hAnsi="Arial" w:cs="Arial"/>
              </w:rPr>
              <w:t>Balta Albă, Lacul Jirlău, Lacul Sărat Câineni, Lacul Movila Miresii, Comăneasca, Lacul Sărat Brăila, Mihai Bravu</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Stepe şi mlaştini sărăturate panonice</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rPr>
            </w:pPr>
            <w:r w:rsidRPr="00730CFC">
              <w:rPr>
                <w:rFonts w:ascii="Arial" w:hAnsi="Arial" w:cs="Arial"/>
              </w:rPr>
              <w:t>1530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rPr>
            </w:pPr>
            <w:r w:rsidRPr="00730CFC">
              <w:rPr>
                <w:rFonts w:ascii="Arial" w:hAnsi="Arial" w:cs="Arial"/>
              </w:rPr>
              <w:t xml:space="preserve">Balta Albă, Lacul Jirlău, Lacul Sărat Câineni, Valea Călmăţuiului, Lacul Movila Miresii, Comăneasca, Lacul </w:t>
            </w:r>
            <w:r w:rsidRPr="00730CFC">
              <w:rPr>
                <w:rFonts w:ascii="Arial" w:hAnsi="Arial" w:cs="Arial"/>
              </w:rPr>
              <w:lastRenderedPageBreak/>
              <w:t>Sărat Brăila, lunca Buzăului, Mihai Bravu</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rPr>
            </w:pPr>
            <w:r w:rsidRPr="00730CFC">
              <w:rPr>
                <w:rFonts w:ascii="Arial" w:hAnsi="Arial" w:cs="Arial"/>
              </w:rPr>
              <w:t>Ape stătătoare, oligotrofe până la mezotrofe cu vegetaţie din Litorelletea uniflorae şi/sau Isoeto-Nanojuncetea</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en-US"/>
              </w:rPr>
            </w:pPr>
            <w:r w:rsidRPr="00730CFC">
              <w:rPr>
                <w:rFonts w:ascii="Arial" w:hAnsi="Arial" w:cs="Arial"/>
                <w:lang w:val="en-US"/>
              </w:rPr>
              <w:t>3130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Parcul Natural Balta Mică a Brăilei (PNBMB), lunca Braţului Măcin</w:t>
            </w:r>
            <w:r w:rsidRPr="00730CFC">
              <w:rPr>
                <w:rFonts w:ascii="Arial" w:hAnsi="Arial" w:cs="Arial"/>
              </w:rPr>
              <w:t>, lunca Buzăului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pt-BR"/>
              </w:rPr>
            </w:pPr>
            <w:r w:rsidRPr="00730CFC">
              <w:rPr>
                <w:rFonts w:ascii="Arial" w:hAnsi="Arial" w:cs="Arial"/>
                <w:lang w:val="pt-BR"/>
              </w:rPr>
              <w:t>Ape puternic oligo-mezotrofice cu vegetaţie bentonică de Chara sp.</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rPr>
            </w:pPr>
            <w:r w:rsidRPr="00730CFC">
              <w:rPr>
                <w:rFonts w:ascii="Arial" w:hAnsi="Arial" w:cs="Arial"/>
              </w:rPr>
              <w:t>3140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rPr>
            </w:pPr>
            <w:r w:rsidRPr="00730CFC">
              <w:rPr>
                <w:rFonts w:ascii="Arial" w:hAnsi="Arial" w:cs="Arial"/>
              </w:rPr>
              <w:t>Balta Albă, Lacul Jirlău, Lacul Sărat Câineni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rPr>
            </w:pPr>
            <w:r w:rsidRPr="00730CFC">
              <w:rPr>
                <w:rFonts w:ascii="Arial" w:hAnsi="Arial" w:cs="Arial"/>
              </w:rPr>
              <w:t>Lacuri eutrofe naturale cu vegetaţie de tip Magnopotamion sau Hydrocarition</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fr-FR"/>
              </w:rPr>
            </w:pPr>
            <w:r w:rsidRPr="00730CFC">
              <w:rPr>
                <w:rFonts w:ascii="Arial" w:hAnsi="Arial" w:cs="Arial"/>
                <w:lang w:val="fr-FR"/>
              </w:rPr>
              <w:t>3150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PNBMB: lacuri şi bălti,</w:t>
            </w:r>
          </w:p>
          <w:p w:rsidR="000F4FEA" w:rsidRPr="00730CFC" w:rsidRDefault="000F4FEA" w:rsidP="00012F90">
            <w:pPr>
              <w:rPr>
                <w:rFonts w:ascii="Arial" w:hAnsi="Arial" w:cs="Arial"/>
                <w:lang w:val="fr-FR"/>
              </w:rPr>
            </w:pPr>
            <w:r w:rsidRPr="00730CFC">
              <w:rPr>
                <w:rFonts w:ascii="Arial" w:hAnsi="Arial" w:cs="Arial"/>
                <w:lang w:val="fr-FR"/>
              </w:rPr>
              <w:t>mlaştini împădurite</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fr-FR"/>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Cursuri  de apă din zona de câmpie până în etajul montan, cu vegetaţie din Ranunculion fluitantis şi Callitricho-Batrachion</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fr-FR"/>
              </w:rPr>
            </w:pPr>
            <w:r w:rsidRPr="00730CFC">
              <w:rPr>
                <w:rFonts w:ascii="Arial" w:hAnsi="Arial" w:cs="Arial"/>
                <w:lang w:val="fr-FR"/>
              </w:rPr>
              <w:t>3260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Lunca Siretului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fr-FR"/>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Râuri cu maluri nămoloase cu vegetaţie de Chenopodion rubri si Bidention</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fr-FR"/>
              </w:rPr>
            </w:pPr>
            <w:r w:rsidRPr="00730CFC">
              <w:rPr>
                <w:rFonts w:ascii="Arial" w:hAnsi="Arial" w:cs="Arial"/>
                <w:lang w:val="fr-FR"/>
              </w:rPr>
              <w:t>3270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PNBMB-canale cu maluri aluviale, lunca Braţului Măcin, lunca Siretului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fr-FR"/>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en-US"/>
              </w:rPr>
            </w:pPr>
            <w:r w:rsidRPr="00730CFC">
              <w:rPr>
                <w:rFonts w:ascii="Arial" w:hAnsi="Arial" w:cs="Arial"/>
                <w:lang w:val="en-US"/>
              </w:rPr>
              <w:t>Stepe ponto-sarmatice -</w:t>
            </w:r>
            <w:r w:rsidRPr="00730CFC">
              <w:rPr>
                <w:rFonts w:ascii="Arial" w:hAnsi="Arial" w:cs="Arial"/>
                <w:u w:val="single"/>
                <w:lang w:val="fr-FR"/>
              </w:rPr>
              <w:t xml:space="preserve"> habitat prioritar</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en-US"/>
              </w:rPr>
            </w:pPr>
            <w:r w:rsidRPr="00730CFC">
              <w:rPr>
                <w:rFonts w:ascii="Arial" w:hAnsi="Arial" w:cs="Arial"/>
                <w:lang w:val="en-US"/>
              </w:rPr>
              <w:t>62CO</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lunca Braţului Măcin</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Pajişti cu Molinia pe soluri calcaroase, turboase sau argiloase (Molinion caeruleae)</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it-IT"/>
              </w:rPr>
            </w:pPr>
            <w:r w:rsidRPr="00730CFC">
              <w:rPr>
                <w:rFonts w:ascii="Arial" w:hAnsi="Arial" w:cs="Arial"/>
                <w:lang w:val="it-IT"/>
              </w:rPr>
              <w:t>6410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PNBMB - Mlaştini cu vegetaţie de Molinia pe soluri luto-argiloase</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Asociaţii de lizieră cu ierburi înalte higrofile de la nivelul câmpiilor până la cel montan şi alpin</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it-IT"/>
              </w:rPr>
            </w:pPr>
            <w:r w:rsidRPr="00730CFC">
              <w:rPr>
                <w:rFonts w:ascii="Arial" w:hAnsi="Arial" w:cs="Arial"/>
                <w:lang w:val="it-IT"/>
              </w:rPr>
              <w:t>6430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PNBMB,  lunca Braţului Măcin</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Pajişti aluviale din Cnidion dubii</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it-IT"/>
              </w:rPr>
            </w:pPr>
            <w:r w:rsidRPr="00730CFC">
              <w:rPr>
                <w:rFonts w:ascii="Arial" w:hAnsi="Arial" w:cs="Arial"/>
                <w:lang w:val="it-IT"/>
              </w:rPr>
              <w:t>6440</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PNBMB - mlaştini de-a lungul văii Dunării; lunca Braţului Măcin, lunca Siretului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Pajişti de altitudine joasă (Alopecurus pratensis, Sanguisorba officinalis)</w:t>
            </w:r>
          </w:p>
        </w:tc>
        <w:tc>
          <w:tcPr>
            <w:tcW w:w="1111" w:type="dxa"/>
            <w:tcBorders>
              <w:top w:val="single" w:sz="4" w:space="0" w:color="auto"/>
              <w:left w:val="single" w:sz="4" w:space="0" w:color="auto"/>
              <w:bottom w:val="single" w:sz="4" w:space="0" w:color="auto"/>
              <w:right w:val="single" w:sz="4" w:space="0" w:color="auto"/>
            </w:tcBorders>
            <w:vAlign w:val="center"/>
          </w:tcPr>
          <w:p w:rsidR="000F4FEA" w:rsidRPr="00730CFC" w:rsidRDefault="000F4FEA" w:rsidP="00012F90">
            <w:pPr>
              <w:jc w:val="center"/>
              <w:rPr>
                <w:rFonts w:ascii="Arial" w:hAnsi="Arial" w:cs="Arial"/>
                <w:lang w:val="it-IT"/>
              </w:rPr>
            </w:pPr>
            <w:r w:rsidRPr="00730CFC">
              <w:rPr>
                <w:rFonts w:ascii="Arial" w:hAnsi="Arial" w:cs="Arial"/>
                <w:lang w:val="it-IT"/>
              </w:rPr>
              <w:t>6510</w:t>
            </w:r>
          </w:p>
          <w:p w:rsidR="000F4FEA" w:rsidRPr="00730CFC" w:rsidRDefault="000F4FEA" w:rsidP="00012F90">
            <w:pPr>
              <w:jc w:val="center"/>
              <w:rPr>
                <w:rFonts w:ascii="Arial" w:hAnsi="Arial" w:cs="Arial"/>
                <w:lang w:val="it-IT"/>
              </w:rPr>
            </w:pP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PNBMB - păşuni umede, depresiuni mlăştinoase;</w:t>
            </w:r>
          </w:p>
          <w:p w:rsidR="000F4FEA" w:rsidRPr="00730CFC" w:rsidRDefault="000F4FEA" w:rsidP="00012F90">
            <w:pPr>
              <w:rPr>
                <w:rFonts w:ascii="Arial" w:hAnsi="Arial" w:cs="Arial"/>
                <w:lang w:val="it-IT"/>
              </w:rPr>
            </w:pPr>
            <w:r w:rsidRPr="00730CFC">
              <w:rPr>
                <w:rFonts w:ascii="Arial" w:hAnsi="Arial" w:cs="Arial"/>
                <w:lang w:val="it-IT"/>
              </w:rPr>
              <w:t xml:space="preserve"> lunca Braţului Măcin</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Păduri  aluviale cu Alnus glutinosa şi Fraxinus excelsior (Alno-Padion, Alnion incanae, Salicion albae)</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it-IT"/>
              </w:rPr>
            </w:pPr>
            <w:r w:rsidRPr="00730CFC">
              <w:rPr>
                <w:rFonts w:ascii="Arial" w:hAnsi="Arial" w:cs="Arial"/>
                <w:lang w:val="it-IT"/>
              </w:rPr>
              <w:t>91EO</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fr-FR"/>
              </w:rPr>
              <w:t>Lunca Siretului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it-IT"/>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Păduri mixte cu Quercus robur, Ulmus laevis, Fraxinus excelsior sau Fraxinus angustifolia, din lungul marilor râuri (Ulmenion minoris)</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fr-FR"/>
              </w:rPr>
            </w:pPr>
            <w:r w:rsidRPr="00730CFC">
              <w:rPr>
                <w:rFonts w:ascii="Arial" w:hAnsi="Arial" w:cs="Arial"/>
                <w:lang w:val="fr-FR"/>
              </w:rPr>
              <w:t>91FO</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PNBMB</w:t>
            </w:r>
            <w:r w:rsidRPr="00730CFC">
              <w:rPr>
                <w:rFonts w:ascii="Arial" w:hAnsi="Arial" w:cs="Arial"/>
                <w:lang w:val="it-IT"/>
              </w:rPr>
              <w:t>,</w:t>
            </w:r>
            <w:r w:rsidRPr="00730CFC">
              <w:rPr>
                <w:rFonts w:ascii="Arial" w:hAnsi="Arial" w:cs="Arial"/>
                <w:lang w:val="fr-FR"/>
              </w:rPr>
              <w:t xml:space="preserve"> lunca Siretului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fr-FR"/>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Galerii cu Salix alba şi Populus alba</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fr-FR"/>
              </w:rPr>
            </w:pPr>
            <w:r w:rsidRPr="00730CFC">
              <w:rPr>
                <w:rFonts w:ascii="Arial" w:hAnsi="Arial" w:cs="Arial"/>
                <w:lang w:val="fr-FR"/>
              </w:rPr>
              <w:t>92AO</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fr-FR"/>
              </w:rPr>
            </w:pPr>
            <w:r w:rsidRPr="00730CFC">
              <w:rPr>
                <w:rFonts w:ascii="Arial" w:hAnsi="Arial" w:cs="Arial"/>
                <w:lang w:val="fr-FR"/>
              </w:rPr>
              <w:t>PNBMB, lunca Braţului Măcin, lunca Buzăului, lunca Siretului</w:t>
            </w:r>
          </w:p>
        </w:tc>
      </w:tr>
      <w:tr w:rsidR="000F4FEA" w:rsidRPr="00730CFC" w:rsidTr="00012F90">
        <w:tc>
          <w:tcPr>
            <w:tcW w:w="528" w:type="dxa"/>
            <w:tcBorders>
              <w:top w:val="single" w:sz="4" w:space="0" w:color="auto"/>
              <w:left w:val="single" w:sz="4" w:space="0" w:color="auto"/>
              <w:bottom w:val="single" w:sz="4" w:space="0" w:color="auto"/>
              <w:right w:val="single" w:sz="4" w:space="0" w:color="auto"/>
            </w:tcBorders>
          </w:tcPr>
          <w:p w:rsidR="000F4FEA" w:rsidRPr="00730CFC" w:rsidRDefault="000F4FEA" w:rsidP="005E6B2E">
            <w:pPr>
              <w:numPr>
                <w:ilvl w:val="0"/>
                <w:numId w:val="1"/>
              </w:numPr>
              <w:jc w:val="both"/>
              <w:rPr>
                <w:rFonts w:ascii="Arial" w:hAnsi="Arial" w:cs="Arial"/>
                <w:lang w:val="fr-FR"/>
              </w:rPr>
            </w:pPr>
          </w:p>
        </w:tc>
        <w:tc>
          <w:tcPr>
            <w:tcW w:w="3534"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lang w:val="it-IT"/>
              </w:rPr>
              <w:t>Galerii  ripariene  şi tufărişuri (Nerio-Tamaricetea şi Securinegion tinctoriae)</w:t>
            </w:r>
          </w:p>
        </w:tc>
        <w:tc>
          <w:tcPr>
            <w:tcW w:w="1111"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jc w:val="center"/>
              <w:rPr>
                <w:rFonts w:ascii="Arial" w:hAnsi="Arial" w:cs="Arial"/>
                <w:lang w:val="fr-FR"/>
              </w:rPr>
            </w:pPr>
            <w:r w:rsidRPr="00730CFC">
              <w:rPr>
                <w:rFonts w:ascii="Arial" w:hAnsi="Arial" w:cs="Arial"/>
                <w:lang w:val="fr-FR"/>
              </w:rPr>
              <w:t>92DO</w:t>
            </w:r>
          </w:p>
        </w:tc>
        <w:tc>
          <w:tcPr>
            <w:tcW w:w="4418" w:type="dxa"/>
            <w:tcBorders>
              <w:top w:val="single" w:sz="4" w:space="0" w:color="auto"/>
              <w:left w:val="single" w:sz="4" w:space="0" w:color="auto"/>
              <w:bottom w:val="single" w:sz="4" w:space="0" w:color="auto"/>
              <w:right w:val="single" w:sz="4" w:space="0" w:color="auto"/>
            </w:tcBorders>
            <w:vAlign w:val="center"/>
            <w:hideMark/>
          </w:tcPr>
          <w:p w:rsidR="000F4FEA" w:rsidRPr="00730CFC" w:rsidRDefault="000F4FEA" w:rsidP="00012F90">
            <w:pPr>
              <w:rPr>
                <w:rFonts w:ascii="Arial" w:hAnsi="Arial" w:cs="Arial"/>
                <w:lang w:val="it-IT"/>
              </w:rPr>
            </w:pPr>
            <w:r w:rsidRPr="00730CFC">
              <w:rPr>
                <w:rFonts w:ascii="Arial" w:hAnsi="Arial" w:cs="Arial"/>
              </w:rPr>
              <w:t>lunca Buzăului</w:t>
            </w:r>
          </w:p>
        </w:tc>
      </w:tr>
    </w:tbl>
    <w:p w:rsidR="000F4FEA" w:rsidRPr="00730CFC" w:rsidRDefault="000F4FEA" w:rsidP="00012F90">
      <w:pPr>
        <w:jc w:val="both"/>
        <w:rPr>
          <w:rFonts w:ascii="Arial" w:hAnsi="Arial" w:cs="Arial"/>
          <w:lang w:val="it-IT"/>
        </w:rPr>
      </w:pPr>
    </w:p>
    <w:p w:rsidR="000F4FEA" w:rsidRPr="00730CFC" w:rsidRDefault="000F4FEA" w:rsidP="00012F90">
      <w:pPr>
        <w:jc w:val="both"/>
        <w:rPr>
          <w:rFonts w:ascii="Arial" w:hAnsi="Arial" w:cs="Arial"/>
          <w:b/>
          <w:lang w:val="it-IT"/>
        </w:rPr>
      </w:pPr>
      <w:r w:rsidRPr="00730CFC">
        <w:rPr>
          <w:rFonts w:ascii="Arial" w:hAnsi="Arial" w:cs="Arial"/>
          <w:b/>
          <w:lang w:val="it-IT"/>
        </w:rPr>
        <w:lastRenderedPageBreak/>
        <w:t>Flora sălbatică</w:t>
      </w:r>
    </w:p>
    <w:p w:rsidR="000F4FEA" w:rsidRPr="00730CFC" w:rsidRDefault="000F4FEA" w:rsidP="00012F90">
      <w:pPr>
        <w:jc w:val="both"/>
        <w:rPr>
          <w:rFonts w:ascii="Arial" w:hAnsi="Arial" w:cs="Arial"/>
          <w:b/>
          <w:lang w:val="it-IT"/>
        </w:rPr>
      </w:pPr>
    </w:p>
    <w:p w:rsidR="000F4FEA" w:rsidRPr="00730CFC" w:rsidRDefault="000F4FEA" w:rsidP="00012F90">
      <w:pPr>
        <w:pStyle w:val="BodyText2"/>
        <w:spacing w:after="0" w:line="240" w:lineRule="auto"/>
        <w:jc w:val="both"/>
        <w:rPr>
          <w:rFonts w:ascii="Arial" w:hAnsi="Arial" w:cs="Arial"/>
          <w:lang w:val="ro-RO"/>
        </w:rPr>
      </w:pPr>
      <w:r w:rsidRPr="00730CFC">
        <w:rPr>
          <w:rFonts w:ascii="Arial" w:hAnsi="Arial" w:cs="Arial"/>
          <w:lang w:val="ro-RO"/>
        </w:rPr>
        <w:t>Într-un trecut mai îndepărtat vegetaţia caracteristică din judeţul Brăila era reprezentată prin stepă în zonele de câmpie şi prin vegetaţie de luncă şi baltă în Balta Brăilei. Stepa a fost desţelenită şi înlocuită cu vegetaţie de cultură (culturi agricole) în proporţie de peste 95%. Aceasta se mai găseşte astăzi doar insular, pe pajiştile naturale, precum şi pe marginea drumurilor, de-a lungul digurilor şi canalelor de irigaţie. Asociaţiile vegetale caracteristice sunt cele de pajişti xerofile presărate din loc în loc cu tufărişuri constituite din arbuşti de stepă.</w:t>
      </w:r>
    </w:p>
    <w:p w:rsidR="000F4FEA" w:rsidRPr="00730CFC" w:rsidRDefault="000F4FEA" w:rsidP="00012F90">
      <w:pPr>
        <w:jc w:val="both"/>
        <w:rPr>
          <w:rFonts w:ascii="Arial" w:hAnsi="Arial" w:cs="Arial"/>
          <w:lang w:val="ro-RO"/>
        </w:rPr>
      </w:pPr>
      <w:r w:rsidRPr="00730CFC">
        <w:rPr>
          <w:rFonts w:ascii="Arial" w:hAnsi="Arial" w:cs="Arial"/>
          <w:lang w:val="ro-RO"/>
        </w:rPr>
        <w:t xml:space="preserve">Datorită umidităţii mari a solului, vegetaţia de lunca este mult mai bogată, aici dezvoltându-se o vegetaţie arborescentă de esenţă moale şi ierboasă dispusă pe benzi longitudinale sau concentrice, în cazul depresiunilor lacustre, în funcţie de gradul de umiditate. </w:t>
      </w:r>
    </w:p>
    <w:p w:rsidR="000F4FEA" w:rsidRPr="00730CFC" w:rsidRDefault="000F4FEA" w:rsidP="00012F90">
      <w:pPr>
        <w:jc w:val="both"/>
        <w:rPr>
          <w:rFonts w:ascii="Arial" w:hAnsi="Arial" w:cs="Arial"/>
          <w:lang w:val="ro-RO"/>
        </w:rPr>
      </w:pPr>
      <w:r w:rsidRPr="00730CFC">
        <w:rPr>
          <w:rFonts w:ascii="Arial" w:hAnsi="Arial" w:cs="Arial"/>
          <w:lang w:val="ro-RO"/>
        </w:rPr>
        <w:t>Din Balta Brăilei doar o treime din suprafaţă a rămas în regim liber de inundaţie, restul de peste 60000 de ha constituind actualmente incinta agricolă îndiguită Insula Mare a Brăilei. Vestigii ale florei acestui vast teritoriu de zonă umedă se găsesc acum în cele 10 insule din zona inundabilă care constituie Parcul Natural Balta Mică a Brăilei. Vegetaţia palustră a ostroavelor se remarcă prin specii rare, cum sunt nuferii albi şi galbeni, specii care doar în Delta Dunării sunt mai des întâlnite.</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Din cele 230 de specii de floră sălbatică inventariate în judeţul Brăila nu au fost identificate specii de interes naţional sau comunitar (listate în anexele 3-5 ale OUG 57/2007).</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Există și două specii endemice, și anume Campanula rotundifolia L., ssp. Romanica Savulescu Hayeck (clopoţel) şi Achillea coarctata Poir (coada şoricelului cu flori galbene), care cresc numai pe Popina Blasova-martor de eroziune hercinică (monument al naturii declarat la nivel judeţean), vestigiu al unui lanţ muntos din care s-au păstrat Munţii Măcin.</w:t>
      </w:r>
    </w:p>
    <w:p w:rsidR="000F4FEA" w:rsidRPr="00730CFC" w:rsidRDefault="000F4FEA" w:rsidP="00012F90">
      <w:pPr>
        <w:jc w:val="both"/>
        <w:rPr>
          <w:rFonts w:ascii="Arial" w:hAnsi="Arial" w:cs="Arial"/>
          <w:b/>
          <w:lang w:val="ro-RO"/>
        </w:rPr>
      </w:pPr>
    </w:p>
    <w:p w:rsidR="000F4FEA" w:rsidRPr="00730CFC" w:rsidRDefault="000F4FEA" w:rsidP="00012F90">
      <w:pPr>
        <w:jc w:val="both"/>
        <w:rPr>
          <w:rFonts w:ascii="Arial" w:hAnsi="Arial" w:cs="Arial"/>
          <w:b/>
          <w:lang w:val="ro-RO"/>
        </w:rPr>
      </w:pPr>
      <w:r w:rsidRPr="00730CFC">
        <w:rPr>
          <w:rFonts w:ascii="Arial" w:hAnsi="Arial" w:cs="Arial"/>
          <w:b/>
          <w:lang w:val="ro-RO"/>
        </w:rPr>
        <w:t>Fauna sălbatică</w:t>
      </w:r>
    </w:p>
    <w:p w:rsidR="000F4FEA" w:rsidRPr="00730CFC" w:rsidRDefault="000F4FEA" w:rsidP="00012F90">
      <w:pPr>
        <w:jc w:val="both"/>
        <w:rPr>
          <w:rFonts w:ascii="Arial" w:hAnsi="Arial" w:cs="Arial"/>
          <w:b/>
          <w:lang w:val="ro-RO"/>
        </w:rPr>
      </w:pPr>
    </w:p>
    <w:p w:rsidR="000F4FEA" w:rsidRPr="00730CFC" w:rsidRDefault="000F4FEA" w:rsidP="00012F90">
      <w:pPr>
        <w:pStyle w:val="BodyText21"/>
        <w:widowControl/>
        <w:rPr>
          <w:rFonts w:ascii="Arial" w:hAnsi="Arial" w:cs="Arial"/>
          <w:lang w:val="ro-RO"/>
        </w:rPr>
      </w:pPr>
      <w:r w:rsidRPr="00730CFC">
        <w:rPr>
          <w:rFonts w:ascii="Arial" w:hAnsi="Arial" w:cs="Arial"/>
          <w:lang w:val="ro-RO"/>
        </w:rPr>
        <w:t>Zoocenozele sunt specifice tipurilor de habitate descrise anterior, cele mai complexe fiind caracteristice pădurilor (de amestec) şi bălţilor permanente. Nevertebratele sunt reprezentate prin cel mai mare număr de specii, la nivelul tuturor tipurilor de ecosisteme, având o distribuţie relativ uniformă. Vertebratele sunt mai puţin numeroase, atât ca număr de specii, cât şi ca număr de indivizi.</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balţi din terasa Dunării.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Procentual, avifauna din Parcul Natural Balta Mică a Brăilei reprezintă peste jumătate din cea a României, respectiv 53%. Dintre acestea, 169 de specii sunt protejate pe plan european (prin Convenţia de la Berna), 58 de specii sunt păsări migratoare protejate prin Convenţia de la Bonn şi 6 specii protejate prin Convenţia CITES. De asemenea, 68 de  specii figurează în anexa I din Directiva Păsări. Faptul că zona inundabilă brăileană face parte din reţeaua internaţională de locuri de cuibărire şi pasaj, situată pe culoarul estic de migraţie dunărean, a fost unul dintre cele mai importante motive pentru care această zonă a fost  declarată arie protejată şi ulterior recunoscută ca sit Ramsar -zonă umedă de importanţă internaţională.</w:t>
      </w:r>
    </w:p>
    <w:p w:rsidR="000F4FEA" w:rsidRPr="00730CFC" w:rsidRDefault="000F4FEA" w:rsidP="00012F90">
      <w:pPr>
        <w:pStyle w:val="BodyText21"/>
        <w:widowControl/>
        <w:ind w:firstLine="737"/>
        <w:rPr>
          <w:rFonts w:ascii="Arial" w:hAnsi="Arial" w:cs="Arial"/>
          <w:u w:val="single"/>
          <w:lang w:val="ro-RO"/>
        </w:rPr>
      </w:pPr>
    </w:p>
    <w:p w:rsidR="000F4FEA" w:rsidRPr="00730CFC" w:rsidRDefault="000F4FEA" w:rsidP="00012F90">
      <w:pPr>
        <w:pStyle w:val="BodyText21"/>
        <w:widowControl/>
        <w:rPr>
          <w:rFonts w:ascii="Arial" w:hAnsi="Arial" w:cs="Arial"/>
          <w:b/>
          <w:lang w:val="ro-RO"/>
        </w:rPr>
      </w:pPr>
      <w:r w:rsidRPr="00730CFC">
        <w:rPr>
          <w:rFonts w:ascii="Arial" w:hAnsi="Arial" w:cs="Arial"/>
          <w:b/>
          <w:lang w:val="ro-RO"/>
        </w:rPr>
        <w:t>Specii de interes comunitar</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În judeţul Brăila au fost inventariate un număr de 90 de specii, considerate de interes comunitar în conformitate cu OUG 57/2007, Anexa 3, pentru care se desemnează arii speciale de conservare şi arii speciale de protecţie avifaunistică (Tabelul nr. V-2), din care o specie este prioritară (nurca-Mustela lutreola),  iar 49 de specii sunt cu regim de protecţie strictă.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lastRenderedPageBreak/>
        <w:t xml:space="preserve">Din totalul de 305 </w:t>
      </w:r>
      <w:r w:rsidRPr="00730CFC">
        <w:rPr>
          <w:rFonts w:ascii="Arial" w:hAnsi="Arial" w:cs="Arial"/>
          <w:b/>
          <w:lang w:val="ro-RO"/>
        </w:rPr>
        <w:t>specii de vertebrate</w:t>
      </w:r>
      <w:r w:rsidRPr="00730CFC">
        <w:rPr>
          <w:rFonts w:ascii="Arial" w:hAnsi="Arial" w:cs="Arial"/>
          <w:lang w:val="ro-RO"/>
        </w:rPr>
        <w:t xml:space="preserve"> inventariate la nivelul judeţului, 160 de specii necesită o protecţie strictă, din care 121 de specii sunt de interes comunitar, iar 39 de interes naţional. </w:t>
      </w:r>
    </w:p>
    <w:p w:rsidR="000F4FEA" w:rsidRPr="00730CFC" w:rsidRDefault="000F4FEA" w:rsidP="00012F90">
      <w:pPr>
        <w:pStyle w:val="BodyText21"/>
        <w:widowControl/>
        <w:ind w:firstLine="737"/>
        <w:rPr>
          <w:rFonts w:ascii="Arial" w:hAnsi="Arial" w:cs="Arial"/>
          <w:lang w:val="ro-RO"/>
        </w:rPr>
      </w:pPr>
    </w:p>
    <w:p w:rsidR="000F4FEA" w:rsidRPr="00730CFC" w:rsidRDefault="000F4FEA" w:rsidP="00012F90">
      <w:pPr>
        <w:pStyle w:val="BodyTextIndent"/>
        <w:rPr>
          <w:rFonts w:ascii="Arial" w:hAnsi="Arial" w:cs="Arial"/>
          <w:sz w:val="24"/>
          <w:szCs w:val="24"/>
        </w:rPr>
      </w:pPr>
      <w:r w:rsidRPr="00730CFC">
        <w:rPr>
          <w:rFonts w:ascii="Arial" w:hAnsi="Arial" w:cs="Arial"/>
          <w:sz w:val="24"/>
          <w:szCs w:val="24"/>
          <w:lang w:val="ro-RO"/>
        </w:rPr>
        <w:t>Tabelul nr. V-2.</w:t>
      </w:r>
    </w:p>
    <w:tbl>
      <w:tblPr>
        <w:tblW w:w="9785" w:type="dxa"/>
        <w:tblInd w:w="11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CellMar>
          <w:left w:w="115" w:type="dxa"/>
          <w:right w:w="115" w:type="dxa"/>
        </w:tblCellMar>
        <w:tblLook w:val="0000"/>
      </w:tblPr>
      <w:tblGrid>
        <w:gridCol w:w="644"/>
        <w:gridCol w:w="1274"/>
        <w:gridCol w:w="714"/>
        <w:gridCol w:w="1344"/>
        <w:gridCol w:w="1498"/>
        <w:gridCol w:w="1330"/>
        <w:gridCol w:w="1418"/>
        <w:gridCol w:w="1563"/>
      </w:tblGrid>
      <w:tr w:rsidR="000F4FEA" w:rsidRPr="00730CFC" w:rsidTr="00012F90">
        <w:trPr>
          <w:cantSplit/>
          <w:trHeight w:val="190"/>
        </w:trPr>
        <w:tc>
          <w:tcPr>
            <w:tcW w:w="644" w:type="dxa"/>
            <w:vMerge w:val="restart"/>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Nr.</w:t>
            </w:r>
          </w:p>
          <w:p w:rsidR="000F4FEA" w:rsidRPr="00730CFC" w:rsidRDefault="000F4FEA" w:rsidP="00012F90">
            <w:pPr>
              <w:jc w:val="center"/>
              <w:rPr>
                <w:rFonts w:ascii="Arial" w:hAnsi="Arial" w:cs="Arial"/>
                <w:sz w:val="20"/>
                <w:szCs w:val="20"/>
              </w:rPr>
            </w:pPr>
            <w:r w:rsidRPr="00730CFC">
              <w:rPr>
                <w:rFonts w:ascii="Arial" w:hAnsi="Arial" w:cs="Arial"/>
                <w:sz w:val="20"/>
                <w:szCs w:val="20"/>
              </w:rPr>
              <w:t>crt.</w:t>
            </w:r>
          </w:p>
        </w:tc>
        <w:tc>
          <w:tcPr>
            <w:tcW w:w="1274" w:type="dxa"/>
            <w:vMerge w:val="restart"/>
            <w:shd w:val="clear" w:color="auto" w:fill="FDE9D9" w:themeFill="accent6" w:themeFillTint="33"/>
          </w:tcPr>
          <w:p w:rsidR="000F4FEA" w:rsidRPr="00730CFC" w:rsidRDefault="000F4FEA" w:rsidP="00012F90">
            <w:pPr>
              <w:pStyle w:val="BodyText21"/>
              <w:jc w:val="center"/>
              <w:rPr>
                <w:rFonts w:ascii="Arial" w:hAnsi="Arial" w:cs="Arial"/>
                <w:sz w:val="20"/>
                <w:szCs w:val="20"/>
                <w:lang w:val="ro-RO"/>
              </w:rPr>
            </w:pPr>
            <w:r w:rsidRPr="00730CFC">
              <w:rPr>
                <w:rFonts w:ascii="Arial" w:hAnsi="Arial" w:cs="Arial"/>
                <w:sz w:val="20"/>
                <w:szCs w:val="20"/>
                <w:lang w:val="ro-RO"/>
              </w:rPr>
              <w:t>Grupa</w:t>
            </w:r>
          </w:p>
          <w:p w:rsidR="000F4FEA" w:rsidRPr="00730CFC" w:rsidRDefault="000F4FEA" w:rsidP="00012F90">
            <w:pPr>
              <w:jc w:val="center"/>
              <w:rPr>
                <w:rFonts w:ascii="Arial" w:hAnsi="Arial" w:cs="Arial"/>
                <w:sz w:val="20"/>
                <w:szCs w:val="20"/>
              </w:rPr>
            </w:pPr>
            <w:r w:rsidRPr="00730CFC">
              <w:rPr>
                <w:rFonts w:ascii="Arial" w:hAnsi="Arial" w:cs="Arial"/>
                <w:sz w:val="20"/>
                <w:szCs w:val="20"/>
              </w:rPr>
              <w:t>de specii</w:t>
            </w:r>
          </w:p>
        </w:tc>
        <w:tc>
          <w:tcPr>
            <w:tcW w:w="714" w:type="dxa"/>
            <w:vMerge w:val="restart"/>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Nr.</w:t>
            </w:r>
          </w:p>
          <w:p w:rsidR="000F4FEA" w:rsidRPr="00730CFC" w:rsidRDefault="000F4FEA" w:rsidP="00012F90">
            <w:pPr>
              <w:jc w:val="center"/>
              <w:rPr>
                <w:rFonts w:ascii="Arial" w:hAnsi="Arial" w:cs="Arial"/>
                <w:sz w:val="20"/>
                <w:szCs w:val="20"/>
              </w:rPr>
            </w:pPr>
            <w:r w:rsidRPr="00730CFC">
              <w:rPr>
                <w:rFonts w:ascii="Arial" w:hAnsi="Arial" w:cs="Arial"/>
                <w:sz w:val="20"/>
                <w:szCs w:val="20"/>
              </w:rPr>
              <w:t>spe</w:t>
            </w:r>
          </w:p>
          <w:p w:rsidR="000F4FEA" w:rsidRPr="00730CFC" w:rsidRDefault="000F4FEA" w:rsidP="00012F90">
            <w:pPr>
              <w:jc w:val="center"/>
              <w:rPr>
                <w:rFonts w:ascii="Arial" w:hAnsi="Arial" w:cs="Arial"/>
                <w:sz w:val="20"/>
                <w:szCs w:val="20"/>
              </w:rPr>
            </w:pPr>
            <w:r w:rsidRPr="00730CFC">
              <w:rPr>
                <w:rFonts w:ascii="Arial" w:hAnsi="Arial" w:cs="Arial"/>
                <w:sz w:val="20"/>
                <w:szCs w:val="20"/>
              </w:rPr>
              <w:t>cii</w:t>
            </w:r>
          </w:p>
        </w:tc>
        <w:tc>
          <w:tcPr>
            <w:tcW w:w="7153" w:type="dxa"/>
            <w:gridSpan w:val="5"/>
            <w:shd w:val="clear" w:color="auto" w:fill="FDE9D9" w:themeFill="accent6" w:themeFillTint="33"/>
          </w:tcPr>
          <w:p w:rsidR="000F4FEA" w:rsidRPr="00730CFC" w:rsidRDefault="000F4FEA" w:rsidP="00012F90">
            <w:pPr>
              <w:pStyle w:val="Heading5"/>
              <w:spacing w:before="0" w:after="0"/>
              <w:jc w:val="center"/>
              <w:rPr>
                <w:rFonts w:ascii="Arial" w:hAnsi="Arial" w:cs="Arial"/>
                <w:sz w:val="20"/>
                <w:szCs w:val="20"/>
              </w:rPr>
            </w:pPr>
            <w:r w:rsidRPr="00730CFC">
              <w:rPr>
                <w:rFonts w:ascii="Arial" w:hAnsi="Arial" w:cs="Arial"/>
                <w:sz w:val="20"/>
                <w:szCs w:val="20"/>
              </w:rPr>
              <w:t>OUG 57/2007</w:t>
            </w:r>
          </w:p>
        </w:tc>
      </w:tr>
      <w:tr w:rsidR="000F4FEA" w:rsidRPr="00730CFC" w:rsidTr="00012F90">
        <w:trPr>
          <w:cantSplit/>
          <w:trHeight w:val="269"/>
        </w:trPr>
        <w:tc>
          <w:tcPr>
            <w:tcW w:w="644" w:type="dxa"/>
            <w:vMerge/>
            <w:shd w:val="clear" w:color="auto" w:fill="FDE9D9" w:themeFill="accent6" w:themeFillTint="33"/>
          </w:tcPr>
          <w:p w:rsidR="000F4FEA" w:rsidRPr="00730CFC" w:rsidRDefault="000F4FEA" w:rsidP="00012F90">
            <w:pPr>
              <w:jc w:val="center"/>
              <w:rPr>
                <w:rFonts w:ascii="Arial" w:hAnsi="Arial" w:cs="Arial"/>
                <w:sz w:val="20"/>
                <w:szCs w:val="20"/>
              </w:rPr>
            </w:pPr>
          </w:p>
        </w:tc>
        <w:tc>
          <w:tcPr>
            <w:tcW w:w="1274" w:type="dxa"/>
            <w:vMerge/>
            <w:shd w:val="clear" w:color="auto" w:fill="FDE9D9" w:themeFill="accent6" w:themeFillTint="33"/>
          </w:tcPr>
          <w:p w:rsidR="000F4FEA" w:rsidRPr="00730CFC" w:rsidRDefault="000F4FEA" w:rsidP="00012F90">
            <w:pPr>
              <w:jc w:val="center"/>
              <w:rPr>
                <w:rFonts w:ascii="Arial" w:hAnsi="Arial" w:cs="Arial"/>
                <w:sz w:val="20"/>
                <w:szCs w:val="20"/>
              </w:rPr>
            </w:pPr>
          </w:p>
        </w:tc>
        <w:tc>
          <w:tcPr>
            <w:tcW w:w="714" w:type="dxa"/>
            <w:vMerge/>
            <w:shd w:val="clear" w:color="auto" w:fill="FDE9D9" w:themeFill="accent6" w:themeFillTint="33"/>
          </w:tcPr>
          <w:p w:rsidR="000F4FEA" w:rsidRPr="00730CFC" w:rsidRDefault="000F4FEA" w:rsidP="00012F90">
            <w:pPr>
              <w:jc w:val="center"/>
              <w:rPr>
                <w:rFonts w:ascii="Arial" w:hAnsi="Arial" w:cs="Arial"/>
                <w:sz w:val="20"/>
                <w:szCs w:val="20"/>
              </w:rPr>
            </w:pPr>
          </w:p>
        </w:tc>
        <w:tc>
          <w:tcPr>
            <w:tcW w:w="1344" w:type="dxa"/>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Anexa 3-</w:t>
            </w:r>
          </w:p>
          <w:p w:rsidR="000F4FEA" w:rsidRPr="00730CFC" w:rsidRDefault="000F4FEA" w:rsidP="00012F90">
            <w:pPr>
              <w:jc w:val="center"/>
              <w:rPr>
                <w:rFonts w:ascii="Arial" w:hAnsi="Arial" w:cs="Arial"/>
                <w:sz w:val="20"/>
                <w:szCs w:val="20"/>
              </w:rPr>
            </w:pPr>
            <w:r w:rsidRPr="00730CFC">
              <w:rPr>
                <w:rFonts w:ascii="Arial" w:hAnsi="Arial" w:cs="Arial"/>
                <w:sz w:val="20"/>
                <w:szCs w:val="20"/>
              </w:rPr>
              <w:t>Specii a căror conservare necesită desemnarea ariilor speciale de conservare şi a ariilor de protecţie specială avifaunistică</w:t>
            </w:r>
          </w:p>
        </w:tc>
        <w:tc>
          <w:tcPr>
            <w:tcW w:w="1498" w:type="dxa"/>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Anexa 4</w:t>
            </w:r>
            <w:r w:rsidRPr="00730CFC">
              <w:rPr>
                <w:rFonts w:ascii="Arial" w:hAnsi="Arial" w:cs="Arial"/>
                <w:sz w:val="20"/>
                <w:szCs w:val="20"/>
                <w:vertAlign w:val="superscript"/>
              </w:rPr>
              <w:t>A</w:t>
            </w:r>
            <w:r w:rsidRPr="00730CFC">
              <w:rPr>
                <w:rFonts w:ascii="Arial" w:hAnsi="Arial" w:cs="Arial"/>
                <w:sz w:val="20"/>
                <w:szCs w:val="20"/>
              </w:rPr>
              <w:t>-</w:t>
            </w:r>
          </w:p>
          <w:p w:rsidR="000F4FEA" w:rsidRPr="00730CFC" w:rsidRDefault="000F4FEA" w:rsidP="00012F90">
            <w:pPr>
              <w:pStyle w:val="Footer"/>
              <w:jc w:val="center"/>
              <w:rPr>
                <w:rFonts w:ascii="Arial" w:hAnsi="Arial" w:cs="Arial"/>
                <w:sz w:val="20"/>
                <w:szCs w:val="20"/>
                <w:lang w:val="ro-RO"/>
              </w:rPr>
            </w:pPr>
            <w:r w:rsidRPr="00730CFC">
              <w:rPr>
                <w:rFonts w:ascii="Arial" w:hAnsi="Arial" w:cs="Arial"/>
                <w:sz w:val="20"/>
                <w:szCs w:val="20"/>
                <w:lang w:val="ro-RO"/>
              </w:rPr>
              <w:t>Specii de interes comunitar care necesită o protecţie strictă</w:t>
            </w:r>
          </w:p>
        </w:tc>
        <w:tc>
          <w:tcPr>
            <w:tcW w:w="1330" w:type="dxa"/>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Anexa 4</w:t>
            </w:r>
            <w:r w:rsidRPr="00730CFC">
              <w:rPr>
                <w:rFonts w:ascii="Arial" w:hAnsi="Arial" w:cs="Arial"/>
                <w:sz w:val="20"/>
                <w:szCs w:val="20"/>
                <w:vertAlign w:val="superscript"/>
              </w:rPr>
              <w:t xml:space="preserve">B </w:t>
            </w:r>
            <w:r w:rsidRPr="00730CFC">
              <w:rPr>
                <w:rFonts w:ascii="Arial" w:hAnsi="Arial" w:cs="Arial"/>
                <w:sz w:val="20"/>
                <w:szCs w:val="20"/>
              </w:rPr>
              <w:t>-</w:t>
            </w:r>
          </w:p>
          <w:p w:rsidR="000F4FEA" w:rsidRPr="00730CFC" w:rsidRDefault="000F4FEA" w:rsidP="00012F90">
            <w:pPr>
              <w:jc w:val="center"/>
              <w:rPr>
                <w:rFonts w:ascii="Arial" w:hAnsi="Arial" w:cs="Arial"/>
                <w:sz w:val="20"/>
                <w:szCs w:val="20"/>
              </w:rPr>
            </w:pPr>
            <w:r w:rsidRPr="00730CFC">
              <w:rPr>
                <w:rFonts w:ascii="Arial" w:hAnsi="Arial" w:cs="Arial"/>
                <w:sz w:val="20"/>
                <w:szCs w:val="20"/>
              </w:rPr>
              <w:t>Specii de interes naţional care necesită o protecţie strictă</w:t>
            </w:r>
          </w:p>
        </w:tc>
        <w:tc>
          <w:tcPr>
            <w:tcW w:w="1418" w:type="dxa"/>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Anexa 5</w:t>
            </w:r>
            <w:r w:rsidRPr="00730CFC">
              <w:rPr>
                <w:rFonts w:ascii="Arial" w:hAnsi="Arial" w:cs="Arial"/>
                <w:sz w:val="20"/>
                <w:szCs w:val="20"/>
                <w:vertAlign w:val="superscript"/>
              </w:rPr>
              <w:t>A</w:t>
            </w:r>
            <w:r w:rsidRPr="00730CFC">
              <w:rPr>
                <w:rFonts w:ascii="Arial" w:hAnsi="Arial" w:cs="Arial"/>
                <w:sz w:val="20"/>
                <w:szCs w:val="20"/>
              </w:rPr>
              <w:t>-</w:t>
            </w:r>
          </w:p>
          <w:p w:rsidR="000F4FEA" w:rsidRPr="00730CFC" w:rsidRDefault="000F4FEA" w:rsidP="00012F90">
            <w:pPr>
              <w:jc w:val="center"/>
              <w:rPr>
                <w:rFonts w:ascii="Arial" w:hAnsi="Arial" w:cs="Arial"/>
                <w:sz w:val="20"/>
                <w:szCs w:val="20"/>
              </w:rPr>
            </w:pPr>
            <w:r w:rsidRPr="00730CFC">
              <w:rPr>
                <w:rFonts w:ascii="Arial" w:hAnsi="Arial" w:cs="Arial"/>
                <w:sz w:val="20"/>
                <w:szCs w:val="20"/>
              </w:rPr>
              <w:t>Specii de interes comunitar a căror prelevare din natură şi exploatare fac obiectul măsurilor de management</w:t>
            </w:r>
          </w:p>
        </w:tc>
        <w:tc>
          <w:tcPr>
            <w:tcW w:w="1563" w:type="dxa"/>
            <w:shd w:val="clear" w:color="auto" w:fill="FDE9D9" w:themeFill="accent6" w:themeFillTint="33"/>
          </w:tcPr>
          <w:p w:rsidR="000F4FEA" w:rsidRPr="00730CFC" w:rsidRDefault="000F4FEA" w:rsidP="00012F90">
            <w:pPr>
              <w:jc w:val="center"/>
              <w:rPr>
                <w:rFonts w:ascii="Arial" w:hAnsi="Arial" w:cs="Arial"/>
                <w:sz w:val="20"/>
                <w:szCs w:val="20"/>
              </w:rPr>
            </w:pPr>
            <w:r w:rsidRPr="00730CFC">
              <w:rPr>
                <w:rFonts w:ascii="Arial" w:hAnsi="Arial" w:cs="Arial"/>
                <w:sz w:val="20"/>
                <w:szCs w:val="20"/>
              </w:rPr>
              <w:t>Anexa 5</w:t>
            </w:r>
            <w:r w:rsidRPr="00730CFC">
              <w:rPr>
                <w:rFonts w:ascii="Arial" w:hAnsi="Arial" w:cs="Arial"/>
                <w:sz w:val="20"/>
                <w:szCs w:val="20"/>
                <w:vertAlign w:val="superscript"/>
              </w:rPr>
              <w:t>B</w:t>
            </w:r>
            <w:r w:rsidRPr="00730CFC">
              <w:rPr>
                <w:rFonts w:ascii="Arial" w:hAnsi="Arial" w:cs="Arial"/>
                <w:sz w:val="20"/>
                <w:szCs w:val="20"/>
              </w:rPr>
              <w:t>-</w:t>
            </w:r>
          </w:p>
          <w:p w:rsidR="000F4FEA" w:rsidRPr="00730CFC" w:rsidRDefault="000F4FEA" w:rsidP="00012F90">
            <w:pPr>
              <w:jc w:val="center"/>
              <w:rPr>
                <w:rFonts w:ascii="Arial" w:hAnsi="Arial" w:cs="Arial"/>
                <w:sz w:val="20"/>
                <w:szCs w:val="20"/>
              </w:rPr>
            </w:pPr>
            <w:r w:rsidRPr="00730CFC">
              <w:rPr>
                <w:rFonts w:ascii="Arial" w:hAnsi="Arial" w:cs="Arial"/>
                <w:sz w:val="20"/>
                <w:szCs w:val="20"/>
              </w:rPr>
              <w:t>Specii de animale de interes naţional a căror prelevare din natură şi exploatare fac obiectul măsurilor de management</w:t>
            </w:r>
          </w:p>
        </w:tc>
      </w:tr>
      <w:tr w:rsidR="000F4FEA" w:rsidRPr="00730CFC" w:rsidTr="00012F90">
        <w:tc>
          <w:tcPr>
            <w:tcW w:w="644" w:type="dxa"/>
            <w:shd w:val="clear" w:color="auto" w:fill="FDE9D9" w:themeFill="accent6" w:themeFillTint="33"/>
            <w:vAlign w:val="center"/>
          </w:tcPr>
          <w:p w:rsidR="000F4FEA" w:rsidRPr="00730CFC" w:rsidRDefault="000F4FEA" w:rsidP="005E6B2E">
            <w:pPr>
              <w:numPr>
                <w:ilvl w:val="0"/>
                <w:numId w:val="44"/>
              </w:numPr>
              <w:jc w:val="center"/>
              <w:rPr>
                <w:rFonts w:ascii="Arial" w:hAnsi="Arial" w:cs="Arial"/>
                <w:sz w:val="20"/>
                <w:szCs w:val="20"/>
              </w:rPr>
            </w:pPr>
          </w:p>
        </w:tc>
        <w:tc>
          <w:tcPr>
            <w:tcW w:w="1274" w:type="dxa"/>
            <w:shd w:val="clear" w:color="auto" w:fill="FDE9D9" w:themeFill="accent6" w:themeFillTint="33"/>
            <w:vAlign w:val="center"/>
          </w:tcPr>
          <w:p w:rsidR="000F4FEA" w:rsidRPr="00730CFC" w:rsidRDefault="000F4FEA" w:rsidP="00012F90">
            <w:pPr>
              <w:jc w:val="center"/>
              <w:rPr>
                <w:rFonts w:ascii="Arial" w:hAnsi="Arial" w:cs="Arial"/>
                <w:iCs/>
                <w:sz w:val="20"/>
                <w:szCs w:val="20"/>
              </w:rPr>
            </w:pPr>
            <w:r w:rsidRPr="00730CFC">
              <w:rPr>
                <w:rFonts w:ascii="Arial" w:hAnsi="Arial" w:cs="Arial"/>
                <w:iCs/>
                <w:sz w:val="20"/>
                <w:szCs w:val="20"/>
              </w:rPr>
              <w:t>Peşti</w:t>
            </w:r>
          </w:p>
        </w:tc>
        <w:tc>
          <w:tcPr>
            <w:tcW w:w="71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67</w:t>
            </w:r>
          </w:p>
        </w:tc>
        <w:tc>
          <w:tcPr>
            <w:tcW w:w="134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16</w:t>
            </w:r>
          </w:p>
        </w:tc>
        <w:tc>
          <w:tcPr>
            <w:tcW w:w="149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5</w:t>
            </w:r>
          </w:p>
        </w:tc>
        <w:tc>
          <w:tcPr>
            <w:tcW w:w="1330"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5</w:t>
            </w:r>
          </w:p>
        </w:tc>
        <w:tc>
          <w:tcPr>
            <w:tcW w:w="141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7</w:t>
            </w:r>
          </w:p>
        </w:tc>
        <w:tc>
          <w:tcPr>
            <w:tcW w:w="1563"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r>
      <w:tr w:rsidR="000F4FEA" w:rsidRPr="00730CFC" w:rsidTr="00012F90">
        <w:tc>
          <w:tcPr>
            <w:tcW w:w="644" w:type="dxa"/>
            <w:shd w:val="clear" w:color="auto" w:fill="FDE9D9" w:themeFill="accent6" w:themeFillTint="33"/>
            <w:vAlign w:val="center"/>
          </w:tcPr>
          <w:p w:rsidR="000F4FEA" w:rsidRPr="00730CFC" w:rsidRDefault="000F4FEA" w:rsidP="005E6B2E">
            <w:pPr>
              <w:numPr>
                <w:ilvl w:val="0"/>
                <w:numId w:val="44"/>
              </w:numPr>
              <w:jc w:val="center"/>
              <w:rPr>
                <w:rFonts w:ascii="Arial" w:hAnsi="Arial" w:cs="Arial"/>
                <w:sz w:val="20"/>
                <w:szCs w:val="20"/>
              </w:rPr>
            </w:pPr>
          </w:p>
        </w:tc>
        <w:tc>
          <w:tcPr>
            <w:tcW w:w="1274" w:type="dxa"/>
            <w:shd w:val="clear" w:color="auto" w:fill="FDE9D9" w:themeFill="accent6" w:themeFillTint="33"/>
            <w:vAlign w:val="center"/>
          </w:tcPr>
          <w:p w:rsidR="000F4FEA" w:rsidRPr="00730CFC" w:rsidRDefault="000F4FEA" w:rsidP="00012F90">
            <w:pPr>
              <w:pStyle w:val="Heading1"/>
              <w:spacing w:before="0" w:after="0"/>
              <w:jc w:val="center"/>
              <w:rPr>
                <w:b w:val="0"/>
                <w:sz w:val="20"/>
                <w:szCs w:val="20"/>
              </w:rPr>
            </w:pPr>
            <w:r w:rsidRPr="00730CFC">
              <w:rPr>
                <w:b w:val="0"/>
                <w:sz w:val="20"/>
                <w:szCs w:val="20"/>
              </w:rPr>
              <w:t>Amfibieni</w:t>
            </w:r>
          </w:p>
        </w:tc>
        <w:tc>
          <w:tcPr>
            <w:tcW w:w="71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7</w:t>
            </w:r>
          </w:p>
        </w:tc>
        <w:tc>
          <w:tcPr>
            <w:tcW w:w="134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3</w:t>
            </w:r>
          </w:p>
        </w:tc>
        <w:tc>
          <w:tcPr>
            <w:tcW w:w="149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3</w:t>
            </w:r>
          </w:p>
        </w:tc>
        <w:tc>
          <w:tcPr>
            <w:tcW w:w="1330"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c>
          <w:tcPr>
            <w:tcW w:w="141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2</w:t>
            </w:r>
          </w:p>
        </w:tc>
        <w:tc>
          <w:tcPr>
            <w:tcW w:w="1563"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r>
      <w:tr w:rsidR="000F4FEA" w:rsidRPr="00730CFC" w:rsidTr="00012F90">
        <w:tc>
          <w:tcPr>
            <w:tcW w:w="644" w:type="dxa"/>
            <w:shd w:val="clear" w:color="auto" w:fill="FDE9D9" w:themeFill="accent6" w:themeFillTint="33"/>
            <w:vAlign w:val="center"/>
          </w:tcPr>
          <w:p w:rsidR="000F4FEA" w:rsidRPr="00730CFC" w:rsidRDefault="000F4FEA" w:rsidP="005E6B2E">
            <w:pPr>
              <w:numPr>
                <w:ilvl w:val="0"/>
                <w:numId w:val="44"/>
              </w:numPr>
              <w:jc w:val="center"/>
              <w:rPr>
                <w:rFonts w:ascii="Arial" w:hAnsi="Arial" w:cs="Arial"/>
                <w:sz w:val="20"/>
                <w:szCs w:val="20"/>
              </w:rPr>
            </w:pPr>
          </w:p>
        </w:tc>
        <w:tc>
          <w:tcPr>
            <w:tcW w:w="1274" w:type="dxa"/>
            <w:shd w:val="clear" w:color="auto" w:fill="FDE9D9" w:themeFill="accent6" w:themeFillTint="33"/>
            <w:vAlign w:val="center"/>
          </w:tcPr>
          <w:p w:rsidR="000F4FEA" w:rsidRPr="00730CFC" w:rsidRDefault="000F4FEA" w:rsidP="00012F90">
            <w:pPr>
              <w:pStyle w:val="Heading1"/>
              <w:spacing w:before="0" w:after="0"/>
              <w:jc w:val="center"/>
              <w:rPr>
                <w:b w:val="0"/>
                <w:sz w:val="20"/>
                <w:szCs w:val="20"/>
              </w:rPr>
            </w:pPr>
            <w:r w:rsidRPr="00730CFC">
              <w:rPr>
                <w:b w:val="0"/>
                <w:sz w:val="20"/>
                <w:szCs w:val="20"/>
              </w:rPr>
              <w:t>Reptile</w:t>
            </w:r>
          </w:p>
        </w:tc>
        <w:tc>
          <w:tcPr>
            <w:tcW w:w="71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5</w:t>
            </w:r>
          </w:p>
        </w:tc>
        <w:tc>
          <w:tcPr>
            <w:tcW w:w="134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1</w:t>
            </w:r>
          </w:p>
        </w:tc>
        <w:tc>
          <w:tcPr>
            <w:tcW w:w="149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5</w:t>
            </w:r>
          </w:p>
        </w:tc>
        <w:tc>
          <w:tcPr>
            <w:tcW w:w="1330"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c>
          <w:tcPr>
            <w:tcW w:w="141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c>
          <w:tcPr>
            <w:tcW w:w="1563"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r>
      <w:tr w:rsidR="000F4FEA" w:rsidRPr="00730CFC" w:rsidTr="00012F90">
        <w:tc>
          <w:tcPr>
            <w:tcW w:w="644" w:type="dxa"/>
            <w:shd w:val="clear" w:color="auto" w:fill="FDE9D9" w:themeFill="accent6" w:themeFillTint="33"/>
            <w:vAlign w:val="center"/>
          </w:tcPr>
          <w:p w:rsidR="000F4FEA" w:rsidRPr="00730CFC" w:rsidRDefault="000F4FEA" w:rsidP="005E6B2E">
            <w:pPr>
              <w:numPr>
                <w:ilvl w:val="0"/>
                <w:numId w:val="44"/>
              </w:numPr>
              <w:jc w:val="center"/>
              <w:rPr>
                <w:rFonts w:ascii="Arial" w:hAnsi="Arial" w:cs="Arial"/>
                <w:sz w:val="20"/>
                <w:szCs w:val="20"/>
              </w:rPr>
            </w:pPr>
          </w:p>
        </w:tc>
        <w:tc>
          <w:tcPr>
            <w:tcW w:w="1274" w:type="dxa"/>
            <w:shd w:val="clear" w:color="auto" w:fill="FDE9D9" w:themeFill="accent6" w:themeFillTint="33"/>
            <w:vAlign w:val="center"/>
          </w:tcPr>
          <w:p w:rsidR="000F4FEA" w:rsidRPr="00730CFC" w:rsidRDefault="000F4FEA" w:rsidP="00012F90">
            <w:pPr>
              <w:pStyle w:val="Heading1"/>
              <w:spacing w:before="0" w:after="0"/>
              <w:jc w:val="center"/>
              <w:rPr>
                <w:b w:val="0"/>
                <w:sz w:val="20"/>
                <w:szCs w:val="20"/>
              </w:rPr>
            </w:pPr>
            <w:r w:rsidRPr="00730CFC">
              <w:rPr>
                <w:b w:val="0"/>
                <w:sz w:val="20"/>
                <w:szCs w:val="20"/>
              </w:rPr>
              <w:t>Păsări</w:t>
            </w:r>
          </w:p>
        </w:tc>
        <w:tc>
          <w:tcPr>
            <w:tcW w:w="71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208</w:t>
            </w:r>
          </w:p>
        </w:tc>
        <w:tc>
          <w:tcPr>
            <w:tcW w:w="134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64</w:t>
            </w:r>
          </w:p>
        </w:tc>
        <w:tc>
          <w:tcPr>
            <w:tcW w:w="149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c>
          <w:tcPr>
            <w:tcW w:w="1330"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25</w:t>
            </w:r>
          </w:p>
        </w:tc>
        <w:tc>
          <w:tcPr>
            <w:tcW w:w="141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c>
          <w:tcPr>
            <w:tcW w:w="1563"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r>
      <w:tr w:rsidR="000F4FEA" w:rsidRPr="00730CFC" w:rsidTr="00012F90">
        <w:tc>
          <w:tcPr>
            <w:tcW w:w="644" w:type="dxa"/>
            <w:shd w:val="clear" w:color="auto" w:fill="FDE9D9" w:themeFill="accent6" w:themeFillTint="33"/>
            <w:vAlign w:val="center"/>
          </w:tcPr>
          <w:p w:rsidR="000F4FEA" w:rsidRPr="00730CFC" w:rsidRDefault="000F4FEA" w:rsidP="005E6B2E">
            <w:pPr>
              <w:numPr>
                <w:ilvl w:val="0"/>
                <w:numId w:val="44"/>
              </w:numPr>
              <w:jc w:val="center"/>
              <w:rPr>
                <w:rFonts w:ascii="Arial" w:hAnsi="Arial" w:cs="Arial"/>
                <w:sz w:val="20"/>
                <w:szCs w:val="20"/>
              </w:rPr>
            </w:pPr>
          </w:p>
        </w:tc>
        <w:tc>
          <w:tcPr>
            <w:tcW w:w="1274" w:type="dxa"/>
            <w:shd w:val="clear" w:color="auto" w:fill="FDE9D9" w:themeFill="accent6" w:themeFillTint="33"/>
            <w:vAlign w:val="center"/>
          </w:tcPr>
          <w:p w:rsidR="000F4FEA" w:rsidRPr="00730CFC" w:rsidRDefault="000F4FEA" w:rsidP="00012F90">
            <w:pPr>
              <w:pStyle w:val="Heading1"/>
              <w:spacing w:before="0" w:after="0"/>
              <w:jc w:val="center"/>
              <w:rPr>
                <w:b w:val="0"/>
                <w:sz w:val="20"/>
                <w:szCs w:val="20"/>
              </w:rPr>
            </w:pPr>
            <w:r w:rsidRPr="00730CFC">
              <w:rPr>
                <w:b w:val="0"/>
                <w:sz w:val="20"/>
                <w:szCs w:val="20"/>
              </w:rPr>
              <w:t>Mamifere</w:t>
            </w:r>
          </w:p>
        </w:tc>
        <w:tc>
          <w:tcPr>
            <w:tcW w:w="71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18</w:t>
            </w:r>
          </w:p>
        </w:tc>
        <w:tc>
          <w:tcPr>
            <w:tcW w:w="134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6</w:t>
            </w:r>
          </w:p>
        </w:tc>
        <w:tc>
          <w:tcPr>
            <w:tcW w:w="149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6</w:t>
            </w:r>
          </w:p>
        </w:tc>
        <w:tc>
          <w:tcPr>
            <w:tcW w:w="1330"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w:t>
            </w:r>
          </w:p>
        </w:tc>
        <w:tc>
          <w:tcPr>
            <w:tcW w:w="141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3</w:t>
            </w:r>
          </w:p>
        </w:tc>
        <w:tc>
          <w:tcPr>
            <w:tcW w:w="1563"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9</w:t>
            </w:r>
          </w:p>
        </w:tc>
      </w:tr>
      <w:tr w:rsidR="000F4FEA" w:rsidRPr="00730CFC" w:rsidTr="00012F90">
        <w:tc>
          <w:tcPr>
            <w:tcW w:w="1918" w:type="dxa"/>
            <w:gridSpan w:val="2"/>
            <w:shd w:val="clear" w:color="auto" w:fill="FDE9D9" w:themeFill="accent6" w:themeFillTint="33"/>
            <w:vAlign w:val="center"/>
          </w:tcPr>
          <w:p w:rsidR="000F4FEA" w:rsidRPr="00730CFC" w:rsidRDefault="000F4FEA" w:rsidP="00012F90">
            <w:pPr>
              <w:pStyle w:val="Heading1"/>
              <w:spacing w:before="0" w:after="0"/>
              <w:jc w:val="center"/>
              <w:rPr>
                <w:b w:val="0"/>
                <w:iCs/>
                <w:sz w:val="20"/>
                <w:szCs w:val="20"/>
              </w:rPr>
            </w:pPr>
            <w:r w:rsidRPr="00730CFC">
              <w:rPr>
                <w:b w:val="0"/>
                <w:iCs/>
                <w:sz w:val="20"/>
                <w:szCs w:val="20"/>
              </w:rPr>
              <w:t>Total</w:t>
            </w:r>
          </w:p>
        </w:tc>
        <w:tc>
          <w:tcPr>
            <w:tcW w:w="71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305</w:t>
            </w:r>
          </w:p>
        </w:tc>
        <w:tc>
          <w:tcPr>
            <w:tcW w:w="1344"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90</w:t>
            </w:r>
          </w:p>
        </w:tc>
        <w:tc>
          <w:tcPr>
            <w:tcW w:w="149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19</w:t>
            </w:r>
          </w:p>
        </w:tc>
        <w:tc>
          <w:tcPr>
            <w:tcW w:w="1330"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30</w:t>
            </w:r>
          </w:p>
        </w:tc>
        <w:tc>
          <w:tcPr>
            <w:tcW w:w="1418"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12</w:t>
            </w:r>
          </w:p>
        </w:tc>
        <w:tc>
          <w:tcPr>
            <w:tcW w:w="1563" w:type="dxa"/>
            <w:shd w:val="clear" w:color="auto" w:fill="FDE9D9" w:themeFill="accent6" w:themeFillTint="33"/>
            <w:vAlign w:val="center"/>
          </w:tcPr>
          <w:p w:rsidR="000F4FEA" w:rsidRPr="00730CFC" w:rsidRDefault="000F4FEA" w:rsidP="00012F90">
            <w:pPr>
              <w:jc w:val="center"/>
              <w:rPr>
                <w:rFonts w:ascii="Arial" w:hAnsi="Arial" w:cs="Arial"/>
                <w:sz w:val="20"/>
                <w:szCs w:val="20"/>
              </w:rPr>
            </w:pPr>
            <w:r w:rsidRPr="00730CFC">
              <w:rPr>
                <w:rFonts w:ascii="Arial" w:hAnsi="Arial" w:cs="Arial"/>
                <w:sz w:val="20"/>
                <w:szCs w:val="20"/>
              </w:rPr>
              <w:t>9</w:t>
            </w:r>
          </w:p>
        </w:tc>
      </w:tr>
    </w:tbl>
    <w:p w:rsidR="000F4FEA" w:rsidRPr="00730CFC" w:rsidRDefault="000F4FEA" w:rsidP="00012F90">
      <w:pPr>
        <w:pStyle w:val="BodyTextIndent"/>
        <w:rPr>
          <w:rFonts w:ascii="Arial" w:hAnsi="Arial" w:cs="Arial"/>
          <w:sz w:val="24"/>
          <w:szCs w:val="24"/>
        </w:rPr>
      </w:pPr>
    </w:p>
    <w:p w:rsidR="000F4FEA" w:rsidRPr="00730CFC" w:rsidRDefault="000F4FEA" w:rsidP="00012F90">
      <w:pPr>
        <w:pStyle w:val="BodyText21"/>
        <w:widowControl/>
        <w:rPr>
          <w:rFonts w:ascii="Arial" w:hAnsi="Arial" w:cs="Arial"/>
          <w:lang w:val="ro-RO"/>
        </w:rPr>
      </w:pPr>
      <w:r w:rsidRPr="00730CFC">
        <w:rPr>
          <w:rFonts w:ascii="Arial" w:hAnsi="Arial" w:cs="Arial"/>
          <w:lang w:val="ro-RO"/>
        </w:rPr>
        <w:t>Prezenţa în anumite zone din judeţul Brăila a speciilor listate pe anexele 3-5 ale OUG nr. 57/2007 a stat la baza declarării siturilor Natura 2000.</w:t>
      </w:r>
      <w:r w:rsidRPr="00730CFC">
        <w:rPr>
          <w:rFonts w:ascii="Arial" w:hAnsi="Arial" w:cs="Arial"/>
          <w:lang w:val="ro-RO"/>
        </w:rPr>
        <w:tab/>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Dintre cele 67 de specii de peşti inventariate, 4 specii sunt vulnerabile şi 4 sunt periclitate, o specie - păstrăvul de mare (Salmo trutta labrax)- fiind critic periclitată. 2 specii de amfibieni din cele 7 inventariate la nivelul judeţului sunt vulnerabile, 3 sunt aproape ameninţate, iar tritonul cu creastă dobrogean (Triturus dobrogicus) este periclitat fiind observat în lunca Dunării, în zone ce fac parte din siturile de importanţă comunitară ROSCI0006 Balta Mică a Brăilei şi ROSCI0012 Braţul Măcin.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Dintre speciile de păsări, 22 sunt vulnerabile, 13 specii sunt periclitate şi 3 critic periclitate (gârliţă mică, codalb şi acvilă ţipătoare mare).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Din totalul speciilor de mamifere inventariate, 6 specii sunt vulnerabile.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Situaţia privind starea de conservare a vertebratelor inventariate pentru judeţul Brăila poate fi sintetizată conform tabelului nr. V-3 :</w:t>
      </w:r>
    </w:p>
    <w:p w:rsidR="000F4FEA" w:rsidRPr="00730CFC" w:rsidRDefault="000F4FEA" w:rsidP="00012F90">
      <w:pPr>
        <w:pStyle w:val="BodyTextIndent"/>
        <w:rPr>
          <w:rFonts w:ascii="Arial" w:hAnsi="Arial" w:cs="Arial"/>
          <w:sz w:val="24"/>
          <w:szCs w:val="24"/>
        </w:rPr>
      </w:pPr>
    </w:p>
    <w:p w:rsidR="000F4FEA" w:rsidRPr="00730CFC" w:rsidRDefault="000F4FEA" w:rsidP="00012F90">
      <w:pPr>
        <w:pStyle w:val="BodyTextIndent"/>
        <w:rPr>
          <w:rFonts w:ascii="Arial" w:hAnsi="Arial" w:cs="Arial"/>
          <w:sz w:val="24"/>
          <w:szCs w:val="24"/>
        </w:rPr>
      </w:pPr>
      <w:r w:rsidRPr="00730CFC">
        <w:rPr>
          <w:rFonts w:ascii="Arial" w:hAnsi="Arial" w:cs="Arial"/>
          <w:sz w:val="24"/>
          <w:szCs w:val="24"/>
        </w:rPr>
        <w:t>Tabel nr. V-3.</w:t>
      </w:r>
    </w:p>
    <w:tbl>
      <w:tblPr>
        <w:tblStyle w:val="TableGrid"/>
        <w:tblW w:w="9589" w:type="dxa"/>
        <w:tblInd w:w="304" w:type="dxa"/>
        <w:shd w:val="clear" w:color="auto" w:fill="FDE9D9" w:themeFill="accent6" w:themeFillTint="33"/>
        <w:tblLayout w:type="fixed"/>
        <w:tblLook w:val="01E0"/>
      </w:tblPr>
      <w:tblGrid>
        <w:gridCol w:w="630"/>
        <w:gridCol w:w="1582"/>
        <w:gridCol w:w="1400"/>
        <w:gridCol w:w="1498"/>
        <w:gridCol w:w="1539"/>
        <w:gridCol w:w="1372"/>
        <w:gridCol w:w="1568"/>
      </w:tblGrid>
      <w:tr w:rsidR="000F4FEA" w:rsidRPr="00730CFC" w:rsidTr="00012F90">
        <w:tc>
          <w:tcPr>
            <w:tcW w:w="630" w:type="dxa"/>
            <w:vMerge w:val="restart"/>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Nr. crt.</w:t>
            </w:r>
          </w:p>
        </w:tc>
        <w:tc>
          <w:tcPr>
            <w:tcW w:w="1582" w:type="dxa"/>
            <w:vMerge w:val="restart"/>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Grupa de vertebrate</w:t>
            </w:r>
          </w:p>
        </w:tc>
        <w:tc>
          <w:tcPr>
            <w:tcW w:w="1400" w:type="dxa"/>
            <w:vMerge w:val="restart"/>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Nr. specii</w:t>
            </w:r>
          </w:p>
        </w:tc>
        <w:tc>
          <w:tcPr>
            <w:tcW w:w="5977" w:type="dxa"/>
            <w:gridSpan w:val="4"/>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Statut</w:t>
            </w:r>
          </w:p>
        </w:tc>
      </w:tr>
      <w:tr w:rsidR="000F4FEA" w:rsidRPr="00730CFC" w:rsidTr="00012F90">
        <w:tc>
          <w:tcPr>
            <w:tcW w:w="630" w:type="dxa"/>
            <w:vMerge/>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p>
        </w:tc>
        <w:tc>
          <w:tcPr>
            <w:tcW w:w="1582" w:type="dxa"/>
            <w:vMerge/>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p>
        </w:tc>
        <w:tc>
          <w:tcPr>
            <w:tcW w:w="1400" w:type="dxa"/>
            <w:vMerge/>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p>
        </w:tc>
        <w:tc>
          <w:tcPr>
            <w:tcW w:w="1498" w:type="dxa"/>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Vulnerabile</w:t>
            </w:r>
          </w:p>
        </w:tc>
        <w:tc>
          <w:tcPr>
            <w:tcW w:w="1539" w:type="dxa"/>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Periclitate</w:t>
            </w:r>
          </w:p>
        </w:tc>
        <w:tc>
          <w:tcPr>
            <w:tcW w:w="1372" w:type="dxa"/>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Critic periclitate</w:t>
            </w:r>
          </w:p>
        </w:tc>
        <w:tc>
          <w:tcPr>
            <w:tcW w:w="1568" w:type="dxa"/>
            <w:shd w:val="clear" w:color="auto" w:fill="FDE9D9" w:themeFill="accent6" w:themeFillTint="33"/>
            <w:vAlign w:val="center"/>
          </w:tcPr>
          <w:p w:rsidR="000F4FEA" w:rsidRPr="00730CFC" w:rsidRDefault="000F4FEA" w:rsidP="00012F90">
            <w:pPr>
              <w:pStyle w:val="BodyTextIndent"/>
              <w:ind w:left="0"/>
              <w:jc w:val="center"/>
              <w:rPr>
                <w:rFonts w:ascii="Arial" w:hAnsi="Arial" w:cs="Arial"/>
                <w:sz w:val="24"/>
                <w:szCs w:val="24"/>
              </w:rPr>
            </w:pPr>
            <w:r w:rsidRPr="00730CFC">
              <w:rPr>
                <w:rFonts w:ascii="Arial" w:hAnsi="Arial" w:cs="Arial"/>
                <w:sz w:val="24"/>
                <w:szCs w:val="24"/>
              </w:rPr>
              <w:t>Aproape ameninţate</w:t>
            </w:r>
          </w:p>
        </w:tc>
      </w:tr>
      <w:tr w:rsidR="000F4FEA" w:rsidRPr="00730CFC" w:rsidTr="00012F90">
        <w:tc>
          <w:tcPr>
            <w:tcW w:w="630"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1</w:t>
            </w:r>
          </w:p>
        </w:tc>
        <w:tc>
          <w:tcPr>
            <w:tcW w:w="1582" w:type="dxa"/>
            <w:shd w:val="clear" w:color="auto" w:fill="FDE9D9" w:themeFill="accent6" w:themeFillTint="33"/>
            <w:vAlign w:val="center"/>
          </w:tcPr>
          <w:p w:rsidR="000F4FEA" w:rsidRPr="00730CFC" w:rsidRDefault="000F4FEA" w:rsidP="00012F90">
            <w:pPr>
              <w:jc w:val="center"/>
              <w:rPr>
                <w:rFonts w:ascii="Arial" w:hAnsi="Arial" w:cs="Arial"/>
                <w:iCs/>
              </w:rPr>
            </w:pPr>
            <w:r w:rsidRPr="00730CFC">
              <w:rPr>
                <w:rFonts w:ascii="Arial" w:hAnsi="Arial" w:cs="Arial"/>
                <w:iCs/>
              </w:rPr>
              <w:t>Peşti</w:t>
            </w:r>
          </w:p>
        </w:tc>
        <w:tc>
          <w:tcPr>
            <w:tcW w:w="1400" w:type="dxa"/>
            <w:shd w:val="clear" w:color="auto" w:fill="FDE9D9" w:themeFill="accent6" w:themeFillTint="33"/>
            <w:vAlign w:val="center"/>
          </w:tcPr>
          <w:p w:rsidR="000F4FEA" w:rsidRPr="00730CFC" w:rsidRDefault="000F4FEA" w:rsidP="00012F90">
            <w:pPr>
              <w:jc w:val="center"/>
              <w:rPr>
                <w:rFonts w:ascii="Arial" w:hAnsi="Arial" w:cs="Arial"/>
              </w:rPr>
            </w:pPr>
            <w:r w:rsidRPr="00730CFC">
              <w:rPr>
                <w:rFonts w:ascii="Arial" w:hAnsi="Arial" w:cs="Arial"/>
              </w:rPr>
              <w:t>67</w:t>
            </w:r>
          </w:p>
        </w:tc>
        <w:tc>
          <w:tcPr>
            <w:tcW w:w="149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4</w:t>
            </w:r>
          </w:p>
        </w:tc>
        <w:tc>
          <w:tcPr>
            <w:tcW w:w="1539"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4</w:t>
            </w:r>
          </w:p>
        </w:tc>
        <w:tc>
          <w:tcPr>
            <w:tcW w:w="1372"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1</w:t>
            </w:r>
          </w:p>
        </w:tc>
        <w:tc>
          <w:tcPr>
            <w:tcW w:w="156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r>
      <w:tr w:rsidR="000F4FEA" w:rsidRPr="00730CFC" w:rsidTr="00012F90">
        <w:tc>
          <w:tcPr>
            <w:tcW w:w="630"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2</w:t>
            </w:r>
          </w:p>
        </w:tc>
        <w:tc>
          <w:tcPr>
            <w:tcW w:w="1582" w:type="dxa"/>
            <w:shd w:val="clear" w:color="auto" w:fill="FDE9D9" w:themeFill="accent6" w:themeFillTint="33"/>
            <w:vAlign w:val="center"/>
          </w:tcPr>
          <w:p w:rsidR="000F4FEA" w:rsidRPr="00730CFC" w:rsidRDefault="000F4FEA" w:rsidP="00012F90">
            <w:pPr>
              <w:pStyle w:val="Heading1"/>
              <w:jc w:val="center"/>
              <w:rPr>
                <w:b w:val="0"/>
                <w:sz w:val="24"/>
                <w:szCs w:val="24"/>
              </w:rPr>
            </w:pPr>
            <w:r w:rsidRPr="00730CFC">
              <w:rPr>
                <w:b w:val="0"/>
                <w:sz w:val="24"/>
                <w:szCs w:val="24"/>
              </w:rPr>
              <w:t>Amfibieni</w:t>
            </w:r>
          </w:p>
        </w:tc>
        <w:tc>
          <w:tcPr>
            <w:tcW w:w="1400" w:type="dxa"/>
            <w:shd w:val="clear" w:color="auto" w:fill="FDE9D9" w:themeFill="accent6" w:themeFillTint="33"/>
            <w:vAlign w:val="center"/>
          </w:tcPr>
          <w:p w:rsidR="000F4FEA" w:rsidRPr="00730CFC" w:rsidRDefault="000F4FEA" w:rsidP="00012F90">
            <w:pPr>
              <w:jc w:val="center"/>
              <w:rPr>
                <w:rFonts w:ascii="Arial" w:hAnsi="Arial" w:cs="Arial"/>
              </w:rPr>
            </w:pPr>
            <w:r w:rsidRPr="00730CFC">
              <w:rPr>
                <w:rFonts w:ascii="Arial" w:hAnsi="Arial" w:cs="Arial"/>
              </w:rPr>
              <w:t>7</w:t>
            </w:r>
          </w:p>
        </w:tc>
        <w:tc>
          <w:tcPr>
            <w:tcW w:w="149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2</w:t>
            </w:r>
          </w:p>
        </w:tc>
        <w:tc>
          <w:tcPr>
            <w:tcW w:w="1539"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1</w:t>
            </w:r>
          </w:p>
        </w:tc>
        <w:tc>
          <w:tcPr>
            <w:tcW w:w="1372"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c>
          <w:tcPr>
            <w:tcW w:w="156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3</w:t>
            </w:r>
          </w:p>
        </w:tc>
      </w:tr>
      <w:tr w:rsidR="000F4FEA" w:rsidRPr="00730CFC" w:rsidTr="00012F90">
        <w:tc>
          <w:tcPr>
            <w:tcW w:w="630"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3</w:t>
            </w:r>
          </w:p>
        </w:tc>
        <w:tc>
          <w:tcPr>
            <w:tcW w:w="1582" w:type="dxa"/>
            <w:shd w:val="clear" w:color="auto" w:fill="FDE9D9" w:themeFill="accent6" w:themeFillTint="33"/>
            <w:vAlign w:val="center"/>
          </w:tcPr>
          <w:p w:rsidR="000F4FEA" w:rsidRPr="00730CFC" w:rsidRDefault="000F4FEA" w:rsidP="00012F90">
            <w:pPr>
              <w:pStyle w:val="Heading1"/>
              <w:jc w:val="center"/>
              <w:rPr>
                <w:b w:val="0"/>
                <w:sz w:val="24"/>
                <w:szCs w:val="24"/>
              </w:rPr>
            </w:pPr>
            <w:r w:rsidRPr="00730CFC">
              <w:rPr>
                <w:b w:val="0"/>
                <w:sz w:val="24"/>
                <w:szCs w:val="24"/>
              </w:rPr>
              <w:t>Reptile</w:t>
            </w:r>
          </w:p>
        </w:tc>
        <w:tc>
          <w:tcPr>
            <w:tcW w:w="1400" w:type="dxa"/>
            <w:shd w:val="clear" w:color="auto" w:fill="FDE9D9" w:themeFill="accent6" w:themeFillTint="33"/>
            <w:vAlign w:val="center"/>
          </w:tcPr>
          <w:p w:rsidR="000F4FEA" w:rsidRPr="00730CFC" w:rsidRDefault="000F4FEA" w:rsidP="00012F90">
            <w:pPr>
              <w:jc w:val="center"/>
              <w:rPr>
                <w:rFonts w:ascii="Arial" w:hAnsi="Arial" w:cs="Arial"/>
              </w:rPr>
            </w:pPr>
            <w:r w:rsidRPr="00730CFC">
              <w:rPr>
                <w:rFonts w:ascii="Arial" w:hAnsi="Arial" w:cs="Arial"/>
              </w:rPr>
              <w:t>5</w:t>
            </w:r>
          </w:p>
        </w:tc>
        <w:tc>
          <w:tcPr>
            <w:tcW w:w="149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1</w:t>
            </w:r>
          </w:p>
        </w:tc>
        <w:tc>
          <w:tcPr>
            <w:tcW w:w="1539"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c>
          <w:tcPr>
            <w:tcW w:w="1372"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c>
          <w:tcPr>
            <w:tcW w:w="156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r>
      <w:tr w:rsidR="000F4FEA" w:rsidRPr="00730CFC" w:rsidTr="00012F90">
        <w:tc>
          <w:tcPr>
            <w:tcW w:w="630"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4</w:t>
            </w:r>
          </w:p>
        </w:tc>
        <w:tc>
          <w:tcPr>
            <w:tcW w:w="1582" w:type="dxa"/>
            <w:shd w:val="clear" w:color="auto" w:fill="FDE9D9" w:themeFill="accent6" w:themeFillTint="33"/>
            <w:vAlign w:val="center"/>
          </w:tcPr>
          <w:p w:rsidR="000F4FEA" w:rsidRPr="00730CFC" w:rsidRDefault="000F4FEA" w:rsidP="00012F90">
            <w:pPr>
              <w:pStyle w:val="Heading1"/>
              <w:jc w:val="center"/>
              <w:rPr>
                <w:b w:val="0"/>
                <w:sz w:val="24"/>
                <w:szCs w:val="24"/>
              </w:rPr>
            </w:pPr>
            <w:r w:rsidRPr="00730CFC">
              <w:rPr>
                <w:b w:val="0"/>
                <w:sz w:val="24"/>
                <w:szCs w:val="24"/>
              </w:rPr>
              <w:t>Păsări</w:t>
            </w:r>
          </w:p>
        </w:tc>
        <w:tc>
          <w:tcPr>
            <w:tcW w:w="1400" w:type="dxa"/>
            <w:shd w:val="clear" w:color="auto" w:fill="FDE9D9" w:themeFill="accent6" w:themeFillTint="33"/>
            <w:vAlign w:val="center"/>
          </w:tcPr>
          <w:p w:rsidR="000F4FEA" w:rsidRPr="00730CFC" w:rsidRDefault="000F4FEA" w:rsidP="00012F90">
            <w:pPr>
              <w:jc w:val="center"/>
              <w:rPr>
                <w:rFonts w:ascii="Arial" w:hAnsi="Arial" w:cs="Arial"/>
              </w:rPr>
            </w:pPr>
            <w:r w:rsidRPr="00730CFC">
              <w:rPr>
                <w:rFonts w:ascii="Arial" w:hAnsi="Arial" w:cs="Arial"/>
              </w:rPr>
              <w:t>208</w:t>
            </w:r>
          </w:p>
        </w:tc>
        <w:tc>
          <w:tcPr>
            <w:tcW w:w="149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22</w:t>
            </w:r>
          </w:p>
        </w:tc>
        <w:tc>
          <w:tcPr>
            <w:tcW w:w="1539"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13</w:t>
            </w:r>
          </w:p>
        </w:tc>
        <w:tc>
          <w:tcPr>
            <w:tcW w:w="1372"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3</w:t>
            </w:r>
          </w:p>
        </w:tc>
        <w:tc>
          <w:tcPr>
            <w:tcW w:w="156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r>
      <w:tr w:rsidR="000F4FEA" w:rsidRPr="00730CFC" w:rsidTr="00012F90">
        <w:tc>
          <w:tcPr>
            <w:tcW w:w="630"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lastRenderedPageBreak/>
              <w:t>5</w:t>
            </w:r>
          </w:p>
        </w:tc>
        <w:tc>
          <w:tcPr>
            <w:tcW w:w="1582" w:type="dxa"/>
            <w:shd w:val="clear" w:color="auto" w:fill="FDE9D9" w:themeFill="accent6" w:themeFillTint="33"/>
            <w:vAlign w:val="center"/>
          </w:tcPr>
          <w:p w:rsidR="000F4FEA" w:rsidRPr="00730CFC" w:rsidRDefault="000F4FEA" w:rsidP="00012F90">
            <w:pPr>
              <w:pStyle w:val="Heading1"/>
              <w:jc w:val="center"/>
              <w:rPr>
                <w:b w:val="0"/>
                <w:sz w:val="24"/>
                <w:szCs w:val="24"/>
              </w:rPr>
            </w:pPr>
            <w:r w:rsidRPr="00730CFC">
              <w:rPr>
                <w:b w:val="0"/>
                <w:sz w:val="24"/>
                <w:szCs w:val="24"/>
              </w:rPr>
              <w:t>Mamifere</w:t>
            </w:r>
          </w:p>
        </w:tc>
        <w:tc>
          <w:tcPr>
            <w:tcW w:w="1400" w:type="dxa"/>
            <w:shd w:val="clear" w:color="auto" w:fill="FDE9D9" w:themeFill="accent6" w:themeFillTint="33"/>
            <w:vAlign w:val="center"/>
          </w:tcPr>
          <w:p w:rsidR="000F4FEA" w:rsidRPr="00730CFC" w:rsidRDefault="000F4FEA" w:rsidP="00012F90">
            <w:pPr>
              <w:jc w:val="center"/>
              <w:rPr>
                <w:rFonts w:ascii="Arial" w:hAnsi="Arial" w:cs="Arial"/>
              </w:rPr>
            </w:pPr>
            <w:r w:rsidRPr="00730CFC">
              <w:rPr>
                <w:rFonts w:ascii="Arial" w:hAnsi="Arial" w:cs="Arial"/>
              </w:rPr>
              <w:t>18</w:t>
            </w:r>
          </w:p>
        </w:tc>
        <w:tc>
          <w:tcPr>
            <w:tcW w:w="149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6</w:t>
            </w:r>
          </w:p>
        </w:tc>
        <w:tc>
          <w:tcPr>
            <w:tcW w:w="1539"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c>
          <w:tcPr>
            <w:tcW w:w="1372"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c>
          <w:tcPr>
            <w:tcW w:w="156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w:t>
            </w:r>
          </w:p>
        </w:tc>
      </w:tr>
      <w:tr w:rsidR="000F4FEA" w:rsidRPr="00730CFC" w:rsidTr="00012F90">
        <w:tc>
          <w:tcPr>
            <w:tcW w:w="2212" w:type="dxa"/>
            <w:gridSpan w:val="2"/>
            <w:shd w:val="clear" w:color="auto" w:fill="FDE9D9" w:themeFill="accent6" w:themeFillTint="33"/>
            <w:vAlign w:val="center"/>
          </w:tcPr>
          <w:p w:rsidR="000F4FEA" w:rsidRPr="00730CFC" w:rsidRDefault="000F4FEA" w:rsidP="00012F90">
            <w:pPr>
              <w:pStyle w:val="Heading1"/>
              <w:jc w:val="center"/>
              <w:rPr>
                <w:b w:val="0"/>
                <w:sz w:val="24"/>
                <w:szCs w:val="24"/>
              </w:rPr>
            </w:pPr>
            <w:r w:rsidRPr="00730CFC">
              <w:rPr>
                <w:b w:val="0"/>
                <w:sz w:val="24"/>
                <w:szCs w:val="24"/>
              </w:rPr>
              <w:t>Total</w:t>
            </w:r>
          </w:p>
        </w:tc>
        <w:tc>
          <w:tcPr>
            <w:tcW w:w="1400" w:type="dxa"/>
            <w:shd w:val="clear" w:color="auto" w:fill="FDE9D9" w:themeFill="accent6" w:themeFillTint="33"/>
            <w:vAlign w:val="center"/>
          </w:tcPr>
          <w:p w:rsidR="000F4FEA" w:rsidRPr="00730CFC" w:rsidRDefault="000F4FEA" w:rsidP="00012F90">
            <w:pPr>
              <w:jc w:val="center"/>
              <w:rPr>
                <w:rFonts w:ascii="Arial" w:hAnsi="Arial" w:cs="Arial"/>
              </w:rPr>
            </w:pPr>
            <w:r w:rsidRPr="00730CFC">
              <w:rPr>
                <w:rFonts w:ascii="Arial" w:hAnsi="Arial" w:cs="Arial"/>
              </w:rPr>
              <w:t>305</w:t>
            </w:r>
          </w:p>
        </w:tc>
        <w:tc>
          <w:tcPr>
            <w:tcW w:w="149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35</w:t>
            </w:r>
          </w:p>
        </w:tc>
        <w:tc>
          <w:tcPr>
            <w:tcW w:w="1539"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18</w:t>
            </w:r>
          </w:p>
        </w:tc>
        <w:tc>
          <w:tcPr>
            <w:tcW w:w="1372"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4</w:t>
            </w:r>
          </w:p>
        </w:tc>
        <w:tc>
          <w:tcPr>
            <w:tcW w:w="1568" w:type="dxa"/>
            <w:shd w:val="clear" w:color="auto" w:fill="FDE9D9" w:themeFill="accent6" w:themeFillTint="33"/>
            <w:vAlign w:val="center"/>
          </w:tcPr>
          <w:p w:rsidR="000F4FEA" w:rsidRPr="00730CFC" w:rsidRDefault="000F4FEA" w:rsidP="00012F90">
            <w:pPr>
              <w:pStyle w:val="BodyTextIndent"/>
              <w:jc w:val="center"/>
              <w:rPr>
                <w:rFonts w:ascii="Arial" w:hAnsi="Arial" w:cs="Arial"/>
                <w:sz w:val="24"/>
                <w:szCs w:val="24"/>
              </w:rPr>
            </w:pPr>
            <w:r w:rsidRPr="00730CFC">
              <w:rPr>
                <w:rFonts w:ascii="Arial" w:hAnsi="Arial" w:cs="Arial"/>
                <w:sz w:val="24"/>
                <w:szCs w:val="24"/>
              </w:rPr>
              <w:t>3</w:t>
            </w:r>
          </w:p>
        </w:tc>
      </w:tr>
    </w:tbl>
    <w:p w:rsidR="000F4FEA" w:rsidRPr="00730CFC" w:rsidRDefault="000F4FEA" w:rsidP="00012F90">
      <w:pPr>
        <w:pStyle w:val="BodyTextIndent"/>
        <w:rPr>
          <w:rFonts w:ascii="Arial" w:hAnsi="Arial" w:cs="Arial"/>
          <w:sz w:val="24"/>
          <w:szCs w:val="24"/>
        </w:rPr>
      </w:pP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Păsările sunt cele mai numeroase dintre vertebrate, cu o repartiţie neuniformă. Ele se concentrează mai ales în zona pădurilor de amestec, în bălţi şi în zonele mlăştinoase. Foarte multe specii aparţin, din punct de vedere fenologic, grupului migrator (oaspeţi de vară, de iarnă sau de pasaj), foarte puţine sunt cele sedentare, care rămân pe timpul iernii în interiorul ostroavelor din lunca Dunării sau pe unele bălţi din terasa Dunării. </w:t>
      </w:r>
    </w:p>
    <w:p w:rsidR="000F4FEA" w:rsidRPr="00730CFC" w:rsidRDefault="000F4FEA" w:rsidP="00012F90">
      <w:pPr>
        <w:ind w:firstLine="735"/>
        <w:jc w:val="both"/>
        <w:rPr>
          <w:rFonts w:ascii="Arial" w:eastAsia="Times New Roman" w:hAnsi="Arial" w:cs="Arial"/>
          <w:b/>
          <w:snapToGrid w:val="0"/>
          <w:lang w:val="ro-RO"/>
        </w:rPr>
      </w:pPr>
    </w:p>
    <w:p w:rsidR="000F4FEA" w:rsidRPr="00730CFC" w:rsidRDefault="000F4FEA" w:rsidP="00012F90">
      <w:pPr>
        <w:ind w:firstLine="735"/>
        <w:jc w:val="both"/>
        <w:rPr>
          <w:rFonts w:ascii="Arial" w:eastAsia="Times New Roman" w:hAnsi="Arial" w:cs="Arial"/>
          <w:b/>
          <w:snapToGrid w:val="0"/>
          <w:lang w:val="ro-RO"/>
        </w:rPr>
      </w:pPr>
      <w:r w:rsidRPr="00730CFC">
        <w:rPr>
          <w:rFonts w:ascii="Arial" w:eastAsia="Times New Roman" w:hAnsi="Arial" w:cs="Arial"/>
          <w:b/>
          <w:snapToGrid w:val="0"/>
          <w:lang w:val="ro-RO"/>
        </w:rPr>
        <w:t>V.1. Amenințări pentru biodiversitate și presiuni exercitate asupra biodiversității</w:t>
      </w:r>
    </w:p>
    <w:p w:rsidR="000F4FEA" w:rsidRPr="00730CFC" w:rsidRDefault="000F4FEA" w:rsidP="00012F90">
      <w:pPr>
        <w:ind w:firstLine="735"/>
        <w:jc w:val="both"/>
        <w:rPr>
          <w:rFonts w:ascii="Arial" w:eastAsia="Times New Roman" w:hAnsi="Arial" w:cs="Arial"/>
          <w:b/>
          <w:snapToGrid w:val="0"/>
          <w:lang w:val="ro-RO"/>
        </w:rPr>
      </w:pPr>
      <w:r w:rsidRPr="00730CFC">
        <w:rPr>
          <w:rFonts w:ascii="Arial" w:eastAsia="Times New Roman" w:hAnsi="Arial" w:cs="Arial"/>
          <w:b/>
          <w:snapToGrid w:val="0"/>
          <w:lang w:val="ro-RO"/>
        </w:rPr>
        <w:t>V.1.1. Speciile invazive</w:t>
      </w:r>
    </w:p>
    <w:p w:rsidR="000F4FEA" w:rsidRPr="00730CFC" w:rsidRDefault="000F4FEA" w:rsidP="00012F90">
      <w:pPr>
        <w:jc w:val="both"/>
        <w:rPr>
          <w:rFonts w:ascii="Arial" w:eastAsia="Times New Roman" w:hAnsi="Arial" w:cs="Arial"/>
          <w:snapToGrid w:val="0"/>
          <w:lang w:val="ro-RO"/>
        </w:rPr>
      </w:pPr>
    </w:p>
    <w:p w:rsidR="000F4FEA" w:rsidRPr="00730CFC" w:rsidRDefault="000F4FEA" w:rsidP="00012F90">
      <w:pPr>
        <w:jc w:val="both"/>
        <w:rPr>
          <w:rFonts w:ascii="Arial" w:eastAsia="Times New Roman" w:hAnsi="Arial" w:cs="Arial"/>
          <w:snapToGrid w:val="0"/>
          <w:lang w:val="ro-RO"/>
        </w:rPr>
      </w:pPr>
      <w:r w:rsidRPr="00730CFC">
        <w:rPr>
          <w:rFonts w:ascii="Arial" w:eastAsia="Times New Roman" w:hAnsi="Arial" w:cs="Arial"/>
          <w:snapToGrid w:val="0"/>
          <w:lang w:val="ro-RO"/>
        </w:rPr>
        <w:t>Conform OUG 57/2007 cu modificările și completările ulterioare specii invazive sunt speciile indigene sau alohtone (străine), care şi-au extins arealul de distribuţie sau au fost introduse accidental ori intenţionat într-o arie şi/sau s-au reprodus într-o asemenea măsură şi atât de agresiv încât influenţează negativ/domină/înlocuiesc unele dintre speciile indigene, determinând modificarea structurii cantitative şi/sau calitative a biocenozei naturale, caracteristică unui anumit tip de biotop.</w:t>
      </w:r>
    </w:p>
    <w:p w:rsidR="000F4FEA" w:rsidRPr="00730CFC" w:rsidRDefault="000F4FEA" w:rsidP="00012F90">
      <w:pPr>
        <w:jc w:val="both"/>
        <w:rPr>
          <w:rFonts w:ascii="Arial" w:eastAsia="Times New Roman" w:hAnsi="Arial" w:cs="Arial"/>
          <w:snapToGrid w:val="0"/>
          <w:lang w:val="ro-RO"/>
        </w:rPr>
      </w:pPr>
      <w:r w:rsidRPr="00730CFC">
        <w:rPr>
          <w:rFonts w:ascii="Arial" w:eastAsia="Times New Roman" w:hAnsi="Arial" w:cs="Arial"/>
          <w:snapToGrid w:val="0"/>
          <w:lang w:val="ro-RO"/>
        </w:rPr>
        <w:t xml:space="preserve">Convenţia privind Diversitatea Biologică defineşte o specie alogenă ca fiind "o specie, subspecie sau un taxon inferior, introdus în afara răspândirii sale naturale din trecut sau prezent, incluzând orice parte, gameţi, seminţe, ouă sau mijloace de răspândire a acestor specii, care pot supravieţui şi se pot reproduce ulterior", în timp ce o specie alogenă invazivă este "o specie alogenă a cărei introducere şi/sau răspândire ameninţă diversitatea biologică".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Aceste specii sunt raspandite la scara geografica larga si pot fi intalnite in toate tipurile de ecosisteme. Cele mai multe astfel de specii care afecteaza ecosistemele terestre apartin unor grupuri de organisme vii cum sunt plantele, mamiferele și insectele.  Amenințarea pe care aceste specii o reprezintă pentru biodiversitate la nivel global este considerată ca ocupând locul secund, după pericolul reprezentat de pierderea sau degradarea habitatului.</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O specie invazivă este considerată aceea care are o creștere și o distribuție spațială rapidă și care în unele cazuri ocupă spații foarte mari. Datorita faptului că factorii biotopului sau caracteristici locale ale structurii biocenozei în care erau integrate nu mai actioneaza similar in noile conditii de viata, speciile introduse pot deveni invazive ca urmare a unei cresteri numerice rapide si necontrolate in noul mediu. Acest fapt se repercuteaza negativ asupra unor specii de plante si animale autohtone care nu au timp sa-si dezvolte masuri de aparare adecvate.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Invazia speciilor străine este recunoscută, în prezent, ca una dintre principalele ameninţări la adresa biodiversităţii , structurii şi funcţiilor ecosistemelor, conservării arealelor protejate şi determină costuri mari în agricultură, silvicultură, piscicultură şi alte ramuri economice, precum şi în sănătatea umană.</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 xml:space="preserve">În vederea protejarii habitatelor naturale si a speciilor indigene, introducerea de specii alohtone, interventiile asupra speciilor invazive, precum si reintroducerea speciilor indigene prevazute în anexele nr. </w:t>
      </w:r>
      <w:smartTag w:uri="urn:schemas-microsoft-com:office:smarttags" w:element="metricconverter">
        <w:smartTagPr>
          <w:attr w:name="ProductID" w:val="4 A"/>
        </w:smartTagPr>
        <w:r w:rsidRPr="00730CFC">
          <w:rPr>
            <w:rFonts w:ascii="Arial" w:hAnsi="Arial" w:cs="Arial"/>
            <w:lang w:val="ro-RO"/>
          </w:rPr>
          <w:t>4 A</w:t>
        </w:r>
      </w:smartTag>
      <w:r w:rsidRPr="00730CFC">
        <w:rPr>
          <w:rFonts w:ascii="Arial" w:hAnsi="Arial" w:cs="Arial"/>
          <w:lang w:val="ro-RO"/>
        </w:rPr>
        <w:t xml:space="preserve"> si 4 B se reglementeaza prin ordin al conducatorului autoritatii publice centrale pentru protectia mediului si padurilor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Comisia Europeană a publicat in 09.09.2013 o propunere de regulament pentru prevenire şi management privind introducerea şi răspândirea speciilor alogene invazive. Propunerea urmăreşte să abordeze problema speciilor alogene invazive într-o manieră cuprinzătoare, astfel încât să protejeze biodiversitatea nativă şi a serviciilor de ecosistem (servicii de mediu), precum şi pentru a reduce şi a atenua impactul economic şi asupra sănătăţii umane pe care aceste specii le pot avea</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lastRenderedPageBreak/>
        <w:t>Conform Strategiei Europene pentru Biodiversitate, se prevede ca până în 2020 să fie identificate şi prioritizate speciile alogene invazive şi căile lor de răspândire, să fie controlate sau eradicate speciile prioritare şi să se prevenină introducerea de noi specii invasive. Odată cu intrarea în vigoare a Regulamentului se vor întocmi baze de date şi se va putea monitoriza progresul acţiunilor întreprinse pentru limitarea efectelor negative generate de speciile invazive</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În prezent la nivel național nu există o bază de date care să conţină speciile invazive. Baza de date europeană DAISIE (</w:t>
      </w:r>
      <w:hyperlink r:id="rId89" w:history="1">
        <w:r w:rsidRPr="00730CFC">
          <w:rPr>
            <w:rFonts w:ascii="Arial" w:hAnsi="Arial" w:cs="Arial"/>
            <w:lang w:val="ro-RO"/>
          </w:rPr>
          <w:t>http://www.europe-aliens.org/</w:t>
        </w:r>
      </w:hyperlink>
      <w:r w:rsidRPr="00730CFC">
        <w:rPr>
          <w:rFonts w:ascii="Arial" w:hAnsi="Arial" w:cs="Arial"/>
          <w:lang w:val="ro-RO"/>
        </w:rPr>
        <w:t xml:space="preserve">) este completată în mod benevol de către specialiştii din domeniu. </w:t>
      </w:r>
    </w:p>
    <w:p w:rsidR="000F4FEA" w:rsidRPr="00730CFC" w:rsidRDefault="000F4FEA" w:rsidP="00012F90">
      <w:pPr>
        <w:pStyle w:val="BodyText21"/>
        <w:widowControl/>
        <w:rPr>
          <w:rFonts w:ascii="Arial" w:hAnsi="Arial" w:cs="Arial"/>
          <w:lang w:val="ro-RO"/>
        </w:rPr>
      </w:pPr>
      <w:r w:rsidRPr="00730CFC">
        <w:rPr>
          <w:rFonts w:ascii="Arial" w:hAnsi="Arial" w:cs="Arial"/>
          <w:lang w:val="ro-RO"/>
        </w:rPr>
        <w:t>Pentru județul Brăila nu există informații relevante cu privire la aceste specii. Pe traseul Dunării de Jos cea mai expansivă specie alohtonă invazivă este Amorpha fruticosa, un arbust originar din America de Nord, asemănător salcâmului care a fost introdus în România ca arbust ornamental și pentru stabilizarea solurilor degradate și erodate. În timp s-au constatat efecte negative asupra mediului, prin concurența făcută speciilor autohtone, ceea ce a condus chiar la eliminarea unora dintre acestea pe arealele afectate. Prezentă în habitate seminaturale ea a coborât acum până în sălcete unde tinde să înlocuiască salcia autohtonă. Îndepărtarea tufărișului de amorfă din habitatele naturale invadate, în scopul regenerării acestora, este deosebit de dificilă, din cauza prolificității deosebite a speciei, presupunând, de asemenea, resurse financiare foarte mari.</w:t>
      </w:r>
    </w:p>
    <w:p w:rsidR="000F4FEA" w:rsidRPr="00730CFC" w:rsidRDefault="000F4FEA" w:rsidP="00012F90">
      <w:pPr>
        <w:pStyle w:val="Default"/>
        <w:jc w:val="both"/>
        <w:rPr>
          <w:rFonts w:ascii="Arial" w:hAnsi="Arial" w:cs="Arial"/>
          <w:color w:val="auto"/>
        </w:rPr>
      </w:pPr>
      <w:r w:rsidRPr="00730CFC">
        <w:rPr>
          <w:rFonts w:ascii="Arial" w:hAnsi="Arial" w:cs="Arial"/>
          <w:color w:val="auto"/>
          <w:lang w:val="ro-RO"/>
        </w:rPr>
        <w:t>În ariile protejate situate în Lunca Siretului Inferior a fost observată apariția și extinderea invazivă a speciei Trachemys scripta -țestoasa de apă cu tâmple galbene însă cu semnalări punctuale, izolat și cu caracter ocazional. Specia intră în competiție cu broasca țestoasă europeană, Emys orbicularis, înlocuind-o treptat din habitatele respective.</w:t>
      </w:r>
      <w:r w:rsidRPr="00730CFC">
        <w:rPr>
          <w:rFonts w:ascii="Arial" w:hAnsi="Arial" w:cs="Arial"/>
          <w:color w:val="auto"/>
        </w:rPr>
        <w:t xml:space="preserve"> De asemenea, în același areal este semnalată extinderea invazivă a speciilor introduse prin practicile silvice, salcâm, glădiță, oțetar, specii care înlocuiesc treptat vegetația nativă, intrând în competiție cu speciile corespunzătoare tipului de stațiune existent, alterând habitatele și capacitatea acestora de susținere a speciilor de interes conservativ precum și alterarea habitatelor .</w:t>
      </w:r>
    </w:p>
    <w:p w:rsidR="000F4FEA" w:rsidRPr="00730CFC" w:rsidRDefault="000F4FEA" w:rsidP="00012F90">
      <w:pPr>
        <w:pStyle w:val="BodyText21"/>
        <w:widowControl/>
        <w:ind w:firstLine="737"/>
        <w:rPr>
          <w:rFonts w:ascii="Arial" w:hAnsi="Arial" w:cs="Arial"/>
          <w:lang w:val="ro-RO"/>
        </w:rPr>
      </w:pPr>
      <w:r w:rsidRPr="00730CFC">
        <w:rPr>
          <w:rFonts w:ascii="Arial" w:hAnsi="Arial" w:cs="Arial"/>
          <w:lang w:val="ro-RO"/>
        </w:rPr>
        <w:t xml:space="preserve"> </w:t>
      </w:r>
    </w:p>
    <w:p w:rsidR="000F4FEA" w:rsidRPr="001F6C27" w:rsidRDefault="000F4FEA" w:rsidP="00012F90">
      <w:pPr>
        <w:pStyle w:val="BodyText21"/>
        <w:widowControl/>
        <w:ind w:left="170"/>
        <w:rPr>
          <w:rFonts w:ascii="Arial" w:hAnsi="Arial" w:cs="Arial"/>
          <w:b/>
        </w:rPr>
      </w:pPr>
      <w:r w:rsidRPr="001F6C27">
        <w:rPr>
          <w:rFonts w:ascii="Arial" w:hAnsi="Arial" w:cs="Arial"/>
          <w:b/>
        </w:rPr>
        <w:t>V.1.2 Poluarea și încărcarea cu nutri</w:t>
      </w:r>
      <w:r w:rsidR="001F6C27" w:rsidRPr="001F6C27">
        <w:rPr>
          <w:rFonts w:ascii="Arial" w:hAnsi="Arial" w:cs="Arial"/>
          <w:b/>
        </w:rPr>
        <w:t>e</w:t>
      </w:r>
      <w:r w:rsidRPr="001F6C27">
        <w:rPr>
          <w:rFonts w:ascii="Arial" w:hAnsi="Arial" w:cs="Arial"/>
          <w:b/>
        </w:rPr>
        <w:t>nți</w:t>
      </w:r>
    </w:p>
    <w:p w:rsidR="000F4FEA" w:rsidRPr="00730CFC" w:rsidRDefault="000F4FEA" w:rsidP="00012F90">
      <w:pPr>
        <w:pStyle w:val="BodyText21"/>
        <w:widowControl/>
        <w:ind w:left="567"/>
        <w:rPr>
          <w:rFonts w:ascii="Arial" w:hAnsi="Arial" w:cs="Arial"/>
        </w:rPr>
      </w:pPr>
    </w:p>
    <w:p w:rsidR="000F4FEA" w:rsidRPr="00730CFC" w:rsidRDefault="000F4FEA" w:rsidP="00012F90">
      <w:pPr>
        <w:pStyle w:val="BodyText21"/>
        <w:widowControl/>
        <w:rPr>
          <w:rFonts w:ascii="Arial" w:hAnsi="Arial" w:cs="Arial"/>
        </w:rPr>
      </w:pPr>
      <w:r w:rsidRPr="00730CFC">
        <w:rPr>
          <w:rFonts w:ascii="Arial" w:hAnsi="Arial" w:cs="Arial"/>
        </w:rPr>
        <w:t xml:space="preserve">Toate formele de poluare ameninţă biodiversitatea, dar mai ales încărcarea cu nutrienţi (azot şi fosfor), care reprezintă o cauză majoră şi în continuă creştere a pierderii de biodiversitate şi a degradării ecosistemelor. Emisiile de azot în atmosferă au crescut substanţial în ultimii 100 de ani, mai ales sub formă de amoniu din agricultură şi de oxizi de azot din industrie. Ca urmare a depunerilor din atmosferă, aceste forme de azot sunt depozitate, afectând habitatele sensibile. </w:t>
      </w:r>
    </w:p>
    <w:p w:rsidR="000F4FEA" w:rsidRPr="00730CFC" w:rsidRDefault="000F4FEA" w:rsidP="00012F90">
      <w:pPr>
        <w:pStyle w:val="BodyText21"/>
        <w:widowControl/>
        <w:rPr>
          <w:rFonts w:ascii="Arial" w:hAnsi="Arial" w:cs="Arial"/>
          <w:lang w:val="ro-RO"/>
        </w:rPr>
      </w:pPr>
      <w:r w:rsidRPr="00730CFC">
        <w:rPr>
          <w:rFonts w:ascii="Arial" w:hAnsi="Arial" w:cs="Arial"/>
        </w:rPr>
        <w:t>În plus, compuşii cu azot pot produce şi eutrofizarea ecosistemelor, manifestată prin scăderea bogăţiei de specii și creșterea numerică a populațiilor speciilor rezistente. Astfel, eutrofizarea apelor (lacuri, ape marine) constă în dezvoltarea excesivă a algelor plantonice, ceea ce conduce la creşterea acumulării de materie organică. Această acumulare poate fi asociată cu modificări în compoziţia speciilor, alterând astfel funcţionarea lanţurilor trofice.</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Se consideră că biodiversitatea este ameninţată de poluare acolo unde sunt depășite anumite încărcări considerate critice pentru anumiți indicatori care reflectă cantitatea de nutrienți ( azot și fosfor) , sulf sau expunerea la ozon.</w:t>
      </w:r>
    </w:p>
    <w:p w:rsidR="000F4FEA" w:rsidRPr="00730CFC" w:rsidRDefault="000F4FEA" w:rsidP="00012F90">
      <w:pPr>
        <w:autoSpaceDE w:val="0"/>
        <w:autoSpaceDN w:val="0"/>
        <w:adjustRightInd w:val="0"/>
        <w:ind w:firstLine="737"/>
        <w:jc w:val="both"/>
        <w:rPr>
          <w:rFonts w:ascii="Arial" w:eastAsia="Times New Roman" w:hAnsi="Arial" w:cs="Arial"/>
          <w:lang w:val="ro-RO" w:eastAsia="ro-RO"/>
        </w:rPr>
      </w:pPr>
    </w:p>
    <w:p w:rsidR="000F4FEA" w:rsidRPr="00730CFC" w:rsidRDefault="000F4FEA" w:rsidP="00012F90">
      <w:pPr>
        <w:autoSpaceDE w:val="0"/>
        <w:autoSpaceDN w:val="0"/>
        <w:adjustRightInd w:val="0"/>
        <w:jc w:val="both"/>
        <w:rPr>
          <w:rFonts w:ascii="Arial" w:eastAsia="Times New Roman" w:hAnsi="Arial" w:cs="Arial"/>
          <w:lang w:eastAsia="ro-RO"/>
        </w:rPr>
      </w:pPr>
    </w:p>
    <w:p w:rsidR="000F4FEA" w:rsidRPr="00730CFC" w:rsidRDefault="000F4FEA" w:rsidP="00012F90">
      <w:pPr>
        <w:pStyle w:val="ListParagraph"/>
        <w:autoSpaceDE w:val="0"/>
        <w:autoSpaceDN w:val="0"/>
        <w:adjustRightInd w:val="0"/>
        <w:ind w:left="567"/>
        <w:jc w:val="both"/>
        <w:rPr>
          <w:rFonts w:ascii="Arial" w:hAnsi="Arial" w:cs="Arial"/>
          <w:b/>
        </w:rPr>
      </w:pPr>
      <w:r w:rsidRPr="00730CFC">
        <w:rPr>
          <w:rFonts w:ascii="Arial" w:hAnsi="Arial" w:cs="Arial"/>
          <w:b/>
        </w:rPr>
        <w:t>V.I.3 Schimbările climatice</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Schimbări climatice sunt schimbări de climat care sunt atribuite direct sau indirect unei activităţi omeneşti care alterează compoziţia atmosferei la nivel global şi care se adaugă variabilităţii naturale a climatului observat în cursul unor perioade comparabile.</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Studiile ştiinţifice de impact au pus în evidenţă modificările produse de schimbarea climei asupra sistemelor naturale şi au analizat măsurile de adaptare pentru ca aceste modificări să </w:t>
      </w:r>
      <w:r w:rsidRPr="00730CFC">
        <w:rPr>
          <w:rFonts w:ascii="Arial" w:eastAsia="Times New Roman" w:hAnsi="Arial" w:cs="Arial"/>
          <w:lang w:val="ro-RO" w:eastAsia="ro-RO"/>
        </w:rPr>
        <w:lastRenderedPageBreak/>
        <w:t>fie minime, astfel încât să se asigure resursele de hrană şi dezvoltarea pe termen lung a societăţii  şi economiei.</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Biodiversitatea este afectată de schimbările climatice, cu consecinţe negative pentru umanitate. În acelaşi timp, biodiversitatea, prin serviciile de ecosistem pe care le susţine, are o contribuţie importantă atât la atenuarea, cât şi la adaptarea la schimbările climatice. Cu alte cuvinte, conservarea şi gestiunea adecvată a biodiversităţii este o chestiune critică în privinţa schimbărilor climatice. </w:t>
      </w:r>
    </w:p>
    <w:p w:rsidR="000F4FEA" w:rsidRPr="00730CFC" w:rsidRDefault="000F4FEA" w:rsidP="00012F90">
      <w:pPr>
        <w:autoSpaceDE w:val="0"/>
        <w:autoSpaceDN w:val="0"/>
        <w:adjustRightInd w:val="0"/>
        <w:jc w:val="both"/>
        <w:rPr>
          <w:rFonts w:ascii="Arial" w:eastAsia="Times New Roman" w:hAnsi="Arial" w:cs="Arial"/>
          <w:lang w:val="ro-RO" w:eastAsia="ro-RO"/>
        </w:rPr>
      </w:pPr>
    </w:p>
    <w:p w:rsidR="000F4FEA" w:rsidRPr="001F6C27" w:rsidRDefault="000F4FEA" w:rsidP="00012F90">
      <w:pPr>
        <w:tabs>
          <w:tab w:val="left" w:pos="1176"/>
          <w:tab w:val="left" w:leader="dot" w:pos="9356"/>
        </w:tabs>
        <w:ind w:left="426"/>
        <w:jc w:val="both"/>
        <w:rPr>
          <w:rFonts w:ascii="Arial" w:hAnsi="Arial" w:cs="Arial"/>
          <w:b/>
          <w:lang w:val="ro-RO"/>
        </w:rPr>
      </w:pPr>
      <w:r w:rsidRPr="001F6C27">
        <w:rPr>
          <w:rFonts w:ascii="Arial" w:hAnsi="Arial" w:cs="Arial"/>
          <w:b/>
          <w:lang w:val="ro-RO"/>
        </w:rPr>
        <w:t xml:space="preserve">V.1.4 Modificarea habitatelor </w:t>
      </w:r>
    </w:p>
    <w:p w:rsidR="000F4FEA" w:rsidRPr="00730CFC" w:rsidRDefault="000F4FEA" w:rsidP="00012F90">
      <w:pPr>
        <w:tabs>
          <w:tab w:val="left" w:leader="dot" w:pos="9356"/>
        </w:tabs>
        <w:rPr>
          <w:rFonts w:ascii="Arial" w:hAnsi="Arial" w:cs="Arial"/>
          <w:lang w:val="ro-RO"/>
        </w:rPr>
      </w:pPr>
      <w:r w:rsidRPr="001F6C27">
        <w:rPr>
          <w:rFonts w:ascii="Arial" w:hAnsi="Arial" w:cs="Arial"/>
          <w:b/>
          <w:lang w:val="ro-RO"/>
        </w:rPr>
        <w:t xml:space="preserve">              V.1.4.1. Fragmentarea ecosistemelor</w:t>
      </w:r>
      <w:r w:rsidRPr="00730CFC">
        <w:rPr>
          <w:rFonts w:ascii="Arial" w:hAnsi="Arial" w:cs="Arial"/>
          <w:lang w:val="ro-RO"/>
        </w:rPr>
        <w:t xml:space="preserve"> </w:t>
      </w:r>
    </w:p>
    <w:p w:rsidR="000F4FEA" w:rsidRPr="00730CFC" w:rsidRDefault="000F4FEA" w:rsidP="00012F90">
      <w:pPr>
        <w:tabs>
          <w:tab w:val="left" w:leader="dot" w:pos="9356"/>
        </w:tabs>
        <w:ind w:left="1498"/>
        <w:rPr>
          <w:rFonts w:ascii="Arial" w:hAnsi="Arial" w:cs="Arial"/>
          <w:lang w:val="ro-RO"/>
        </w:rPr>
      </w:pPr>
    </w:p>
    <w:p w:rsidR="000F4FEA" w:rsidRPr="00730CFC" w:rsidRDefault="000F4FEA" w:rsidP="00012F90">
      <w:pPr>
        <w:pStyle w:val="Default"/>
        <w:jc w:val="both"/>
        <w:rPr>
          <w:rFonts w:ascii="Arial" w:hAnsi="Arial" w:cs="Arial"/>
          <w:color w:val="auto"/>
          <w:lang w:val="ro-RO" w:eastAsia="ro-RO"/>
        </w:rPr>
      </w:pPr>
      <w:r w:rsidRPr="00730CFC">
        <w:rPr>
          <w:rFonts w:ascii="Arial" w:hAnsi="Arial" w:cs="Arial"/>
          <w:color w:val="auto"/>
          <w:lang w:val="ro-RO" w:eastAsia="ro-RO"/>
        </w:rPr>
        <w:t xml:space="preserve">Extinderea în spaţiu a sistemului socio-economic uman, creşterea complexităţii subsistemelor componente precum şi sporirea conexiunilor dintre acestea duc la distrugerea, degradarea şi fragmentarea sistemelor ecologice naturale şi seminaturale. </w:t>
      </w:r>
      <w:r w:rsidRPr="00730CFC">
        <w:rPr>
          <w:rFonts w:ascii="Arial" w:hAnsi="Arial" w:cs="Arial"/>
          <w:color w:val="auto"/>
        </w:rPr>
        <w:t xml:space="preserve">Fragmentarea habitatelor este procesul prin care o suprafaţă mare şi continuă a unui habitat este divizată în două sau mai multe fragmente. </w:t>
      </w:r>
      <w:r w:rsidRPr="00730CFC">
        <w:rPr>
          <w:rFonts w:ascii="Arial" w:hAnsi="Arial" w:cs="Arial"/>
          <w:color w:val="auto"/>
          <w:lang w:val="ro-RO" w:eastAsia="ro-RO"/>
        </w:rPr>
        <w:t xml:space="preserve">Alterarea sistemelor ecologice naturale terestre şi a apelor curgătoare este considerată una din cele mai grave ameninţări asupra biodiversităţii la nivel global. </w:t>
      </w:r>
    </w:p>
    <w:p w:rsidR="000F4FEA" w:rsidRPr="00730CFC" w:rsidRDefault="000F4FEA" w:rsidP="00012F90">
      <w:pPr>
        <w:pStyle w:val="Default"/>
        <w:jc w:val="both"/>
        <w:rPr>
          <w:rFonts w:ascii="Arial" w:hAnsi="Arial" w:cs="Arial"/>
          <w:color w:val="auto"/>
          <w:lang w:val="ro-RO" w:eastAsia="ro-RO"/>
        </w:rPr>
      </w:pPr>
      <w:r w:rsidRPr="00730CFC">
        <w:rPr>
          <w:rFonts w:ascii="Arial" w:hAnsi="Arial" w:cs="Arial"/>
          <w:color w:val="auto"/>
          <w:lang w:val="ro-RO" w:eastAsia="ro-RO"/>
        </w:rPr>
        <w:t xml:space="preserve">Cea mai vizibilă şi cu un impact major este distrugerea directă a sistemelor ecologice (ex. tăierea unei păduri, drenarea unui zone umede, construirea unui baraj, transformarea zonelor de stepă/preerie/savană în agroecosisteme). Deseori impactul distrugerii directe este mult amplificat de fragmentarea sistemelor ecologice rămase. </w:t>
      </w:r>
    </w:p>
    <w:p w:rsidR="000F4FEA" w:rsidRPr="00730CFC" w:rsidRDefault="000F4FEA" w:rsidP="00012F90">
      <w:pPr>
        <w:pStyle w:val="Default"/>
        <w:jc w:val="both"/>
        <w:rPr>
          <w:rFonts w:ascii="Arial" w:hAnsi="Arial" w:cs="Arial"/>
          <w:color w:val="auto"/>
          <w:lang w:val="ro-RO" w:eastAsia="ro-RO"/>
        </w:rPr>
      </w:pPr>
      <w:r w:rsidRPr="00730CFC">
        <w:rPr>
          <w:rFonts w:ascii="Arial" w:hAnsi="Arial" w:cs="Arial"/>
          <w:color w:val="auto"/>
          <w:lang w:val="ro-RO" w:eastAsia="ro-RO"/>
        </w:rPr>
        <w:t xml:space="preserve">Fragmentarea poate duce la întreruperea continuităţii structurale sau funcţionale a sistemelor ecologice, datorită distribuirii habitatului rămas în parcele mici, izolate. Rezultatul final al dezvoltării componentelor sistemului socio-economic uman într-o regiune sunt un ansamblu de zone naturale şi seminaturale, cu suprafaţă redusă, izolate, adevărate insule într-o “mare” de agroecosisteme, ecosisteme urbane şi rurale. Conversia terenurilor în scopul dezvoltării urbane, industriale, agricole, turistice sau pentru transport, poate determina degradarea, distrugerea şi fragmentarea habitatelor. Se reduce astfel spaţiul pentru habitate şi ecosisteme care furnizează servicii importante, cum ar fi reglarea echilibrului apei şi protecţia împotriva inundaţiilor. </w:t>
      </w:r>
    </w:p>
    <w:p w:rsidR="000F4FEA" w:rsidRPr="00730CFC" w:rsidRDefault="000F4FEA" w:rsidP="00012F90">
      <w:pPr>
        <w:pStyle w:val="Default"/>
        <w:jc w:val="both"/>
        <w:rPr>
          <w:rFonts w:ascii="Arial" w:hAnsi="Arial" w:cs="Arial"/>
          <w:color w:val="auto"/>
          <w:lang w:val="ro-RO" w:eastAsia="ro-RO"/>
        </w:rPr>
      </w:pPr>
      <w:r w:rsidRPr="00730CFC">
        <w:rPr>
          <w:rFonts w:ascii="Arial" w:hAnsi="Arial" w:cs="Arial"/>
          <w:color w:val="auto"/>
          <w:lang w:val="ro-RO" w:eastAsia="ro-RO"/>
        </w:rPr>
        <w:t xml:space="preserve">Fragmentarea antropică a habitatelor are loc mai ales prin </w:t>
      </w:r>
      <w:r w:rsidRPr="00730CFC">
        <w:rPr>
          <w:rFonts w:ascii="Arial" w:hAnsi="Arial" w:cs="Arial"/>
          <w:b/>
          <w:color w:val="auto"/>
          <w:lang w:val="ro-RO" w:eastAsia="ro-RO"/>
        </w:rPr>
        <w:t>conversia terenurilor agricole, urbanizare, poluare, despăduriri şi introducerea de specii alogene</w:t>
      </w:r>
      <w:r w:rsidRPr="00730CFC">
        <w:rPr>
          <w:rFonts w:ascii="Arial" w:hAnsi="Arial" w:cs="Arial"/>
          <w:color w:val="auto"/>
          <w:lang w:val="ro-RO" w:eastAsia="ro-RO"/>
        </w:rPr>
        <w:t xml:space="preserve">. </w:t>
      </w:r>
    </w:p>
    <w:p w:rsidR="000F4FEA" w:rsidRPr="00730CFC" w:rsidRDefault="000F4FEA" w:rsidP="00012F90">
      <w:pPr>
        <w:pStyle w:val="Default"/>
        <w:jc w:val="both"/>
        <w:rPr>
          <w:rFonts w:ascii="Arial" w:hAnsi="Arial" w:cs="Arial"/>
          <w:lang w:val="fr-FR"/>
        </w:rPr>
      </w:pPr>
      <w:r w:rsidRPr="00730CFC">
        <w:rPr>
          <w:rFonts w:ascii="Arial" w:hAnsi="Arial" w:cs="Arial"/>
          <w:color w:val="auto"/>
          <w:lang w:val="ro-RO" w:eastAsia="ro-RO"/>
        </w:rPr>
        <w:t>Fragmentarea ecosistemelor este cauza cea mai importantă a distrugerii biodiversităţii, prin reducerea bogăţiei de specii şi a diversităţii taxonomice, respectiv prin reducerea funcţiilor ecosistemelor. Fragmentarea poate produce izolarea unor specii până la reducerea la minim a mărimii viabile a unei populaţii, aceasta fiind în pericol de extincţie. În alte cazuri, populaţia unei specii poate să crească într-un habitat complex fragmentat, pentru că este specie dominantă sau pentru că au fost eliminate alte specii prin fragmentare.</w:t>
      </w:r>
    </w:p>
    <w:p w:rsidR="000F4FEA" w:rsidRPr="00730CFC" w:rsidRDefault="000F4FEA" w:rsidP="00012F90">
      <w:pPr>
        <w:jc w:val="both"/>
        <w:rPr>
          <w:rFonts w:ascii="Arial" w:hAnsi="Arial" w:cs="Arial"/>
          <w:lang w:val="fr-FR"/>
        </w:rPr>
      </w:pPr>
      <w:r w:rsidRPr="00730CFC">
        <w:rPr>
          <w:rFonts w:ascii="Arial" w:hAnsi="Arial" w:cs="Arial"/>
          <w:lang w:val="fr-FR"/>
        </w:rPr>
        <w:t xml:space="preserve">În judeţul Brăila s-au manifestat în anii trecuţi cu predilecţie extinderea şi intensificarea sistemelor de producţie agricolă prin transformarea unor ecosisteme naturale sau semi-naturale în terenuri arabile şi amenajarea lor pentru aplicarea tehnologiilor de producţie intensivă. Astfel, Lunca Dunării a fost parţial îndiguită şi transformată în ecosisteme agricole, ca şi o mare parte din păşunile cu vegetaţie de stepă pe terenuri cu exces de umiditate, care au fost asanate. </w:t>
      </w:r>
    </w:p>
    <w:p w:rsidR="000F4FEA" w:rsidRPr="00730CFC" w:rsidRDefault="000F4FEA" w:rsidP="00012F90">
      <w:pPr>
        <w:jc w:val="both"/>
        <w:rPr>
          <w:rFonts w:ascii="Arial" w:hAnsi="Arial" w:cs="Arial"/>
          <w:lang w:val="fr-FR"/>
        </w:rPr>
      </w:pPr>
      <w:r w:rsidRPr="00730CFC">
        <w:rPr>
          <w:rFonts w:ascii="Arial" w:hAnsi="Arial" w:cs="Arial"/>
          <w:lang w:val="fr-FR"/>
        </w:rPr>
        <w:t xml:space="preserve">Consecinţele îndiguirii sunt: </w:t>
      </w:r>
    </w:p>
    <w:p w:rsidR="000F4FEA" w:rsidRPr="00730CFC" w:rsidRDefault="000F4FEA" w:rsidP="005E6B2E">
      <w:pPr>
        <w:numPr>
          <w:ilvl w:val="0"/>
          <w:numId w:val="40"/>
        </w:numPr>
        <w:jc w:val="both"/>
        <w:rPr>
          <w:rFonts w:ascii="Arial" w:hAnsi="Arial" w:cs="Arial"/>
          <w:lang w:val="it-IT"/>
        </w:rPr>
      </w:pPr>
      <w:r w:rsidRPr="00730CFC">
        <w:rPr>
          <w:rFonts w:ascii="Arial" w:hAnsi="Arial" w:cs="Arial"/>
          <w:lang w:val="it-IT"/>
        </w:rPr>
        <w:t>modificarea regimului hidrologic al Dunării prin creşterea amplitudinii viiturilor;</w:t>
      </w:r>
    </w:p>
    <w:p w:rsidR="000F4FEA" w:rsidRPr="00730CFC" w:rsidRDefault="000F4FEA" w:rsidP="005E6B2E">
      <w:pPr>
        <w:numPr>
          <w:ilvl w:val="0"/>
          <w:numId w:val="40"/>
        </w:numPr>
        <w:jc w:val="both"/>
        <w:rPr>
          <w:rFonts w:ascii="Arial" w:hAnsi="Arial" w:cs="Arial"/>
        </w:rPr>
      </w:pPr>
      <w:r w:rsidRPr="00730CFC">
        <w:rPr>
          <w:rFonts w:ascii="Arial" w:hAnsi="Arial" w:cs="Arial"/>
        </w:rPr>
        <w:t>reducerea capacităţii de retenţie a nutrienţilor de către zonele inundabile;</w:t>
      </w:r>
    </w:p>
    <w:p w:rsidR="000F4FEA" w:rsidRPr="00730CFC" w:rsidRDefault="000F4FEA" w:rsidP="005E6B2E">
      <w:pPr>
        <w:numPr>
          <w:ilvl w:val="0"/>
          <w:numId w:val="40"/>
        </w:numPr>
        <w:jc w:val="both"/>
        <w:rPr>
          <w:rFonts w:ascii="Arial" w:hAnsi="Arial" w:cs="Arial"/>
        </w:rPr>
      </w:pPr>
      <w:r w:rsidRPr="00730CFC">
        <w:rPr>
          <w:rFonts w:ascii="Arial" w:hAnsi="Arial" w:cs="Arial"/>
        </w:rPr>
        <w:t>sărăturarea terenurilor desecate din cauza fluctuaţiilor nivelului pânzei freatice din sol;</w:t>
      </w:r>
    </w:p>
    <w:p w:rsidR="000F4FEA" w:rsidRPr="00730CFC" w:rsidRDefault="000F4FEA" w:rsidP="005E6B2E">
      <w:pPr>
        <w:numPr>
          <w:ilvl w:val="0"/>
          <w:numId w:val="40"/>
        </w:numPr>
        <w:jc w:val="both"/>
        <w:rPr>
          <w:rFonts w:ascii="Arial" w:hAnsi="Arial" w:cs="Arial"/>
        </w:rPr>
      </w:pPr>
      <w:r w:rsidRPr="00730CFC">
        <w:rPr>
          <w:rFonts w:ascii="Arial" w:hAnsi="Arial" w:cs="Arial"/>
        </w:rPr>
        <w:t>reducerea zonelor de reproducere a speciilor de peşti semimigratori;</w:t>
      </w:r>
    </w:p>
    <w:p w:rsidR="000F4FEA" w:rsidRPr="00730CFC" w:rsidRDefault="000F4FEA" w:rsidP="005E6B2E">
      <w:pPr>
        <w:numPr>
          <w:ilvl w:val="0"/>
          <w:numId w:val="40"/>
        </w:numPr>
        <w:jc w:val="both"/>
        <w:rPr>
          <w:rFonts w:ascii="Arial" w:hAnsi="Arial" w:cs="Arial"/>
        </w:rPr>
      </w:pPr>
      <w:r w:rsidRPr="00730CFC">
        <w:rPr>
          <w:rFonts w:ascii="Arial" w:hAnsi="Arial" w:cs="Arial"/>
        </w:rPr>
        <w:t>reducerea capturilor de peşte.</w:t>
      </w:r>
    </w:p>
    <w:p w:rsidR="000F4FEA" w:rsidRPr="00730CFC" w:rsidRDefault="000F4FEA" w:rsidP="00012F90">
      <w:pPr>
        <w:ind w:firstLine="720"/>
        <w:jc w:val="both"/>
        <w:rPr>
          <w:rFonts w:ascii="Arial" w:hAnsi="Arial" w:cs="Arial"/>
          <w:lang w:val="fr-FR"/>
        </w:rPr>
      </w:pPr>
      <w:r w:rsidRPr="00730CFC">
        <w:rPr>
          <w:rFonts w:ascii="Arial" w:hAnsi="Arial" w:cs="Arial"/>
          <w:lang w:val="fr-FR"/>
        </w:rPr>
        <w:lastRenderedPageBreak/>
        <w:t xml:space="preserve">Secarea multor ecosisteme acvatice ca efect al adâncirii cu ani în urmă, în scop piscicol, a canalelor de comunicare cu Dunărea, a produs modificări în regimul de circulaţie al apei. În mod natural Dunărea inunda uscatul şi alimenta bălţile, iar după stoparea viiturii luciile de apă se menţineau o perioadă mult mai îndelungată, putând fi afectate doar de evapotranspiraţia excesivă pe timp de secetă. Realizarea canalelor în scop piscicol determină în prezent scurgerea prematură a apei către Dunăre, fenomen favorizat şi de faptul că, în timp, fundul bălţilor s-a ridicat prin depunerea aluviunilor aduse de fluviu. </w:t>
      </w:r>
    </w:p>
    <w:p w:rsidR="000F4FEA" w:rsidRPr="00730CFC" w:rsidRDefault="000F4FEA" w:rsidP="00012F90">
      <w:pPr>
        <w:jc w:val="both"/>
        <w:rPr>
          <w:rFonts w:ascii="Arial" w:hAnsi="Arial" w:cs="Arial"/>
          <w:lang w:val="fr-FR"/>
        </w:rPr>
      </w:pPr>
      <w:r w:rsidRPr="00730CFC">
        <w:rPr>
          <w:rFonts w:ascii="Arial" w:hAnsi="Arial" w:cs="Arial"/>
          <w:lang w:val="fr-FR"/>
        </w:rPr>
        <w:t xml:space="preserve">Modificarea ecosistemelor a fost cauzată şi de utilizarea unor metode şi tehnici agricole inadecvate precum folosirea pesticidelor, păşunatul intensiv sau neorganizat, arderea miriştilor, ş.a.. </w:t>
      </w:r>
    </w:p>
    <w:p w:rsidR="000F4FEA" w:rsidRPr="00730CFC" w:rsidRDefault="000F4FEA" w:rsidP="00012F90">
      <w:pPr>
        <w:jc w:val="both"/>
        <w:rPr>
          <w:rFonts w:ascii="Arial" w:hAnsi="Arial" w:cs="Arial"/>
          <w:lang w:val="fr-FR"/>
        </w:rPr>
      </w:pPr>
      <w:r w:rsidRPr="00730CFC">
        <w:rPr>
          <w:rFonts w:ascii="Arial" w:hAnsi="Arial" w:cs="Arial"/>
          <w:lang w:val="fr-FR"/>
        </w:rPr>
        <w:t xml:space="preserve">Substituirea pădurilor aluviale naturale din Balta Brăilei prin culturi uniclonale plopicole şi salicicole, îndiguirile, desecările şi întinsele monoculturi agricole practicate în ultimlele decenii au dus la profunde modificări calitative şi cantitative asupra biodiversităţii judeţului. </w:t>
      </w:r>
    </w:p>
    <w:p w:rsidR="000F4FEA" w:rsidRPr="00730CFC" w:rsidRDefault="000F4FEA" w:rsidP="00012F90">
      <w:pPr>
        <w:jc w:val="both"/>
        <w:rPr>
          <w:rFonts w:ascii="Arial" w:hAnsi="Arial" w:cs="Arial"/>
          <w:lang w:val="fr-FR"/>
        </w:rPr>
      </w:pPr>
    </w:p>
    <w:p w:rsidR="000F4FEA" w:rsidRPr="00BB433A" w:rsidRDefault="000F4FEA" w:rsidP="00BB433A">
      <w:pPr>
        <w:tabs>
          <w:tab w:val="left" w:leader="dot" w:pos="9356"/>
        </w:tabs>
        <w:ind w:left="1498"/>
        <w:jc w:val="both"/>
        <w:rPr>
          <w:rFonts w:ascii="Arial" w:hAnsi="Arial" w:cs="Arial"/>
          <w:b/>
          <w:lang w:val="ro-RO"/>
        </w:rPr>
      </w:pPr>
      <w:r w:rsidRPr="00BB433A">
        <w:rPr>
          <w:rFonts w:ascii="Arial" w:hAnsi="Arial" w:cs="Arial"/>
          <w:b/>
          <w:lang w:val="ro-RO"/>
        </w:rPr>
        <w:t xml:space="preserve">V.1.4.2. Reducerea habitatelor naturale şi semi-naturale </w:t>
      </w:r>
    </w:p>
    <w:p w:rsidR="000F4FEA" w:rsidRPr="00730CFC" w:rsidRDefault="000F4FEA" w:rsidP="00012F90">
      <w:pPr>
        <w:pStyle w:val="Default"/>
        <w:jc w:val="both"/>
        <w:rPr>
          <w:rFonts w:ascii="Arial" w:hAnsi="Arial" w:cs="Arial"/>
          <w:color w:val="auto"/>
          <w:lang w:val="ro-RO" w:eastAsia="ro-RO"/>
        </w:rPr>
      </w:pPr>
      <w:r w:rsidRPr="00730CFC">
        <w:rPr>
          <w:rFonts w:ascii="Arial" w:hAnsi="Arial" w:cs="Arial"/>
          <w:color w:val="auto"/>
          <w:lang w:val="ro-RO" w:eastAsia="ro-RO"/>
        </w:rPr>
        <w:t>Terenurile ocupate de suprafeţele construite şi infrastructura densă conectează aşezările umane şi fragmentează peisajele. Acest lucru fiind, de asemenea, o sursă importantă de poluare a apei, solului şi a aerului.</w:t>
      </w:r>
    </w:p>
    <w:p w:rsidR="000F4FEA" w:rsidRPr="00730CFC" w:rsidRDefault="000F4FEA" w:rsidP="00012F90">
      <w:pPr>
        <w:pStyle w:val="Default"/>
        <w:jc w:val="both"/>
        <w:rPr>
          <w:rFonts w:ascii="Arial" w:hAnsi="Arial" w:cs="Arial"/>
          <w:color w:val="auto"/>
          <w:lang w:val="ro-RO" w:eastAsia="ro-RO"/>
        </w:rPr>
      </w:pPr>
      <w:r w:rsidRPr="00730CFC">
        <w:rPr>
          <w:rFonts w:ascii="Arial" w:hAnsi="Arial" w:cs="Arial"/>
          <w:color w:val="auto"/>
          <w:lang w:val="ro-RO" w:eastAsia="ro-RO"/>
        </w:rPr>
        <w:t>Gradul de conversie a terenurilor se poate exprima prin schimbarea cantitativă a ocupării terenurilor agricole, împădurite, semi-naturale şi naturale, prin expansiunea terenurilor urbane şi artificiale.</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În privinţa suprafeţelor scoase din circuitul agricol, acestea au primit alte folosinţe, în special pentru construirea canalizării pentru apa menajeră şi a staţiilor de epurare a apelor uzate, amplasarea de parcuri eoliene, staţii telefonie mobilă, precum şi pentru alte construcţii. În general, zonele ocupate de construcţii s-au extins în detrimentul celorlalte categorii de acoperiri de terenuri, cu excepţia pădurilor şi a corpurilor de apă.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Toate investiţiile mari, dar şi cele mici, amplasate în zone naturale, trebuie să ţină cont, în primul rând, de impactul negativ asupra florei şi a faunei sălbatice. În acest sens, se impun studii de impact bine documentate, elaborate de către specialişti în domeniu, punându-se accent pe efectele pe termen mediu şi lung.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Extinderea intravilanului în zonele din imediata vecinătate a ariilor naturale protejate sau chiar în interiorul acestora cu scopul de realizare ulterioara a unor zone rezidenţiale sau chiar staţiuni turistice generează o presiune puternică asupra ariilor naturale protejate. </w:t>
      </w:r>
    </w:p>
    <w:p w:rsidR="000F4FEA" w:rsidRPr="00730CFC" w:rsidRDefault="000F4FEA" w:rsidP="00012F90">
      <w:pPr>
        <w:pStyle w:val="BodyText21"/>
        <w:widowControl/>
        <w:rPr>
          <w:rFonts w:ascii="Arial" w:hAnsi="Arial" w:cs="Arial"/>
          <w:lang w:val="ro-RO"/>
        </w:rPr>
      </w:pPr>
      <w:r w:rsidRPr="00730CFC">
        <w:rPr>
          <w:rFonts w:ascii="Arial" w:eastAsia="SimSun" w:hAnsi="Arial" w:cs="Arial"/>
          <w:lang w:val="fr-FR"/>
        </w:rPr>
        <w:t>De multe ori efectele acţiunilor antropice sunt greu sesizabile, însă în unele împrejurări, când afectează biocenoze întregi, pot fi de-a dreptul catastrofale pentru existenţa populaţiilor umane, din zonele respective. Dispariţia sau scăderea până la un nivel critic a speciilor este cauzată de supraexploatare (vânătoare, pescuit, suprapăşunat), însă, de multe ori, este consecinţa distrugerii habitatului lor prin construirea diverselor obiective urbane şi industriale. Exploatarea excesivă a unor resurse naturale, precum şi fragmentarea unor habitate naturale, duc la periclitarea vieţii sălbatice</w:t>
      </w:r>
    </w:p>
    <w:p w:rsidR="000F4FEA" w:rsidRPr="00730CFC" w:rsidRDefault="000F4FEA" w:rsidP="00012F90">
      <w:pPr>
        <w:tabs>
          <w:tab w:val="left" w:pos="6955"/>
        </w:tabs>
        <w:ind w:left="993"/>
        <w:jc w:val="both"/>
        <w:rPr>
          <w:rFonts w:ascii="Arial" w:hAnsi="Arial" w:cs="Arial"/>
          <w:i/>
          <w:lang w:val="ro-RO"/>
        </w:rPr>
      </w:pPr>
      <w:r w:rsidRPr="00730CFC">
        <w:rPr>
          <w:rFonts w:ascii="Arial" w:hAnsi="Arial" w:cs="Arial"/>
          <w:i/>
          <w:lang w:val="ro-RO"/>
        </w:rPr>
        <w:tab/>
      </w:r>
    </w:p>
    <w:p w:rsidR="000F4FEA" w:rsidRPr="00730CFC" w:rsidRDefault="000F4FEA" w:rsidP="00012F90">
      <w:pPr>
        <w:tabs>
          <w:tab w:val="left" w:pos="1176"/>
          <w:tab w:val="left" w:leader="dot" w:pos="9356"/>
        </w:tabs>
        <w:ind w:left="426"/>
        <w:rPr>
          <w:rFonts w:ascii="Arial" w:hAnsi="Arial" w:cs="Arial"/>
          <w:b/>
          <w:i/>
          <w:lang w:val="ro-RO"/>
        </w:rPr>
      </w:pPr>
      <w:r w:rsidRPr="00730CFC">
        <w:rPr>
          <w:rFonts w:ascii="Arial" w:hAnsi="Arial" w:cs="Arial"/>
          <w:b/>
          <w:i/>
          <w:lang w:val="ro-RO"/>
        </w:rPr>
        <w:t>V.1.5 Exploatarea excesivă a resurselor naturale</w:t>
      </w:r>
    </w:p>
    <w:p w:rsidR="000F4FEA" w:rsidRPr="00730CFC" w:rsidRDefault="000F4FEA" w:rsidP="00012F90">
      <w:pPr>
        <w:tabs>
          <w:tab w:val="left" w:pos="1176"/>
          <w:tab w:val="left" w:leader="dot" w:pos="9356"/>
        </w:tabs>
        <w:ind w:left="993"/>
        <w:rPr>
          <w:rFonts w:ascii="Arial" w:hAnsi="Arial" w:cs="Arial"/>
          <w:b/>
          <w:i/>
          <w:lang w:val="ro-RO"/>
        </w:rPr>
      </w:pPr>
    </w:p>
    <w:p w:rsidR="000F4FEA" w:rsidRPr="00730CFC" w:rsidRDefault="000F4FEA" w:rsidP="00012F90">
      <w:pPr>
        <w:pStyle w:val="BodyText21"/>
        <w:widowControl/>
        <w:rPr>
          <w:rFonts w:ascii="Arial" w:hAnsi="Arial" w:cs="Arial"/>
          <w:lang w:val="ro-RO"/>
        </w:rPr>
      </w:pPr>
      <w:r w:rsidRPr="00730CFC">
        <w:rPr>
          <w:rFonts w:ascii="Arial" w:hAnsi="Arial" w:cs="Arial"/>
          <w:lang w:val="ro-RO"/>
        </w:rPr>
        <w:t>Utilizarea nesustenabilă a resurselor naturale şi supra-exploatarea lor, care apare când consumul depăşeşte puterea de reproducere a plantelor şi animalelor, este una din ameninţările majore pentru  biodiversitate.</w:t>
      </w:r>
    </w:p>
    <w:p w:rsidR="000F4FEA" w:rsidRPr="00730CFC" w:rsidRDefault="000F4FEA" w:rsidP="00012F90">
      <w:pPr>
        <w:jc w:val="both"/>
        <w:rPr>
          <w:rFonts w:ascii="Arial" w:hAnsi="Arial" w:cs="Arial"/>
          <w:lang w:val="fr-FR"/>
        </w:rPr>
      </w:pPr>
      <w:r w:rsidRPr="00730CFC">
        <w:rPr>
          <w:rFonts w:ascii="Arial" w:hAnsi="Arial" w:cs="Arial"/>
          <w:lang w:val="fr-FR"/>
        </w:rPr>
        <w:t>Supraexploatarea resurselor naturale regenerabile pentru a alimenta procesele de producţie din economie, se poate realiza prin:</w:t>
      </w:r>
    </w:p>
    <w:p w:rsidR="000F4FEA" w:rsidRPr="00730CFC" w:rsidRDefault="000F4FEA" w:rsidP="005E6B2E">
      <w:pPr>
        <w:numPr>
          <w:ilvl w:val="0"/>
          <w:numId w:val="33"/>
        </w:numPr>
        <w:tabs>
          <w:tab w:val="clear" w:pos="2520"/>
        </w:tabs>
        <w:ind w:left="561"/>
        <w:jc w:val="both"/>
        <w:rPr>
          <w:rFonts w:ascii="Arial" w:hAnsi="Arial" w:cs="Arial"/>
          <w:lang w:val="it-IT"/>
        </w:rPr>
      </w:pPr>
      <w:r w:rsidRPr="00730CFC">
        <w:rPr>
          <w:rFonts w:ascii="Arial" w:hAnsi="Arial" w:cs="Arial"/>
          <w:lang w:val="it-IT"/>
        </w:rPr>
        <w:t xml:space="preserve">agricultura intensivă, este concentrată pe monocultură, cu minimizarea speciilor asociate. Aceste sisteme oferă producţii mari pentru un singur produs, dar depind de utilizarea fertilizatorilor şi a pesticidelor. </w:t>
      </w:r>
    </w:p>
    <w:p w:rsidR="000F4FEA" w:rsidRPr="00730CFC" w:rsidRDefault="000F4FEA" w:rsidP="005E6B2E">
      <w:pPr>
        <w:numPr>
          <w:ilvl w:val="0"/>
          <w:numId w:val="33"/>
        </w:numPr>
        <w:tabs>
          <w:tab w:val="clear" w:pos="2520"/>
        </w:tabs>
        <w:ind w:left="561"/>
        <w:jc w:val="both"/>
        <w:rPr>
          <w:rFonts w:ascii="Arial" w:hAnsi="Arial" w:cs="Arial"/>
          <w:lang w:val="it-IT"/>
        </w:rPr>
      </w:pPr>
      <w:r w:rsidRPr="00730CFC">
        <w:rPr>
          <w:rFonts w:ascii="Arial" w:hAnsi="Arial" w:cs="Arial"/>
          <w:lang w:val="it-IT"/>
        </w:rPr>
        <w:lastRenderedPageBreak/>
        <w:t xml:space="preserve">exploatarea unor specii prin vânătoare sau pescuit, braconajul piscicol având drept consecinţe diminuarea necontrolată a populaţiilor de peşti în sensul depăşirii capacităţii de suport, capturarea neselectivă a ihtiofaunei (mai ales folosind pentru pescuit dispozitive cu curent electric şi plase  monofilament), produc dezechilibre în lanţurile trofice; </w:t>
      </w:r>
    </w:p>
    <w:p w:rsidR="000F4FEA" w:rsidRPr="00730CFC" w:rsidRDefault="000F4FEA" w:rsidP="005E6B2E">
      <w:pPr>
        <w:numPr>
          <w:ilvl w:val="0"/>
          <w:numId w:val="33"/>
        </w:numPr>
        <w:tabs>
          <w:tab w:val="clear" w:pos="2520"/>
          <w:tab w:val="num" w:pos="567"/>
        </w:tabs>
        <w:ind w:left="561"/>
        <w:jc w:val="both"/>
        <w:rPr>
          <w:rFonts w:ascii="Arial" w:hAnsi="Arial" w:cs="Arial"/>
          <w:lang w:val="it-IT"/>
        </w:rPr>
      </w:pPr>
      <w:r w:rsidRPr="00730CFC">
        <w:rPr>
          <w:rFonts w:ascii="Arial" w:hAnsi="Arial" w:cs="Arial"/>
          <w:lang w:val="it-IT"/>
        </w:rPr>
        <w:t>supraexploatarea masei lemnoase şi tăierile ilegale din pădurile de curând retrocedate şi care nu sunt în prezent administrate corespunzător reprezintă o ameninţare la adresa biodiversităţii;</w:t>
      </w:r>
    </w:p>
    <w:p w:rsidR="000F4FEA" w:rsidRPr="00730CFC" w:rsidRDefault="000F4FEA" w:rsidP="005E6B2E">
      <w:pPr>
        <w:numPr>
          <w:ilvl w:val="0"/>
          <w:numId w:val="33"/>
        </w:numPr>
        <w:tabs>
          <w:tab w:val="clear" w:pos="2520"/>
          <w:tab w:val="num" w:pos="567"/>
        </w:tabs>
        <w:ind w:left="561"/>
        <w:jc w:val="both"/>
        <w:rPr>
          <w:rFonts w:ascii="Arial" w:hAnsi="Arial" w:cs="Arial"/>
          <w:lang w:val="it-IT"/>
        </w:rPr>
      </w:pPr>
      <w:r w:rsidRPr="00730CFC">
        <w:rPr>
          <w:rFonts w:ascii="Arial" w:hAnsi="Arial" w:cs="Arial"/>
          <w:lang w:val="it-IT"/>
        </w:rPr>
        <w:t>suprapăşunatul ce are un impact negativ semnificativ asupra fitocenozelor, cauzând descreşterea biomasei vegetale şi a numărului de specii cu valoare nutritivă;</w:t>
      </w:r>
    </w:p>
    <w:p w:rsidR="000F4FEA" w:rsidRPr="00730CFC" w:rsidRDefault="000F4FEA" w:rsidP="005E6B2E">
      <w:pPr>
        <w:numPr>
          <w:ilvl w:val="0"/>
          <w:numId w:val="33"/>
        </w:numPr>
        <w:tabs>
          <w:tab w:val="clear" w:pos="2520"/>
          <w:tab w:val="num" w:pos="567"/>
        </w:tabs>
        <w:ind w:left="561"/>
        <w:jc w:val="both"/>
        <w:rPr>
          <w:rFonts w:ascii="Arial" w:hAnsi="Arial" w:cs="Arial"/>
          <w:lang w:val="it-IT"/>
        </w:rPr>
      </w:pPr>
      <w:r w:rsidRPr="00730CFC">
        <w:rPr>
          <w:rFonts w:ascii="Arial" w:hAnsi="Arial" w:cs="Arial"/>
          <w:lang w:val="it-IT"/>
        </w:rPr>
        <w:t xml:space="preserve">presiunile asupra resursei de apă au crescut în ultimii ani din cauza dezvoltării agriculturii, sectorului energetic, industriei, alimentării cu apă şi a turismului, necesarul de apă depăşind de multe ori cantităţile existente. Creşterea volumelor de apă stocate artificial reduce apa alocată sistemelor naturale şi creşte fragmentarea din cauza barajelor. Extracţia excesivă de apă şi perioadele prelungite de secetă au redus debitele râurilor, au redus nivelul lacurilor şi al apelor freatice şi au secat zonele umede. </w:t>
      </w:r>
    </w:p>
    <w:p w:rsidR="000F4FEA" w:rsidRPr="00730CFC" w:rsidRDefault="000F4FEA" w:rsidP="005E6B2E">
      <w:pPr>
        <w:numPr>
          <w:ilvl w:val="0"/>
          <w:numId w:val="33"/>
        </w:numPr>
        <w:tabs>
          <w:tab w:val="clear" w:pos="2520"/>
          <w:tab w:val="num" w:pos="567"/>
        </w:tabs>
        <w:ind w:left="561"/>
        <w:jc w:val="both"/>
        <w:rPr>
          <w:rFonts w:ascii="Arial" w:hAnsi="Arial" w:cs="Arial"/>
          <w:lang w:val="it-IT"/>
        </w:rPr>
      </w:pPr>
      <w:r w:rsidRPr="00730CFC">
        <w:rPr>
          <w:rFonts w:ascii="Arial" w:hAnsi="Arial" w:cs="Arial"/>
          <w:lang w:val="it-IT"/>
        </w:rPr>
        <w:t>Creşterea populaţiei poate cauza un impact asupra biodiversităţii atât direct prin supraexploatarea resurselor naturale, cât şi indirect prin intensificarea utilizării terenurilor, care poate duce în timp la modificări ale peisajelor.</w:t>
      </w:r>
    </w:p>
    <w:p w:rsidR="000F4FEA" w:rsidRPr="00730CFC" w:rsidRDefault="000F4FEA" w:rsidP="005E6B2E">
      <w:pPr>
        <w:numPr>
          <w:ilvl w:val="0"/>
          <w:numId w:val="33"/>
        </w:numPr>
        <w:tabs>
          <w:tab w:val="clear" w:pos="2520"/>
          <w:tab w:val="num" w:pos="567"/>
        </w:tabs>
        <w:ind w:left="561"/>
        <w:jc w:val="both"/>
        <w:rPr>
          <w:rFonts w:ascii="Arial" w:hAnsi="Arial" w:cs="Arial"/>
          <w:lang w:val="it-IT"/>
        </w:rPr>
      </w:pPr>
      <w:r w:rsidRPr="00730CFC">
        <w:rPr>
          <w:rFonts w:ascii="Arial" w:hAnsi="Arial" w:cs="Arial"/>
          <w:lang w:val="it-IT"/>
        </w:rPr>
        <w:t xml:space="preserve">Turismul practicat în zonele împădurite poate afecta fondul forestier prin gestionarea necorespunzătoare a deşeurilor, dar şi prin distrugerea florei, deteriorarea locurilor de reproducere/odihnă sau perturbarea faunei sălbatice sau producerea de incendii.  </w:t>
      </w:r>
    </w:p>
    <w:p w:rsidR="000F4FEA" w:rsidRPr="00730CFC" w:rsidRDefault="000F4FEA" w:rsidP="00012F90">
      <w:pPr>
        <w:tabs>
          <w:tab w:val="left" w:pos="1176"/>
          <w:tab w:val="left" w:leader="dot" w:pos="9356"/>
        </w:tabs>
        <w:ind w:left="993"/>
        <w:rPr>
          <w:rFonts w:ascii="Arial" w:hAnsi="Arial" w:cs="Arial"/>
        </w:rPr>
      </w:pPr>
    </w:p>
    <w:p w:rsidR="000F4FEA" w:rsidRPr="00BB433A" w:rsidRDefault="000F4FEA" w:rsidP="00012F90">
      <w:pPr>
        <w:tabs>
          <w:tab w:val="left" w:leader="dot" w:pos="9356"/>
        </w:tabs>
        <w:ind w:left="1498"/>
        <w:rPr>
          <w:rFonts w:ascii="Arial" w:hAnsi="Arial" w:cs="Arial"/>
          <w:b/>
          <w:lang w:val="ro-RO"/>
        </w:rPr>
      </w:pPr>
      <w:r w:rsidRPr="00BB433A">
        <w:rPr>
          <w:rFonts w:ascii="Arial" w:hAnsi="Arial" w:cs="Arial"/>
          <w:b/>
          <w:lang w:val="ro-RO"/>
        </w:rPr>
        <w:t xml:space="preserve">V.1.5.1 Exploatarea forestieră </w:t>
      </w:r>
    </w:p>
    <w:p w:rsidR="000F4FEA" w:rsidRPr="00730CFC" w:rsidRDefault="000F4FEA" w:rsidP="00012F90">
      <w:pPr>
        <w:tabs>
          <w:tab w:val="left" w:leader="dot" w:pos="9356"/>
        </w:tabs>
        <w:ind w:left="1498"/>
        <w:rPr>
          <w:rFonts w:ascii="Arial" w:hAnsi="Arial" w:cs="Arial"/>
          <w:lang w:val="ro-RO"/>
        </w:rPr>
      </w:pPr>
    </w:p>
    <w:p w:rsidR="000F4FEA" w:rsidRPr="00730CFC" w:rsidRDefault="000F4FEA" w:rsidP="00012F90">
      <w:pPr>
        <w:jc w:val="both"/>
        <w:rPr>
          <w:rFonts w:ascii="Arial" w:hAnsi="Arial" w:cs="Arial"/>
          <w:lang w:val="fr-FR"/>
        </w:rPr>
      </w:pPr>
      <w:r w:rsidRPr="00730CFC">
        <w:rPr>
          <w:rFonts w:ascii="Arial" w:hAnsi="Arial" w:cs="Arial"/>
          <w:lang w:val="fr-FR"/>
        </w:rPr>
        <w:t>Raportul dintre creşterea şi tăierea arborilor poate oferi o imagine asupra sustenabilității producţiei de masă lemnoasă în timp, cât şi asupra disponibilității actuale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0F4FEA" w:rsidRPr="00730CFC" w:rsidRDefault="000F4FEA" w:rsidP="00012F90">
      <w:pPr>
        <w:jc w:val="both"/>
        <w:rPr>
          <w:rFonts w:ascii="Arial" w:hAnsi="Arial" w:cs="Arial"/>
          <w:lang w:val="fr-FR"/>
        </w:rPr>
      </w:pPr>
      <w:r w:rsidRPr="00730CFC">
        <w:rPr>
          <w:rFonts w:ascii="Arial" w:hAnsi="Arial" w:cs="Arial"/>
          <w:lang w:val="ro-RO"/>
        </w:rPr>
        <w:t xml:space="preserve">Suprafaţa fondului forestier al judeţului Brăila este de </w:t>
      </w:r>
      <w:r w:rsidRPr="00730CFC">
        <w:rPr>
          <w:lang w:val="ro-RO"/>
        </w:rPr>
        <w:t>27414</w:t>
      </w:r>
      <w:r w:rsidRPr="00730CFC">
        <w:rPr>
          <w:rFonts w:ascii="Arial" w:hAnsi="Arial" w:cs="Arial"/>
          <w:lang w:val="ro-RO"/>
        </w:rPr>
        <w:t xml:space="preserve"> ha, ceea ce reprezintă puțin peste 5 % din suprafaţa judeţului, din care cea mai mare este proprietate de stat. Potrivit Codului silvic</w:t>
      </w:r>
      <w:r w:rsidRPr="00730CFC">
        <w:rPr>
          <w:rFonts w:ascii="Arial" w:hAnsi="Arial" w:cs="Arial"/>
          <w:i/>
          <w:lang w:val="ro-RO"/>
        </w:rPr>
        <w:t xml:space="preserve"> (Legea nr. 46/2008) </w:t>
      </w:r>
      <w:r w:rsidRPr="00730CFC">
        <w:rPr>
          <w:rFonts w:ascii="Arial" w:hAnsi="Arial" w:cs="Arial"/>
          <w:lang w:val="ro-RO"/>
        </w:rPr>
        <w:t>judeţul Brăila este zonă deficitară în păduri deoarece suprafaţa acestora reprezintă mai puţin de 16% din suprafaţa totală a judeţului.În aceste condiții modul de planificare a producției devine un aspect foarte sensibil al planificării gestionării pădurilor de care trebuie ținut cont la momentul proiectării și aprobării amenajamentelor silvice.</w:t>
      </w:r>
    </w:p>
    <w:p w:rsidR="000F4FEA" w:rsidRPr="00730CFC" w:rsidRDefault="000F4FEA" w:rsidP="00012F90">
      <w:pPr>
        <w:jc w:val="both"/>
        <w:rPr>
          <w:rFonts w:ascii="Arial" w:hAnsi="Arial" w:cs="Arial"/>
          <w:lang w:val="fr-FR"/>
        </w:rPr>
      </w:pPr>
      <w:r w:rsidRPr="00730CFC">
        <w:rPr>
          <w:rFonts w:ascii="Arial" w:hAnsi="Arial" w:cs="Arial"/>
          <w:lang w:val="fr-FR"/>
        </w:rPr>
        <w:t>Pentru pădurile din județul Brăila cantitatea de masă lemnoasă recoltată anual s-a situat sub valoarea stabilită de creșterea anuală, excepție fiind anul 2014 în care creșterea este egală cu cantitatea recoltată:</w:t>
      </w:r>
    </w:p>
    <w:p w:rsidR="000F4FEA" w:rsidRPr="00730CFC" w:rsidRDefault="000F4FEA" w:rsidP="00012F90">
      <w:pPr>
        <w:ind w:left="142" w:hanging="142"/>
        <w:rPr>
          <w:b/>
          <w:lang w:val="ro-RO"/>
        </w:rPr>
      </w:pPr>
      <w:r w:rsidRPr="00730CFC">
        <w:rPr>
          <w:b/>
          <w:lang w:val="ro-RO"/>
        </w:rPr>
        <w:tab/>
      </w:r>
    </w:p>
    <w:p w:rsidR="000F4FEA" w:rsidRPr="00730CFC" w:rsidRDefault="000F4FEA" w:rsidP="00012F90">
      <w:pPr>
        <w:ind w:left="142" w:hanging="142"/>
        <w:rPr>
          <w:rFonts w:ascii="Arial" w:hAnsi="Arial" w:cs="Arial"/>
          <w:lang w:val="ro-RO"/>
        </w:rPr>
      </w:pPr>
      <w:r w:rsidRPr="00730CFC">
        <w:rPr>
          <w:rFonts w:ascii="Arial" w:hAnsi="Arial" w:cs="Arial"/>
          <w:lang w:val="ro-RO"/>
        </w:rPr>
        <w:t>Tabel nr. V.1.5.1.-1 Evolutia cresterii fondului forestier comparativ cu taierea masei lemnoase la nivelul judetului Braila in perioada 2010-2014 (mc/an/ha);</w:t>
      </w:r>
    </w:p>
    <w:tbl>
      <w:tblPr>
        <w:tblpPr w:leftFromText="180" w:rightFromText="180" w:vertAnchor="text" w:horzAnchor="margin" w:tblpXSpec="center" w:tblpY="268"/>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4A0"/>
      </w:tblPr>
      <w:tblGrid>
        <w:gridCol w:w="1101"/>
        <w:gridCol w:w="3083"/>
        <w:gridCol w:w="3579"/>
      </w:tblGrid>
      <w:tr w:rsidR="000F4FEA" w:rsidRPr="00730CFC" w:rsidTr="00012F90">
        <w:tc>
          <w:tcPr>
            <w:tcW w:w="1101" w:type="dxa"/>
            <w:shd w:val="clear" w:color="auto" w:fill="FDE9D9" w:themeFill="accent6" w:themeFillTint="33"/>
          </w:tcPr>
          <w:p w:rsidR="000F4FEA" w:rsidRPr="00730CFC" w:rsidRDefault="000F4FEA" w:rsidP="00012F90">
            <w:pPr>
              <w:jc w:val="center"/>
              <w:rPr>
                <w:rFonts w:ascii="Arial" w:hAnsi="Arial" w:cs="Arial"/>
                <w:b/>
                <w:lang w:val="ro-RO"/>
              </w:rPr>
            </w:pPr>
            <w:r w:rsidRPr="00730CFC">
              <w:rPr>
                <w:rFonts w:ascii="Arial" w:hAnsi="Arial" w:cs="Arial"/>
                <w:b/>
                <w:lang w:val="ro-RO"/>
              </w:rPr>
              <w:t>Anul</w:t>
            </w:r>
          </w:p>
        </w:tc>
        <w:tc>
          <w:tcPr>
            <w:tcW w:w="3083" w:type="dxa"/>
            <w:shd w:val="clear" w:color="auto" w:fill="FDE9D9" w:themeFill="accent6" w:themeFillTint="33"/>
          </w:tcPr>
          <w:p w:rsidR="000F4FEA" w:rsidRPr="00730CFC" w:rsidRDefault="000F4FEA" w:rsidP="00012F90">
            <w:pPr>
              <w:jc w:val="center"/>
              <w:rPr>
                <w:rFonts w:ascii="Arial" w:hAnsi="Arial" w:cs="Arial"/>
                <w:b/>
                <w:lang w:val="ro-RO"/>
              </w:rPr>
            </w:pPr>
            <w:r w:rsidRPr="00730CFC">
              <w:rPr>
                <w:rFonts w:ascii="Arial" w:hAnsi="Arial" w:cs="Arial"/>
                <w:b/>
                <w:lang w:val="ro-RO"/>
              </w:rPr>
              <w:t>Cresterea anuala a fondului forestier (mc/an/ha)</w:t>
            </w:r>
          </w:p>
        </w:tc>
        <w:tc>
          <w:tcPr>
            <w:tcW w:w="3579" w:type="dxa"/>
            <w:shd w:val="clear" w:color="auto" w:fill="FDE9D9" w:themeFill="accent6" w:themeFillTint="33"/>
          </w:tcPr>
          <w:p w:rsidR="000F4FEA" w:rsidRPr="00730CFC" w:rsidRDefault="000F4FEA" w:rsidP="00012F90">
            <w:pPr>
              <w:jc w:val="center"/>
              <w:rPr>
                <w:rFonts w:ascii="Arial" w:hAnsi="Arial" w:cs="Arial"/>
                <w:b/>
                <w:lang w:val="ro-RO"/>
              </w:rPr>
            </w:pPr>
            <w:r w:rsidRPr="00730CFC">
              <w:rPr>
                <w:rFonts w:ascii="Arial" w:hAnsi="Arial" w:cs="Arial"/>
                <w:b/>
                <w:lang w:val="ro-RO"/>
              </w:rPr>
              <w:t>Cantitatea de masa lemnoasa recoltata anual (mc/an/ha)</w:t>
            </w:r>
          </w:p>
        </w:tc>
      </w:tr>
      <w:tr w:rsidR="000F4FEA" w:rsidRPr="00730CFC" w:rsidTr="00012F90">
        <w:tc>
          <w:tcPr>
            <w:tcW w:w="1101"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2010</w:t>
            </w:r>
          </w:p>
        </w:tc>
        <w:tc>
          <w:tcPr>
            <w:tcW w:w="3083"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5,5</w:t>
            </w:r>
          </w:p>
        </w:tc>
        <w:tc>
          <w:tcPr>
            <w:tcW w:w="3579"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5,2</w:t>
            </w:r>
          </w:p>
        </w:tc>
      </w:tr>
      <w:tr w:rsidR="000F4FEA" w:rsidRPr="00730CFC" w:rsidTr="00012F90">
        <w:tc>
          <w:tcPr>
            <w:tcW w:w="1101"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2011</w:t>
            </w:r>
          </w:p>
        </w:tc>
        <w:tc>
          <w:tcPr>
            <w:tcW w:w="3083"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5,5</w:t>
            </w:r>
          </w:p>
        </w:tc>
        <w:tc>
          <w:tcPr>
            <w:tcW w:w="3579"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5,0</w:t>
            </w:r>
          </w:p>
        </w:tc>
      </w:tr>
      <w:tr w:rsidR="000F4FEA" w:rsidRPr="00730CFC" w:rsidTr="00012F90">
        <w:tc>
          <w:tcPr>
            <w:tcW w:w="1101"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2012</w:t>
            </w:r>
          </w:p>
        </w:tc>
        <w:tc>
          <w:tcPr>
            <w:tcW w:w="3083"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5,5</w:t>
            </w:r>
          </w:p>
        </w:tc>
        <w:tc>
          <w:tcPr>
            <w:tcW w:w="3579"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5,4</w:t>
            </w:r>
          </w:p>
        </w:tc>
      </w:tr>
      <w:tr w:rsidR="000F4FEA" w:rsidRPr="00730CFC" w:rsidTr="00012F90">
        <w:tc>
          <w:tcPr>
            <w:tcW w:w="1101"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lastRenderedPageBreak/>
              <w:t>2013</w:t>
            </w:r>
          </w:p>
        </w:tc>
        <w:tc>
          <w:tcPr>
            <w:tcW w:w="3083"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5,5</w:t>
            </w:r>
          </w:p>
        </w:tc>
        <w:tc>
          <w:tcPr>
            <w:tcW w:w="3579"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5,2</w:t>
            </w:r>
          </w:p>
        </w:tc>
      </w:tr>
      <w:tr w:rsidR="000F4FEA" w:rsidRPr="00730CFC" w:rsidTr="00012F90">
        <w:tc>
          <w:tcPr>
            <w:tcW w:w="1101"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2014</w:t>
            </w:r>
          </w:p>
        </w:tc>
        <w:tc>
          <w:tcPr>
            <w:tcW w:w="3083"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5,5</w:t>
            </w:r>
          </w:p>
        </w:tc>
        <w:tc>
          <w:tcPr>
            <w:tcW w:w="3579" w:type="dxa"/>
            <w:shd w:val="clear" w:color="auto" w:fill="FDE9D9" w:themeFill="accent6" w:themeFillTint="33"/>
          </w:tcPr>
          <w:p w:rsidR="000F4FEA" w:rsidRPr="00730CFC" w:rsidRDefault="000F4FEA" w:rsidP="00012F90">
            <w:pPr>
              <w:jc w:val="center"/>
              <w:rPr>
                <w:rFonts w:ascii="Arial" w:hAnsi="Arial" w:cs="Arial"/>
                <w:lang w:val="ro-RO"/>
              </w:rPr>
            </w:pPr>
            <w:r w:rsidRPr="00730CFC">
              <w:rPr>
                <w:rFonts w:ascii="Arial" w:hAnsi="Arial" w:cs="Arial"/>
                <w:lang w:val="ro-RO"/>
              </w:rPr>
              <w:t>5,5</w:t>
            </w:r>
          </w:p>
        </w:tc>
      </w:tr>
    </w:tbl>
    <w:p w:rsidR="000F4FEA" w:rsidRPr="00730CFC" w:rsidRDefault="000F4FEA" w:rsidP="00012F90">
      <w:pPr>
        <w:ind w:firstLine="720"/>
        <w:jc w:val="both"/>
        <w:rPr>
          <w:rFonts w:ascii="Arial" w:hAnsi="Arial" w:cs="Arial"/>
          <w:lang w:val="fr-FR"/>
        </w:rPr>
      </w:pPr>
      <w:r w:rsidRPr="00730CFC">
        <w:rPr>
          <w:rFonts w:ascii="Arial" w:hAnsi="Arial" w:cs="Arial"/>
          <w:lang w:val="fr-FR"/>
        </w:rPr>
        <w:t>Ca urmare nu se poate vorbi de o supraexploatare a fondului forestier</w:t>
      </w:r>
    </w:p>
    <w:p w:rsidR="000F4FEA" w:rsidRPr="00730CFC" w:rsidRDefault="000F4FEA" w:rsidP="00012F90">
      <w:pPr>
        <w:rPr>
          <w:b/>
          <w:lang w:val="ro-RO"/>
        </w:rPr>
      </w:pPr>
    </w:p>
    <w:p w:rsidR="000F4FEA" w:rsidRPr="00730CFC" w:rsidRDefault="000F4FEA" w:rsidP="00012F90">
      <w:pPr>
        <w:tabs>
          <w:tab w:val="left" w:leader="dot" w:pos="9356"/>
        </w:tabs>
        <w:ind w:left="1498"/>
        <w:jc w:val="both"/>
        <w:rPr>
          <w:rFonts w:ascii="Arial" w:hAnsi="Arial" w:cs="Arial"/>
          <w:lang w:val="ro-RO"/>
        </w:rPr>
      </w:pPr>
    </w:p>
    <w:p w:rsidR="000F4FEA" w:rsidRPr="00730CFC" w:rsidRDefault="000F4FEA" w:rsidP="00012F90">
      <w:pPr>
        <w:tabs>
          <w:tab w:val="left" w:leader="dot" w:pos="9356"/>
        </w:tabs>
        <w:jc w:val="both"/>
        <w:rPr>
          <w:rFonts w:ascii="Arial" w:hAnsi="Arial" w:cs="Arial"/>
          <w:b/>
          <w:lang w:val="ro-RO"/>
        </w:rPr>
      </w:pPr>
      <w:r w:rsidRPr="00730CFC">
        <w:rPr>
          <w:rFonts w:ascii="Arial" w:hAnsi="Arial" w:cs="Arial"/>
          <w:b/>
          <w:lang w:val="ro-RO"/>
        </w:rPr>
        <w:t>V.2.Protecţia naturii şi biodiversitatea: prognoze şi acţiuni întreprinse</w:t>
      </w:r>
    </w:p>
    <w:p w:rsidR="000F4FEA" w:rsidRPr="00730CFC" w:rsidRDefault="000F4FEA" w:rsidP="00012F90">
      <w:pPr>
        <w:tabs>
          <w:tab w:val="left" w:leader="dot" w:pos="9356"/>
        </w:tabs>
        <w:ind w:left="851"/>
        <w:jc w:val="both"/>
        <w:rPr>
          <w:rFonts w:ascii="Arial" w:hAnsi="Arial" w:cs="Arial"/>
          <w:b/>
          <w:lang w:val="ro-RO"/>
        </w:rPr>
      </w:pPr>
      <w:r w:rsidRPr="00730CFC">
        <w:rPr>
          <w:rFonts w:ascii="Arial" w:hAnsi="Arial" w:cs="Arial"/>
          <w:b/>
          <w:lang w:val="ro-RO"/>
        </w:rPr>
        <w:t xml:space="preserve"> </w:t>
      </w:r>
    </w:p>
    <w:p w:rsidR="000F4FEA" w:rsidRPr="00730CFC" w:rsidRDefault="000F4FEA" w:rsidP="00012F90">
      <w:pPr>
        <w:pStyle w:val="Footer"/>
        <w:jc w:val="both"/>
        <w:rPr>
          <w:rFonts w:ascii="Arial" w:hAnsi="Arial" w:cs="Arial"/>
          <w:i/>
          <w:lang w:val="ro-RO"/>
        </w:rPr>
      </w:pPr>
      <w:r w:rsidRPr="00730CFC">
        <w:rPr>
          <w:rFonts w:ascii="Arial" w:hAnsi="Arial" w:cs="Arial"/>
          <w:lang w:val="ro-RO"/>
        </w:rPr>
        <w:t xml:space="preserve">       </w:t>
      </w:r>
    </w:p>
    <w:p w:rsidR="000F4FEA" w:rsidRPr="00BB433A" w:rsidRDefault="000F4FEA" w:rsidP="00012F90">
      <w:pPr>
        <w:tabs>
          <w:tab w:val="left" w:pos="1204"/>
          <w:tab w:val="left" w:leader="dot" w:pos="9356"/>
        </w:tabs>
        <w:ind w:left="426"/>
        <w:jc w:val="both"/>
        <w:rPr>
          <w:rFonts w:ascii="Arial" w:hAnsi="Arial" w:cs="Arial"/>
          <w:b/>
          <w:i/>
          <w:lang w:val="ro-RO"/>
        </w:rPr>
      </w:pPr>
      <w:r w:rsidRPr="00BB433A">
        <w:rPr>
          <w:rFonts w:ascii="Arial" w:hAnsi="Arial" w:cs="Arial"/>
          <w:b/>
          <w:i/>
          <w:lang w:val="ro-RO"/>
        </w:rPr>
        <w:t xml:space="preserve">V.2.1.Reţeaua de arii protejate </w:t>
      </w:r>
    </w:p>
    <w:p w:rsidR="000F4FEA" w:rsidRPr="00730CFC" w:rsidRDefault="000F4FEA" w:rsidP="00012F90">
      <w:pPr>
        <w:jc w:val="both"/>
        <w:rPr>
          <w:rFonts w:ascii="Arial" w:hAnsi="Arial" w:cs="Arial"/>
          <w:bCs/>
          <w:lang w:val="it-IT"/>
        </w:rPr>
      </w:pPr>
      <w:r w:rsidRPr="00730CFC">
        <w:rPr>
          <w:rFonts w:ascii="Arial" w:hAnsi="Arial" w:cs="Arial"/>
        </w:rPr>
        <w:t xml:space="preserve">În România au fost desemnate, în scopul asigurării măsurilor speciale de protecţie şi conservare in situ a bunurilor patrimoniului natural, următoarele categorii de arii naturale protejate, definite la </w:t>
      </w:r>
      <w:r w:rsidRPr="00730CFC">
        <w:rPr>
          <w:rFonts w:ascii="Arial" w:hAnsi="Arial" w:cs="Arial"/>
          <w:lang w:val="it-IT"/>
        </w:rPr>
        <w:t xml:space="preserve">art. 5, alin. (1) din </w:t>
      </w:r>
      <w:r w:rsidRPr="00730CFC">
        <w:rPr>
          <w:rFonts w:ascii="Arial" w:hAnsi="Arial" w:cs="Arial"/>
          <w:bCs/>
          <w:lang w:val="it-IT"/>
        </w:rPr>
        <w:t xml:space="preserve">O.U.G. nr. 57/2007 privind regimul ariilor naturale protejate, conservarea habitatelor naturale, a florei şi faunei sălbatice, aprobată cu modificări şi completări prin Legea nr. 49/2011, </w:t>
      </w:r>
      <w:r w:rsidRPr="00730CFC">
        <w:rPr>
          <w:rFonts w:ascii="Arial" w:hAnsi="Arial" w:cs="Arial"/>
        </w:rPr>
        <w:t>cu completările ulterioare:</w:t>
      </w:r>
    </w:p>
    <w:p w:rsidR="000F4FEA" w:rsidRPr="00667334" w:rsidRDefault="000F4FEA" w:rsidP="00012F90">
      <w:pPr>
        <w:jc w:val="both"/>
        <w:rPr>
          <w:rFonts w:ascii="Arial" w:hAnsi="Arial" w:cs="Arial"/>
          <w:lang w:val="it-IT"/>
        </w:rPr>
      </w:pPr>
      <w:r w:rsidRPr="00667334">
        <w:rPr>
          <w:rStyle w:val="li1"/>
          <w:rFonts w:ascii="Arial" w:hAnsi="Arial" w:cs="Arial"/>
          <w:color w:val="auto"/>
          <w:lang w:val="it-IT"/>
        </w:rPr>
        <w:t xml:space="preserve">a) </w:t>
      </w:r>
      <w:r w:rsidRPr="00667334">
        <w:rPr>
          <w:rStyle w:val="tli1"/>
          <w:rFonts w:ascii="Arial" w:hAnsi="Arial" w:cs="Arial"/>
          <w:u w:val="single"/>
          <w:lang w:val="it-IT"/>
        </w:rPr>
        <w:t>de interes naţional</w:t>
      </w:r>
      <w:r w:rsidRPr="00667334">
        <w:rPr>
          <w:rStyle w:val="tli1"/>
          <w:rFonts w:ascii="Arial" w:hAnsi="Arial" w:cs="Arial"/>
          <w:lang w:val="it-IT"/>
        </w:rPr>
        <w:t>: parcuri naţionale, monumente ale naturii, rezervaţii naturale, parcuri naturale;</w:t>
      </w:r>
    </w:p>
    <w:p w:rsidR="000F4FEA" w:rsidRPr="00667334" w:rsidRDefault="000F4FEA" w:rsidP="00012F90">
      <w:pPr>
        <w:jc w:val="both"/>
        <w:rPr>
          <w:rFonts w:ascii="Arial" w:hAnsi="Arial" w:cs="Arial"/>
          <w:lang w:val="it-IT"/>
        </w:rPr>
      </w:pPr>
      <w:r w:rsidRPr="00667334">
        <w:rPr>
          <w:rStyle w:val="li1"/>
          <w:rFonts w:ascii="Arial" w:hAnsi="Arial" w:cs="Arial"/>
          <w:color w:val="auto"/>
          <w:lang w:val="it-IT"/>
        </w:rPr>
        <w:t xml:space="preserve">b) </w:t>
      </w:r>
      <w:r w:rsidRPr="00667334">
        <w:rPr>
          <w:rStyle w:val="tli1"/>
          <w:rFonts w:ascii="Arial" w:hAnsi="Arial" w:cs="Arial"/>
          <w:u w:val="single"/>
          <w:lang w:val="it-IT"/>
        </w:rPr>
        <w:t>de interes internaţional</w:t>
      </w:r>
      <w:r w:rsidRPr="00667334">
        <w:rPr>
          <w:rStyle w:val="tli1"/>
          <w:rFonts w:ascii="Arial" w:hAnsi="Arial" w:cs="Arial"/>
          <w:lang w:val="it-IT"/>
        </w:rPr>
        <w:t>: zone umede de importanţă internaţională, rezervaţii ale biosferei;</w:t>
      </w:r>
    </w:p>
    <w:p w:rsidR="000F4FEA" w:rsidRPr="00667334" w:rsidRDefault="000F4FEA" w:rsidP="00012F90">
      <w:pPr>
        <w:jc w:val="both"/>
        <w:rPr>
          <w:rStyle w:val="tli1"/>
          <w:rFonts w:ascii="Arial" w:hAnsi="Arial" w:cs="Arial"/>
          <w:lang w:val="it-IT"/>
        </w:rPr>
      </w:pPr>
      <w:r w:rsidRPr="00667334">
        <w:rPr>
          <w:rStyle w:val="li1"/>
          <w:rFonts w:ascii="Arial" w:hAnsi="Arial" w:cs="Arial"/>
          <w:color w:val="auto"/>
          <w:lang w:val="it-IT"/>
        </w:rPr>
        <w:t xml:space="preserve">c) </w:t>
      </w:r>
      <w:r w:rsidRPr="00667334">
        <w:rPr>
          <w:rStyle w:val="tli1"/>
          <w:rFonts w:ascii="Arial" w:hAnsi="Arial" w:cs="Arial"/>
          <w:u w:val="single"/>
          <w:lang w:val="it-IT"/>
        </w:rPr>
        <w:t>de interes comunitar sau situri "Natura 2000"</w:t>
      </w:r>
      <w:r w:rsidRPr="00667334">
        <w:rPr>
          <w:rStyle w:val="tli1"/>
          <w:rFonts w:ascii="Arial" w:hAnsi="Arial" w:cs="Arial"/>
          <w:lang w:val="it-IT"/>
        </w:rPr>
        <w:t xml:space="preserve">: </w:t>
      </w:r>
    </w:p>
    <w:p w:rsidR="000F4FEA" w:rsidRPr="00667334" w:rsidRDefault="000F4FEA" w:rsidP="005E6B2E">
      <w:pPr>
        <w:pStyle w:val="ListParagraph"/>
        <w:numPr>
          <w:ilvl w:val="0"/>
          <w:numId w:val="43"/>
        </w:numPr>
        <w:autoSpaceDE w:val="0"/>
        <w:autoSpaceDN w:val="0"/>
        <w:adjustRightInd w:val="0"/>
        <w:rPr>
          <w:rFonts w:ascii="Arial" w:hAnsi="Arial" w:cs="Arial"/>
        </w:rPr>
      </w:pPr>
      <w:r w:rsidRPr="00667334">
        <w:rPr>
          <w:rStyle w:val="tli1"/>
          <w:rFonts w:ascii="Arial" w:hAnsi="Arial" w:cs="Arial"/>
          <w:lang w:val="it-IT"/>
        </w:rPr>
        <w:t>arii de protecţie specială avifaunistică</w:t>
      </w:r>
      <w:r w:rsidRPr="00667334">
        <w:rPr>
          <w:rFonts w:ascii="Arial" w:hAnsi="Arial" w:cs="Arial"/>
        </w:rPr>
        <w:t xml:space="preserve"> -SPA (Special Protection Areas) desemnate pentru specii de păsări; </w:t>
      </w:r>
    </w:p>
    <w:p w:rsidR="000F4FEA" w:rsidRPr="00667334" w:rsidRDefault="000F4FEA" w:rsidP="005E6B2E">
      <w:pPr>
        <w:pStyle w:val="ListParagraph"/>
        <w:numPr>
          <w:ilvl w:val="0"/>
          <w:numId w:val="43"/>
        </w:numPr>
        <w:autoSpaceDE w:val="0"/>
        <w:autoSpaceDN w:val="0"/>
        <w:adjustRightInd w:val="0"/>
        <w:jc w:val="both"/>
        <w:rPr>
          <w:rFonts w:ascii="Arial" w:hAnsi="Arial" w:cs="Arial"/>
          <w:lang w:val="it-IT"/>
        </w:rPr>
      </w:pPr>
      <w:r w:rsidRPr="00667334">
        <w:rPr>
          <w:rStyle w:val="tli1"/>
          <w:rFonts w:ascii="Arial" w:hAnsi="Arial" w:cs="Arial"/>
          <w:lang w:val="it-IT"/>
        </w:rPr>
        <w:t>situri de importanţă comunitară -</w:t>
      </w:r>
      <w:r w:rsidRPr="00667334">
        <w:rPr>
          <w:rFonts w:ascii="Arial" w:hAnsi="Arial" w:cs="Arial"/>
        </w:rPr>
        <w:t xml:space="preserve">SCI (Sites of Community Importance ) desemnate pentru habitate naturale şi specii de floră şi faună sălbatică, altele decât păsări </w:t>
      </w:r>
    </w:p>
    <w:p w:rsidR="000F4FEA" w:rsidRPr="00730CFC" w:rsidRDefault="000F4FEA" w:rsidP="00012F90">
      <w:pPr>
        <w:autoSpaceDE w:val="0"/>
        <w:autoSpaceDN w:val="0"/>
        <w:adjustRightInd w:val="0"/>
        <w:jc w:val="both"/>
        <w:rPr>
          <w:rFonts w:ascii="Arial" w:hAnsi="Arial" w:cs="Arial"/>
          <w:lang w:val="it-IT"/>
        </w:rPr>
      </w:pPr>
      <w:r w:rsidRPr="00667334">
        <w:rPr>
          <w:rStyle w:val="li1"/>
          <w:rFonts w:ascii="Arial" w:hAnsi="Arial" w:cs="Arial"/>
          <w:color w:val="auto"/>
          <w:lang w:val="it-IT"/>
        </w:rPr>
        <w:t xml:space="preserve">d) </w:t>
      </w:r>
      <w:r w:rsidRPr="00667334">
        <w:rPr>
          <w:rStyle w:val="tli1"/>
          <w:rFonts w:ascii="Arial" w:hAnsi="Arial" w:cs="Arial"/>
          <w:u w:val="single"/>
          <w:lang w:val="it-IT"/>
        </w:rPr>
        <w:t>de interes judeţean sau local</w:t>
      </w:r>
      <w:r w:rsidRPr="00667334">
        <w:rPr>
          <w:rStyle w:val="tli1"/>
          <w:rFonts w:ascii="Arial" w:hAnsi="Arial" w:cs="Arial"/>
          <w:lang w:val="it-IT"/>
        </w:rPr>
        <w:t>: stabilite numai pe domeniul public/privat al unităţilor administrativ</w:t>
      </w:r>
      <w:r w:rsidRPr="00730CFC">
        <w:rPr>
          <w:rStyle w:val="tli1"/>
          <w:rFonts w:ascii="Arial" w:hAnsi="Arial" w:cs="Arial"/>
          <w:lang w:val="it-IT"/>
        </w:rPr>
        <w:t>-teritoriale.</w:t>
      </w:r>
    </w:p>
    <w:p w:rsidR="000F4FEA" w:rsidRPr="00730CFC" w:rsidRDefault="000F4FEA" w:rsidP="00012F90">
      <w:pPr>
        <w:ind w:firstLine="737"/>
        <w:jc w:val="both"/>
        <w:rPr>
          <w:rFonts w:ascii="Arial" w:hAnsi="Arial" w:cs="Arial"/>
          <w:lang w:val="it-IT"/>
        </w:rPr>
      </w:pP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 xml:space="preserve">Desemnare a ariilor naturale protejate a inceput în județul Brăila din anul 1994 cănd prin HCJ Brăila nr. 20/1994 privind zonele naturale protejate și monumentele naturii de pe raza județului Brăila au fost desemnate 4 arii naturale protejate, cu o suprafață totală de aproape 17511ha. </w:t>
      </w:r>
    </w:p>
    <w:p w:rsidR="000F4FEA" w:rsidRPr="00730CFC" w:rsidRDefault="000F4FEA" w:rsidP="00012F90">
      <w:pPr>
        <w:autoSpaceDE w:val="0"/>
        <w:autoSpaceDN w:val="0"/>
        <w:adjustRightInd w:val="0"/>
        <w:jc w:val="both"/>
        <w:rPr>
          <w:rFonts w:ascii="Arial" w:eastAsia="Times New Roman" w:hAnsi="Arial" w:cs="Arial"/>
          <w:lang w:val="ro-RO" w:eastAsia="ro-RO"/>
        </w:rPr>
      </w:pPr>
      <w:r w:rsidRPr="00730CFC">
        <w:rPr>
          <w:rFonts w:ascii="Arial" w:eastAsia="Times New Roman" w:hAnsi="Arial" w:cs="Arial"/>
          <w:lang w:val="ro-RO" w:eastAsia="ro-RO"/>
        </w:rPr>
        <w:t>Prin Legea 5/2000</w:t>
      </w:r>
      <w:r w:rsidRPr="00730CFC">
        <w:rPr>
          <w:rFonts w:ascii="Arial" w:hAnsi="Arial" w:cs="Arial"/>
          <w:lang w:val="it-IT"/>
        </w:rPr>
        <w:t xml:space="preserve"> privind aprobarea Planului de amenajare a teritoriului naţional, secţiunea III-Arii protejate, o parte din ariile desemnate pe plan local în 1994 au fost încadrate la categoria </w:t>
      </w:r>
      <w:r w:rsidRPr="00730CFC">
        <w:rPr>
          <w:rFonts w:ascii="Arial" w:eastAsia="Times New Roman" w:hAnsi="Arial" w:cs="Arial"/>
          <w:lang w:val="ro-RO" w:eastAsia="ro-RO"/>
        </w:rPr>
        <w:t>arii  protejate de interes național (</w:t>
      </w:r>
      <w:r w:rsidRPr="00730CFC">
        <w:rPr>
          <w:rFonts w:ascii="Arial" w:hAnsi="Arial" w:cs="Arial"/>
        </w:rPr>
        <w:t>Tabelul nr. V.2.1-1</w:t>
      </w:r>
      <w:r w:rsidRPr="00730CFC">
        <w:rPr>
          <w:rFonts w:ascii="Arial" w:eastAsia="Times New Roman" w:hAnsi="Arial" w:cs="Arial"/>
          <w:lang w:val="ro-RO" w:eastAsia="ro-RO"/>
        </w:rPr>
        <w:t>. )</w:t>
      </w:r>
    </w:p>
    <w:p w:rsidR="000F4FEA" w:rsidRPr="00730CFC" w:rsidRDefault="000F4FEA" w:rsidP="00012F90">
      <w:pPr>
        <w:autoSpaceDE w:val="0"/>
        <w:autoSpaceDN w:val="0"/>
        <w:adjustRightInd w:val="0"/>
        <w:ind w:firstLine="737"/>
        <w:jc w:val="both"/>
        <w:rPr>
          <w:rFonts w:ascii="Arial" w:hAnsi="Arial" w:cs="Arial"/>
          <w:b/>
          <w:lang w:val="ro-RO"/>
        </w:rPr>
      </w:pPr>
      <w:r w:rsidRPr="00730CFC">
        <w:rPr>
          <w:rFonts w:ascii="Arial" w:eastAsia="Times New Roman" w:hAnsi="Arial" w:cs="Arial"/>
          <w:lang w:val="ro-RO" w:eastAsia="ro-RO"/>
        </w:rPr>
        <w:t xml:space="preserve">În alte două etape, 2007 și 2011 au fost desemnate ariile protejate </w:t>
      </w:r>
      <w:r w:rsidRPr="00730CFC">
        <w:rPr>
          <w:rFonts w:ascii="Arial" w:hAnsi="Arial" w:cs="Arial"/>
          <w:lang w:val="it-IT"/>
        </w:rPr>
        <w:t>de interes comunitar, 7SPA și 4 SCI în 2007 la care s-au mai adăugat 2 SPA și 5 SCI în 2011</w:t>
      </w:r>
      <w:r w:rsidRPr="00730CFC">
        <w:rPr>
          <w:rFonts w:ascii="Arial" w:eastAsia="Times New Roman" w:hAnsi="Arial" w:cs="Arial"/>
          <w:lang w:val="ro-RO" w:eastAsia="ro-RO"/>
        </w:rPr>
        <w:t xml:space="preserve"> (</w:t>
      </w:r>
      <w:r w:rsidRPr="00730CFC">
        <w:rPr>
          <w:rFonts w:ascii="Arial" w:hAnsi="Arial" w:cs="Arial"/>
        </w:rPr>
        <w:t>Tabelele nr. V.2.1-2 și V.2.1-3</w:t>
      </w:r>
      <w:r w:rsidRPr="00730CFC">
        <w:rPr>
          <w:rFonts w:ascii="Arial" w:eastAsia="Times New Roman" w:hAnsi="Arial" w:cs="Arial"/>
          <w:lang w:val="ro-RO" w:eastAsia="ro-RO"/>
        </w:rPr>
        <w:t xml:space="preserve"> )</w:t>
      </w:r>
      <w:r w:rsidRPr="00730CFC">
        <w:rPr>
          <w:rFonts w:ascii="Arial" w:hAnsi="Arial" w:cs="Arial"/>
          <w:lang w:val="ro-RO"/>
        </w:rPr>
        <w:t xml:space="preserve">. Ca urmare, din 2011, s-a ajuns la un total de </w:t>
      </w:r>
      <w:r w:rsidRPr="00730CFC">
        <w:rPr>
          <w:rFonts w:ascii="Arial" w:hAnsi="Arial" w:cs="Arial"/>
          <w:b/>
          <w:u w:val="single"/>
          <w:lang w:val="ro-RO"/>
        </w:rPr>
        <w:t>24 de arii naturale protejate desemnate</w:t>
      </w:r>
      <w:r w:rsidRPr="00730CFC">
        <w:rPr>
          <w:rFonts w:ascii="Arial" w:hAnsi="Arial" w:cs="Arial"/>
          <w:lang w:val="ro-RO"/>
        </w:rPr>
        <w:t xml:space="preserve">: 3 de interes naţional, </w:t>
      </w:r>
      <w:r w:rsidRPr="00730CFC">
        <w:rPr>
          <w:rFonts w:ascii="Arial" w:hAnsi="Arial" w:cs="Arial"/>
          <w:lang w:val="pt-BR"/>
        </w:rPr>
        <w:t xml:space="preserve">2 de interes judeţean şi local, una </w:t>
      </w:r>
      <w:r w:rsidRPr="00730CFC">
        <w:rPr>
          <w:rFonts w:ascii="Arial" w:hAnsi="Arial" w:cs="Arial"/>
          <w:lang w:val="it-IT"/>
        </w:rPr>
        <w:t xml:space="preserve">de interes internaţional și </w:t>
      </w:r>
      <w:r w:rsidRPr="00730CFC">
        <w:rPr>
          <w:rFonts w:ascii="Arial" w:hAnsi="Arial" w:cs="Arial"/>
          <w:lang w:val="pt-BR"/>
        </w:rPr>
        <w:t xml:space="preserve">18 de interes comunitar (9 SPA și 9 SCI).  Aceste arii se suprapun parţial astfel încât acelaşi teritoriu poate avea statut dublu sau triplu de protecţie. Unele arii cum sunt Parcul natural Balta Mică a Brăilei și o parte a celor de interes comunitar acoperă și suprafețe din județele învecinate. </w:t>
      </w:r>
      <w:r w:rsidRPr="00730CFC">
        <w:rPr>
          <w:rFonts w:ascii="Arial" w:hAnsi="Arial" w:cs="Arial"/>
          <w:lang w:val="ro-RO"/>
        </w:rPr>
        <w:t>Cu un total de aproximativ 62000 ha, suprafata ocupată de ariile protejate  reprezinta aproximativ 13% din suprafaţa judeţului Brăila.</w:t>
      </w: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r w:rsidRPr="00730CFC">
        <w:rPr>
          <w:rFonts w:ascii="Arial" w:eastAsia="Times New Roman" w:hAnsi="Arial" w:cs="Arial"/>
          <w:noProof/>
          <w:lang w:val="ro-RO" w:eastAsia="ro-RO"/>
        </w:rPr>
        <w:lastRenderedPageBreak/>
        <w:drawing>
          <wp:inline distT="0" distB="0" distL="0" distR="0">
            <wp:extent cx="4593801" cy="2641600"/>
            <wp:effectExtent l="19050" t="0" r="16299" b="6350"/>
            <wp:docPr id="82"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0"/>
              </a:graphicData>
            </a:graphic>
          </wp:inline>
        </w:drawing>
      </w: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r w:rsidRPr="00730CFC">
        <w:rPr>
          <w:rFonts w:ascii="Arial" w:eastAsia="Times New Roman" w:hAnsi="Arial" w:cs="Arial"/>
          <w:lang w:val="ro-RO" w:eastAsia="ro-RO"/>
        </w:rPr>
        <w:t xml:space="preserve"> Figura nr. V.2.1.-1   </w:t>
      </w:r>
      <w:r w:rsidRPr="00730CFC">
        <w:rPr>
          <w:rFonts w:ascii="Arial" w:hAnsi="Arial" w:cs="Arial"/>
        </w:rPr>
        <w:t>Numărul de arii naturale protejate în perioada 1994-2011</w:t>
      </w:r>
      <w:r w:rsidRPr="00730CFC">
        <w:rPr>
          <w:rFonts w:ascii="Arial" w:eastAsia="Times New Roman" w:hAnsi="Arial" w:cs="Arial"/>
          <w:highlight w:val="yellow"/>
          <w:lang w:val="ro-RO" w:eastAsia="ro-RO"/>
        </w:rPr>
        <w:t xml:space="preserve"> </w:t>
      </w: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r w:rsidRPr="00730CFC">
        <w:rPr>
          <w:rFonts w:ascii="Arial" w:eastAsia="Times New Roman" w:hAnsi="Arial" w:cs="Arial"/>
          <w:noProof/>
          <w:lang w:val="ro-RO" w:eastAsia="ro-RO"/>
        </w:rPr>
        <w:drawing>
          <wp:inline distT="0" distB="0" distL="0" distR="0">
            <wp:extent cx="4661111" cy="2734734"/>
            <wp:effectExtent l="19050" t="0" r="25189" b="8466"/>
            <wp:docPr id="83"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1"/>
              </a:graphicData>
            </a:graphic>
          </wp:inline>
        </w:drawing>
      </w: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r w:rsidRPr="00730CFC">
        <w:rPr>
          <w:rFonts w:ascii="Arial" w:eastAsia="Times New Roman" w:hAnsi="Arial" w:cs="Arial"/>
          <w:lang w:val="ro-RO" w:eastAsia="ro-RO"/>
        </w:rPr>
        <w:t xml:space="preserve">Figura nr. V.2.1.-2  </w:t>
      </w:r>
      <w:r w:rsidRPr="00730CFC">
        <w:rPr>
          <w:rFonts w:ascii="Arial" w:hAnsi="Arial" w:cs="Arial"/>
        </w:rPr>
        <w:t>Evoluţia suprafeţei totale a  ariilor naturale protejate în perioada 1994-2011</w:t>
      </w:r>
      <w:r w:rsidRPr="00730CFC">
        <w:rPr>
          <w:rFonts w:ascii="Arial" w:eastAsia="Times New Roman" w:hAnsi="Arial" w:cs="Arial"/>
          <w:highlight w:val="yellow"/>
          <w:lang w:val="ro-RO" w:eastAsia="ro-RO"/>
        </w:rPr>
        <w:t xml:space="preserve"> </w:t>
      </w:r>
    </w:p>
    <w:p w:rsidR="000F4FEA" w:rsidRPr="00730CFC" w:rsidRDefault="000F4FEA" w:rsidP="00012F90">
      <w:pPr>
        <w:autoSpaceDE w:val="0"/>
        <w:autoSpaceDN w:val="0"/>
        <w:adjustRightInd w:val="0"/>
        <w:ind w:firstLine="737"/>
        <w:rPr>
          <w:rFonts w:ascii="Arial" w:eastAsia="Times New Roman" w:hAnsi="Arial" w:cs="Arial"/>
          <w:highlight w:val="yellow"/>
          <w:lang w:val="ro-RO" w:eastAsia="ro-RO"/>
        </w:rPr>
      </w:pPr>
    </w:p>
    <w:p w:rsidR="000F4FEA" w:rsidRPr="00730CFC" w:rsidRDefault="000F4FEA" w:rsidP="00012F90">
      <w:pPr>
        <w:jc w:val="both"/>
        <w:rPr>
          <w:rFonts w:ascii="Arial" w:hAnsi="Arial" w:cs="Arial"/>
          <w:b/>
        </w:rPr>
      </w:pPr>
      <w:r w:rsidRPr="00730CFC">
        <w:rPr>
          <w:rFonts w:ascii="Arial" w:hAnsi="Arial" w:cs="Arial"/>
          <w:b/>
        </w:rPr>
        <w:t xml:space="preserve">Arii naturale protejate de interes naţional </w:t>
      </w:r>
    </w:p>
    <w:p w:rsidR="000F4FEA" w:rsidRPr="00730CFC" w:rsidRDefault="000F4FEA" w:rsidP="00012F90">
      <w:pPr>
        <w:jc w:val="both"/>
        <w:rPr>
          <w:rFonts w:ascii="Arial" w:hAnsi="Arial" w:cs="Arial"/>
          <w:lang w:val="it-IT"/>
        </w:rPr>
      </w:pPr>
      <w:r w:rsidRPr="00730CFC">
        <w:rPr>
          <w:rFonts w:ascii="Arial" w:hAnsi="Arial" w:cs="Arial"/>
          <w:lang w:val="it-IT"/>
        </w:rPr>
        <w:t>În judeţul Brăila există 3 arii naturale protejate de interes naţional (un parc natural şi 2 rezervaţii naturale) declarate prin Legea 5/2000 privind aprobarea Planului de amenajare a teritoriului naţional, secţiunea III -Arii protejate, prezentate în tabelul următor:</w:t>
      </w:r>
    </w:p>
    <w:p w:rsidR="000F4FEA" w:rsidRPr="00730CFC" w:rsidRDefault="000F4FEA" w:rsidP="00012F90">
      <w:pPr>
        <w:pStyle w:val="Heading2"/>
        <w:spacing w:before="0" w:after="0"/>
        <w:jc w:val="both"/>
        <w:rPr>
          <w:rFonts w:ascii="Arial" w:hAnsi="Arial" w:cs="Arial"/>
          <w:i w:val="0"/>
          <w:sz w:val="24"/>
          <w:szCs w:val="24"/>
        </w:rPr>
      </w:pPr>
    </w:p>
    <w:p w:rsidR="000F4FEA" w:rsidRPr="00730CFC" w:rsidRDefault="000F4FEA" w:rsidP="00012F90">
      <w:pPr>
        <w:pStyle w:val="Heading2"/>
        <w:spacing w:before="0" w:after="0"/>
        <w:jc w:val="both"/>
        <w:rPr>
          <w:rFonts w:ascii="Arial" w:hAnsi="Arial" w:cs="Arial"/>
          <w:b w:val="0"/>
          <w:i w:val="0"/>
          <w:sz w:val="24"/>
          <w:szCs w:val="24"/>
        </w:rPr>
      </w:pPr>
      <w:r w:rsidRPr="00730CFC">
        <w:rPr>
          <w:rFonts w:ascii="Arial" w:hAnsi="Arial" w:cs="Arial"/>
          <w:i w:val="0"/>
          <w:sz w:val="24"/>
          <w:szCs w:val="24"/>
        </w:rPr>
        <w:t xml:space="preserve">Tabel nr. V.2.1-1. - </w:t>
      </w:r>
      <w:r w:rsidRPr="00730CFC">
        <w:rPr>
          <w:rFonts w:ascii="Arial" w:hAnsi="Arial" w:cs="Arial"/>
          <w:b w:val="0"/>
          <w:i w:val="0"/>
          <w:sz w:val="24"/>
          <w:szCs w:val="24"/>
        </w:rPr>
        <w:t>Ariile  naturale protejate de interes naţional din judeţul Brăila</w:t>
      </w:r>
    </w:p>
    <w:p w:rsidR="000F4FEA" w:rsidRPr="00730CFC" w:rsidRDefault="000F4FEA" w:rsidP="00012F90"/>
    <w:tbl>
      <w:tblPr>
        <w:tblW w:w="9851" w:type="dxa"/>
        <w:tblBorders>
          <w:top w:val="single" w:sz="12" w:space="0" w:color="000000"/>
          <w:left w:val="single" w:sz="12" w:space="0" w:color="000000"/>
          <w:bottom w:val="single" w:sz="12" w:space="0" w:color="000000"/>
          <w:right w:val="single" w:sz="12" w:space="0" w:color="000000"/>
        </w:tblBorders>
        <w:shd w:val="clear" w:color="auto" w:fill="FDE9D9" w:themeFill="accent6" w:themeFillTint="33"/>
        <w:tblLayout w:type="fixed"/>
        <w:tblLook w:val="04A0"/>
      </w:tblPr>
      <w:tblGrid>
        <w:gridCol w:w="547"/>
        <w:gridCol w:w="1376"/>
        <w:gridCol w:w="1322"/>
        <w:gridCol w:w="1358"/>
        <w:gridCol w:w="1052"/>
        <w:gridCol w:w="2334"/>
        <w:gridCol w:w="1862"/>
      </w:tblGrid>
      <w:tr w:rsidR="000F4FEA" w:rsidRPr="00730CFC" w:rsidTr="00012F90">
        <w:tc>
          <w:tcPr>
            <w:tcW w:w="547" w:type="dxa"/>
            <w:tcBorders>
              <w:top w:val="single" w:sz="4" w:space="0" w:color="auto"/>
              <w:left w:val="single" w:sz="4" w:space="0" w:color="auto"/>
              <w:bottom w:val="single" w:sz="4" w:space="0" w:color="auto"/>
              <w:right w:val="single" w:sz="6" w:space="0" w:color="000000"/>
            </w:tcBorders>
            <w:shd w:val="clear" w:color="auto" w:fill="FDE9D9" w:themeFill="accent6" w:themeFillTint="33"/>
            <w:vAlign w:val="center"/>
            <w:hideMark/>
          </w:tcPr>
          <w:p w:rsidR="000F4FEA" w:rsidRPr="00730CFC" w:rsidRDefault="000F4FEA" w:rsidP="00012F90">
            <w:pPr>
              <w:rPr>
                <w:rFonts w:ascii="Arial" w:hAnsi="Arial" w:cs="Arial"/>
                <w:b/>
              </w:rPr>
            </w:pPr>
            <w:r w:rsidRPr="00730CFC">
              <w:rPr>
                <w:rFonts w:ascii="Arial" w:hAnsi="Arial" w:cs="Arial"/>
                <w:b/>
              </w:rPr>
              <w:t>Nr. crt.</w:t>
            </w:r>
          </w:p>
        </w:tc>
        <w:tc>
          <w:tcPr>
            <w:tcW w:w="1376"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0F4FEA" w:rsidRPr="00730CFC" w:rsidRDefault="000F4FEA" w:rsidP="00012F90">
            <w:pPr>
              <w:rPr>
                <w:rFonts w:ascii="Arial" w:hAnsi="Arial" w:cs="Arial"/>
                <w:b/>
              </w:rPr>
            </w:pPr>
            <w:r w:rsidRPr="00730CFC">
              <w:rPr>
                <w:rFonts w:ascii="Arial" w:hAnsi="Arial" w:cs="Arial"/>
                <w:b/>
              </w:rPr>
              <w:t>Denumire</w:t>
            </w:r>
          </w:p>
        </w:tc>
        <w:tc>
          <w:tcPr>
            <w:tcW w:w="1322"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0F4FEA" w:rsidRPr="00730CFC" w:rsidRDefault="000F4FEA" w:rsidP="00012F90">
            <w:pPr>
              <w:rPr>
                <w:rFonts w:ascii="Arial" w:hAnsi="Arial" w:cs="Arial"/>
                <w:b/>
              </w:rPr>
            </w:pPr>
            <w:r w:rsidRPr="00730CFC">
              <w:rPr>
                <w:rFonts w:ascii="Arial" w:hAnsi="Arial" w:cs="Arial"/>
                <w:b/>
              </w:rPr>
              <w:t>Actul de declarare</w:t>
            </w:r>
          </w:p>
        </w:tc>
        <w:tc>
          <w:tcPr>
            <w:tcW w:w="1358"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0F4FEA" w:rsidRPr="00730CFC" w:rsidRDefault="000F4FEA" w:rsidP="00012F90">
            <w:pPr>
              <w:rPr>
                <w:rFonts w:ascii="Arial" w:hAnsi="Arial" w:cs="Arial"/>
                <w:b/>
              </w:rPr>
            </w:pPr>
            <w:r w:rsidRPr="00730CFC">
              <w:rPr>
                <w:rFonts w:ascii="Arial" w:hAnsi="Arial" w:cs="Arial"/>
                <w:b/>
              </w:rPr>
              <w:t>Categoria ariei protejate</w:t>
            </w:r>
          </w:p>
        </w:tc>
        <w:tc>
          <w:tcPr>
            <w:tcW w:w="1052" w:type="dxa"/>
            <w:tcBorders>
              <w:top w:val="single" w:sz="4" w:space="0" w:color="auto"/>
              <w:left w:val="single" w:sz="6" w:space="0" w:color="000000"/>
              <w:bottom w:val="single" w:sz="4" w:space="0" w:color="auto"/>
              <w:right w:val="single" w:sz="4" w:space="0" w:color="auto"/>
            </w:tcBorders>
            <w:shd w:val="clear" w:color="auto" w:fill="FDE9D9" w:themeFill="accent6" w:themeFillTint="33"/>
            <w:vAlign w:val="center"/>
          </w:tcPr>
          <w:p w:rsidR="000F4FEA" w:rsidRPr="00730CFC" w:rsidRDefault="000F4FEA" w:rsidP="00012F90">
            <w:pPr>
              <w:rPr>
                <w:rFonts w:ascii="Arial" w:hAnsi="Arial" w:cs="Arial"/>
                <w:b/>
                <w:lang w:val="es-ES"/>
              </w:rPr>
            </w:pPr>
            <w:r w:rsidRPr="00730CFC">
              <w:rPr>
                <w:rFonts w:ascii="Arial" w:hAnsi="Arial" w:cs="Arial"/>
                <w:b/>
                <w:lang w:val="es-ES"/>
              </w:rPr>
              <w:t>Supra-faţa</w:t>
            </w:r>
          </w:p>
          <w:p w:rsidR="000F4FEA" w:rsidRPr="00730CFC" w:rsidRDefault="000F4FEA" w:rsidP="00012F90">
            <w:pPr>
              <w:rPr>
                <w:rFonts w:ascii="Arial" w:hAnsi="Arial" w:cs="Arial"/>
                <w:b/>
                <w:lang w:val="es-ES"/>
              </w:rPr>
            </w:pPr>
            <w:r w:rsidRPr="00730CFC">
              <w:rPr>
                <w:rFonts w:ascii="Arial" w:hAnsi="Arial" w:cs="Arial"/>
                <w:b/>
                <w:lang w:val="es-ES"/>
              </w:rPr>
              <w:t>(ha)</w:t>
            </w:r>
          </w:p>
          <w:p w:rsidR="000F4FEA" w:rsidRPr="00730CFC" w:rsidRDefault="000F4FEA" w:rsidP="00012F90">
            <w:pPr>
              <w:rPr>
                <w:rFonts w:ascii="Arial" w:hAnsi="Arial" w:cs="Arial"/>
                <w:b/>
                <w:lang w:val="es-ES"/>
              </w:rPr>
            </w:pPr>
          </w:p>
        </w:tc>
        <w:tc>
          <w:tcPr>
            <w:tcW w:w="2334" w:type="dxa"/>
            <w:tcBorders>
              <w:top w:val="single" w:sz="4" w:space="0" w:color="auto"/>
              <w:left w:val="single" w:sz="6" w:space="0" w:color="000000"/>
              <w:bottom w:val="single" w:sz="4" w:space="0" w:color="auto"/>
              <w:right w:val="single" w:sz="6" w:space="0" w:color="000000"/>
            </w:tcBorders>
            <w:shd w:val="clear" w:color="auto" w:fill="FDE9D9" w:themeFill="accent6" w:themeFillTint="33"/>
            <w:vAlign w:val="center"/>
            <w:hideMark/>
          </w:tcPr>
          <w:p w:rsidR="000F4FEA" w:rsidRPr="00730CFC" w:rsidRDefault="000F4FEA" w:rsidP="00012F90">
            <w:pPr>
              <w:rPr>
                <w:rFonts w:ascii="Arial" w:hAnsi="Arial" w:cs="Arial"/>
                <w:b/>
              </w:rPr>
            </w:pPr>
            <w:r w:rsidRPr="00730CFC">
              <w:rPr>
                <w:rFonts w:ascii="Arial" w:hAnsi="Arial" w:cs="Arial"/>
                <w:b/>
              </w:rPr>
              <w:t>Localizare</w:t>
            </w:r>
          </w:p>
        </w:tc>
        <w:tc>
          <w:tcPr>
            <w:tcW w:w="1862" w:type="dxa"/>
            <w:tcBorders>
              <w:top w:val="single" w:sz="4" w:space="0" w:color="auto"/>
              <w:left w:val="single" w:sz="6" w:space="0" w:color="000000"/>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b/>
              </w:rPr>
            </w:pPr>
            <w:r w:rsidRPr="00730CFC">
              <w:rPr>
                <w:rFonts w:ascii="Arial" w:hAnsi="Arial" w:cs="Arial"/>
                <w:b/>
              </w:rPr>
              <w:t>Administrator</w:t>
            </w:r>
          </w:p>
        </w:tc>
      </w:tr>
      <w:tr w:rsidR="000F4FEA" w:rsidRPr="00730CFC" w:rsidTr="00012F90">
        <w:tc>
          <w:tcPr>
            <w:tcW w:w="547" w:type="dxa"/>
            <w:tcBorders>
              <w:top w:val="single" w:sz="4" w:space="0" w:color="auto"/>
              <w:left w:val="single" w:sz="4" w:space="0" w:color="auto"/>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1</w:t>
            </w:r>
          </w:p>
        </w:tc>
        <w:tc>
          <w:tcPr>
            <w:tcW w:w="1376"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pStyle w:val="Header"/>
              <w:jc w:val="both"/>
              <w:rPr>
                <w:rFonts w:ascii="Arial" w:hAnsi="Arial" w:cs="Arial"/>
                <w:sz w:val="24"/>
                <w:szCs w:val="24"/>
                <w:lang w:val="ro-RO"/>
              </w:rPr>
            </w:pPr>
            <w:r w:rsidRPr="00730CFC">
              <w:rPr>
                <w:rFonts w:ascii="Arial" w:hAnsi="Arial" w:cs="Arial"/>
                <w:sz w:val="24"/>
                <w:szCs w:val="24"/>
                <w:lang w:val="ro-RO"/>
              </w:rPr>
              <w:t>Balta</w:t>
            </w:r>
          </w:p>
          <w:p w:rsidR="000F4FEA" w:rsidRPr="00730CFC" w:rsidRDefault="000F4FEA" w:rsidP="00012F90">
            <w:pPr>
              <w:pStyle w:val="Header"/>
              <w:jc w:val="both"/>
              <w:rPr>
                <w:rFonts w:ascii="Arial" w:hAnsi="Arial" w:cs="Arial"/>
                <w:sz w:val="24"/>
                <w:szCs w:val="24"/>
                <w:lang w:val="ro-RO"/>
              </w:rPr>
            </w:pPr>
            <w:r w:rsidRPr="00730CFC">
              <w:rPr>
                <w:rFonts w:ascii="Arial" w:hAnsi="Arial" w:cs="Arial"/>
                <w:sz w:val="24"/>
                <w:szCs w:val="24"/>
                <w:lang w:val="ro-RO"/>
              </w:rPr>
              <w:t xml:space="preserve">Mică a </w:t>
            </w:r>
            <w:r w:rsidRPr="00730CFC">
              <w:rPr>
                <w:rFonts w:ascii="Arial" w:hAnsi="Arial" w:cs="Arial"/>
                <w:sz w:val="24"/>
                <w:szCs w:val="24"/>
                <w:lang w:val="ro-RO"/>
              </w:rPr>
              <w:lastRenderedPageBreak/>
              <w:t>Brăilei</w:t>
            </w:r>
          </w:p>
        </w:tc>
        <w:tc>
          <w:tcPr>
            <w:tcW w:w="1322"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tcPr>
          <w:p w:rsidR="000F4FEA" w:rsidRPr="00730CFC" w:rsidRDefault="000F4FEA" w:rsidP="00012F90">
            <w:pPr>
              <w:jc w:val="both"/>
              <w:rPr>
                <w:rFonts w:ascii="Arial" w:hAnsi="Arial" w:cs="Arial"/>
              </w:rPr>
            </w:pPr>
            <w:r w:rsidRPr="00730CFC">
              <w:rPr>
                <w:rFonts w:ascii="Arial" w:hAnsi="Arial" w:cs="Arial"/>
              </w:rPr>
              <w:lastRenderedPageBreak/>
              <w:t>Legea 5/2000</w:t>
            </w:r>
          </w:p>
          <w:p w:rsidR="000F4FEA" w:rsidRPr="00730CFC" w:rsidRDefault="000F4FEA" w:rsidP="00012F90">
            <w:pPr>
              <w:jc w:val="both"/>
              <w:rPr>
                <w:rFonts w:ascii="Arial" w:hAnsi="Arial" w:cs="Arial"/>
              </w:rPr>
            </w:pPr>
          </w:p>
        </w:tc>
        <w:tc>
          <w:tcPr>
            <w:tcW w:w="1358"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tcPr>
          <w:p w:rsidR="000F4FEA" w:rsidRPr="00730CFC" w:rsidRDefault="000F4FEA" w:rsidP="00012F90">
            <w:pPr>
              <w:jc w:val="both"/>
              <w:rPr>
                <w:rFonts w:ascii="Arial" w:hAnsi="Arial" w:cs="Arial"/>
              </w:rPr>
            </w:pPr>
            <w:r w:rsidRPr="00730CFC">
              <w:rPr>
                <w:rFonts w:ascii="Arial" w:hAnsi="Arial" w:cs="Arial"/>
              </w:rPr>
              <w:lastRenderedPageBreak/>
              <w:t>Parc natural</w:t>
            </w:r>
          </w:p>
          <w:p w:rsidR="000F4FEA" w:rsidRPr="00730CFC" w:rsidRDefault="000F4FEA" w:rsidP="00012F90">
            <w:pPr>
              <w:jc w:val="both"/>
              <w:rPr>
                <w:rFonts w:ascii="Arial" w:hAnsi="Arial" w:cs="Arial"/>
              </w:rPr>
            </w:pPr>
          </w:p>
          <w:p w:rsidR="000F4FEA" w:rsidRPr="00730CFC" w:rsidRDefault="000F4FEA" w:rsidP="00012F90">
            <w:pPr>
              <w:pStyle w:val="Header"/>
              <w:jc w:val="both"/>
              <w:rPr>
                <w:rFonts w:ascii="Arial" w:hAnsi="Arial" w:cs="Arial"/>
                <w:sz w:val="24"/>
                <w:szCs w:val="24"/>
                <w:lang w:val="ro-RO"/>
              </w:rPr>
            </w:pPr>
          </w:p>
        </w:tc>
        <w:tc>
          <w:tcPr>
            <w:tcW w:w="1052" w:type="dxa"/>
            <w:tcBorders>
              <w:top w:val="single" w:sz="4" w:space="0" w:color="auto"/>
              <w:left w:val="single" w:sz="6" w:space="0" w:color="000000"/>
              <w:bottom w:val="single" w:sz="6" w:space="0" w:color="000000"/>
              <w:right w:val="single" w:sz="4" w:space="0" w:color="auto"/>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lastRenderedPageBreak/>
              <w:t>24.123</w:t>
            </w:r>
          </w:p>
        </w:tc>
        <w:tc>
          <w:tcPr>
            <w:tcW w:w="2334" w:type="dxa"/>
            <w:tcBorders>
              <w:top w:val="single" w:sz="4" w:space="0" w:color="auto"/>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lang w:val="pt-BR"/>
              </w:rPr>
              <w:t xml:space="preserve">În lunca cu regim natural de inundaţie </w:t>
            </w:r>
            <w:r w:rsidRPr="00730CFC">
              <w:rPr>
                <w:rFonts w:ascii="Arial" w:hAnsi="Arial" w:cs="Arial"/>
                <w:lang w:val="pt-BR"/>
              </w:rPr>
              <w:lastRenderedPageBreak/>
              <w:t xml:space="preserve">a fluviului Dunărea, com. </w:t>
            </w:r>
            <w:r w:rsidRPr="00730CFC">
              <w:rPr>
                <w:rFonts w:ascii="Arial" w:hAnsi="Arial" w:cs="Arial"/>
              </w:rPr>
              <w:t>Chiscani, Gropeni, Stăncuţa, Berteştii de Jos, Măraşu</w:t>
            </w:r>
          </w:p>
        </w:tc>
        <w:tc>
          <w:tcPr>
            <w:tcW w:w="1862" w:type="dxa"/>
            <w:tcBorders>
              <w:top w:val="single" w:sz="4" w:space="0" w:color="auto"/>
              <w:left w:val="single" w:sz="6" w:space="0" w:color="000000"/>
              <w:bottom w:val="single" w:sz="6" w:space="0" w:color="000000"/>
              <w:right w:val="single" w:sz="4" w:space="0" w:color="auto"/>
            </w:tcBorders>
            <w:shd w:val="clear" w:color="auto" w:fill="FDE9D9" w:themeFill="accent6" w:themeFillTint="33"/>
            <w:vAlign w:val="center"/>
          </w:tcPr>
          <w:p w:rsidR="000F4FEA" w:rsidRPr="00730CFC" w:rsidRDefault="000F4FEA" w:rsidP="00012F90">
            <w:pPr>
              <w:rPr>
                <w:rFonts w:ascii="Arial" w:hAnsi="Arial" w:cs="Arial"/>
              </w:rPr>
            </w:pPr>
            <w:r w:rsidRPr="00730CFC">
              <w:rPr>
                <w:rFonts w:ascii="Arial" w:hAnsi="Arial" w:cs="Arial"/>
              </w:rPr>
              <w:lastRenderedPageBreak/>
              <w:t xml:space="preserve">RNP Romsilva prin structură </w:t>
            </w:r>
            <w:r w:rsidRPr="00730CFC">
              <w:rPr>
                <w:rFonts w:ascii="Arial" w:hAnsi="Arial" w:cs="Arial"/>
              </w:rPr>
              <w:lastRenderedPageBreak/>
              <w:t>de administrare special constituită</w:t>
            </w:r>
          </w:p>
          <w:p w:rsidR="000F4FEA" w:rsidRPr="00730CFC" w:rsidRDefault="000F4FEA" w:rsidP="00012F90">
            <w:pPr>
              <w:rPr>
                <w:rFonts w:ascii="Arial" w:hAnsi="Arial" w:cs="Arial"/>
              </w:rPr>
            </w:pPr>
          </w:p>
        </w:tc>
      </w:tr>
      <w:tr w:rsidR="000F4FEA" w:rsidRPr="00730CFC" w:rsidTr="00012F90">
        <w:tc>
          <w:tcPr>
            <w:tcW w:w="547" w:type="dxa"/>
            <w:tcBorders>
              <w:top w:val="single" w:sz="6" w:space="0" w:color="000000"/>
              <w:left w:val="single" w:sz="4" w:space="0" w:color="auto"/>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lastRenderedPageBreak/>
              <w:t>2</w:t>
            </w:r>
          </w:p>
        </w:tc>
        <w:tc>
          <w:tcPr>
            <w:tcW w:w="137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Lacul</w:t>
            </w:r>
          </w:p>
          <w:p w:rsidR="000F4FEA" w:rsidRPr="00730CFC" w:rsidRDefault="000F4FEA" w:rsidP="00012F90">
            <w:pPr>
              <w:jc w:val="both"/>
              <w:rPr>
                <w:rFonts w:ascii="Arial" w:hAnsi="Arial" w:cs="Arial"/>
              </w:rPr>
            </w:pPr>
            <w:r w:rsidRPr="00730CFC">
              <w:rPr>
                <w:rFonts w:ascii="Arial" w:hAnsi="Arial" w:cs="Arial"/>
              </w:rPr>
              <w:t>Jirlău –Trup Vișani</w:t>
            </w:r>
          </w:p>
        </w:tc>
        <w:tc>
          <w:tcPr>
            <w:tcW w:w="132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Legea 5/2000</w:t>
            </w:r>
          </w:p>
        </w:tc>
        <w:tc>
          <w:tcPr>
            <w:tcW w:w="135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Rezervaţie naturală</w:t>
            </w:r>
          </w:p>
        </w:tc>
        <w:tc>
          <w:tcPr>
            <w:tcW w:w="105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838,66</w:t>
            </w:r>
          </w:p>
        </w:tc>
        <w:tc>
          <w:tcPr>
            <w:tcW w:w="23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Com. Jirlău, Vişani şi Galbenu</w:t>
            </w:r>
          </w:p>
        </w:tc>
        <w:tc>
          <w:tcPr>
            <w:tcW w:w="186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w:t>
            </w:r>
          </w:p>
        </w:tc>
      </w:tr>
      <w:tr w:rsidR="000F4FEA" w:rsidRPr="00730CFC" w:rsidTr="00012F90">
        <w:tc>
          <w:tcPr>
            <w:tcW w:w="547" w:type="dxa"/>
            <w:tcBorders>
              <w:top w:val="single" w:sz="6" w:space="0" w:color="000000"/>
              <w:left w:val="single" w:sz="4" w:space="0" w:color="auto"/>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3</w:t>
            </w:r>
          </w:p>
        </w:tc>
        <w:tc>
          <w:tcPr>
            <w:tcW w:w="1376"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Pădurea Camniţa</w:t>
            </w:r>
          </w:p>
        </w:tc>
        <w:tc>
          <w:tcPr>
            <w:tcW w:w="1322"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Legea 5/2000</w:t>
            </w:r>
          </w:p>
        </w:tc>
        <w:tc>
          <w:tcPr>
            <w:tcW w:w="1358"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Rezervaţie naturală</w:t>
            </w:r>
          </w:p>
        </w:tc>
        <w:tc>
          <w:tcPr>
            <w:tcW w:w="105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1,2</w:t>
            </w:r>
          </w:p>
        </w:tc>
        <w:tc>
          <w:tcPr>
            <w:tcW w:w="2334" w:type="dxa"/>
            <w:tcBorders>
              <w:top w:val="single" w:sz="6" w:space="0" w:color="000000"/>
              <w:left w:val="single" w:sz="6" w:space="0" w:color="000000"/>
              <w:bottom w:val="single" w:sz="6" w:space="0" w:color="000000"/>
              <w:right w:val="single" w:sz="6" w:space="0" w:color="000000"/>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Com. Râmnicelu</w:t>
            </w:r>
          </w:p>
        </w:tc>
        <w:tc>
          <w:tcPr>
            <w:tcW w:w="1862" w:type="dxa"/>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hideMark/>
          </w:tcPr>
          <w:p w:rsidR="000F4FEA" w:rsidRPr="00730CFC" w:rsidRDefault="000F4FEA" w:rsidP="00012F90">
            <w:pPr>
              <w:jc w:val="both"/>
              <w:rPr>
                <w:rFonts w:ascii="Arial" w:hAnsi="Arial" w:cs="Arial"/>
              </w:rPr>
            </w:pPr>
            <w:r w:rsidRPr="00730CFC">
              <w:rPr>
                <w:rFonts w:ascii="Arial" w:hAnsi="Arial" w:cs="Arial"/>
              </w:rPr>
              <w:t>Direcţia Silvică Brăila</w:t>
            </w:r>
          </w:p>
        </w:tc>
      </w:tr>
    </w:tbl>
    <w:p w:rsidR="000F4FEA" w:rsidRPr="00730CFC" w:rsidRDefault="000F4FEA" w:rsidP="00012F90">
      <w:pPr>
        <w:pStyle w:val="Footer"/>
        <w:jc w:val="both"/>
        <w:rPr>
          <w:rFonts w:ascii="Arial" w:hAnsi="Arial" w:cs="Arial"/>
          <w:b/>
          <w:u w:val="single"/>
          <w:lang w:val="ro-RO"/>
        </w:rPr>
      </w:pPr>
    </w:p>
    <w:p w:rsidR="000F4FEA" w:rsidRPr="00730CFC" w:rsidRDefault="000F4FEA" w:rsidP="00012F90">
      <w:pPr>
        <w:pStyle w:val="Footer"/>
        <w:jc w:val="both"/>
        <w:rPr>
          <w:rFonts w:ascii="Arial" w:hAnsi="Arial" w:cs="Arial"/>
          <w:b/>
          <w:u w:val="single"/>
          <w:lang w:val="ro-RO"/>
        </w:rPr>
      </w:pPr>
      <w:r w:rsidRPr="00730CFC">
        <w:rPr>
          <w:rFonts w:ascii="Arial" w:hAnsi="Arial" w:cs="Arial"/>
          <w:b/>
          <w:u w:val="single"/>
          <w:lang w:val="ro-RO"/>
        </w:rPr>
        <w:t>Parcul Natural Balta Mică a Brăilei</w:t>
      </w:r>
    </w:p>
    <w:p w:rsidR="000F4FEA" w:rsidRPr="00730CFC" w:rsidRDefault="000F4FEA" w:rsidP="00012F90">
      <w:pPr>
        <w:pStyle w:val="BodyTextIndent2"/>
        <w:tabs>
          <w:tab w:val="left" w:pos="180"/>
        </w:tabs>
        <w:spacing w:after="0" w:line="240" w:lineRule="auto"/>
        <w:ind w:left="0"/>
        <w:jc w:val="both"/>
        <w:rPr>
          <w:rFonts w:ascii="Arial" w:hAnsi="Arial" w:cs="Arial"/>
          <w:i/>
          <w:u w:val="single"/>
          <w:lang w:val="pt-BR"/>
        </w:rPr>
      </w:pPr>
      <w:r w:rsidRPr="00730CFC">
        <w:rPr>
          <w:rFonts w:ascii="Arial" w:hAnsi="Arial" w:cs="Arial"/>
          <w:b/>
          <w:lang w:val="pt-BR"/>
        </w:rPr>
        <w:tab/>
      </w:r>
      <w:r w:rsidRPr="00730CFC">
        <w:rPr>
          <w:rFonts w:ascii="Arial" w:hAnsi="Arial" w:cs="Arial"/>
          <w:i/>
          <w:u w:val="single"/>
          <w:lang w:val="pt-BR"/>
        </w:rPr>
        <w:t>Amplasament</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Parcul Natural Balta Mică a Brăilei este situat în lunca cu regim natural de inundaţie a fluviului Dunărea, între Vadu Oii şi municipiul Brăila, fiind delimitat de </w:t>
      </w:r>
      <w:r w:rsidRPr="00730CFC">
        <w:rPr>
          <w:rStyle w:val="tpa1"/>
          <w:rFonts w:ascii="Arial" w:hAnsi="Arial" w:cs="Arial"/>
          <w:lang w:val="pt-BR"/>
        </w:rPr>
        <w:t xml:space="preserve">fluviul şi braţele Dunării la cotele maxime de inundaţie. </w:t>
      </w:r>
      <w:r w:rsidRPr="00730CFC">
        <w:rPr>
          <w:rFonts w:ascii="Arial" w:hAnsi="Arial" w:cs="Arial"/>
          <w:lang w:val="pt-BR"/>
        </w:rPr>
        <w:t>Parcul  integrează toate cele 10 ostroave (insule) situate între braţele Dunării: O. Vărsătura, O. Popa, O. Crăcănel (Chiciul), O.Orbul, O. Calia (Lupului), O. Fundu Mare, O. Arapu, precum şi braţele adiacente ale Dunării.Se poate spune că este o deltă interioară pe traseul inferior al Dunării de Jos.</w:t>
      </w:r>
    </w:p>
    <w:p w:rsidR="000F4FEA" w:rsidRPr="00730CFC" w:rsidRDefault="000F4FEA" w:rsidP="00012F90">
      <w:pPr>
        <w:jc w:val="both"/>
        <w:rPr>
          <w:rFonts w:ascii="Arial" w:hAnsi="Arial" w:cs="Arial"/>
          <w:i/>
          <w:vanish/>
          <w:u w:val="single"/>
          <w:lang w:val="pt-BR"/>
        </w:rPr>
      </w:pPr>
      <w:r w:rsidRPr="00730CFC">
        <w:rPr>
          <w:rFonts w:ascii="Arial" w:hAnsi="Arial" w:cs="Arial"/>
          <w:i/>
          <w:u w:val="single"/>
          <w:lang w:val="pt-BR"/>
        </w:rPr>
        <w:t>Suprafaţa</w:t>
      </w:r>
    </w:p>
    <w:p w:rsidR="000F4FEA" w:rsidRPr="00730CFC" w:rsidRDefault="000F4FEA" w:rsidP="00012F90">
      <w:pPr>
        <w:autoSpaceDE w:val="0"/>
        <w:autoSpaceDN w:val="0"/>
        <w:adjustRightInd w:val="0"/>
        <w:jc w:val="both"/>
        <w:rPr>
          <w:rFonts w:ascii="Arial" w:hAnsi="Arial" w:cs="Arial"/>
          <w:lang w:val="pt-BR"/>
        </w:rPr>
      </w:pP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În Legea nr. 5/2000, această arie naturală protejată este menţionată cu o suprafaţă de </w:t>
      </w:r>
      <w:smartTag w:uri="urn:schemas-microsoft-com:office:smarttags" w:element="metricconverter">
        <w:smartTagPr>
          <w:attr w:name="ProductID" w:val="17529 ha"/>
        </w:smartTagPr>
        <w:r w:rsidRPr="00730CFC">
          <w:rPr>
            <w:rFonts w:ascii="Arial" w:hAnsi="Arial" w:cs="Arial"/>
            <w:lang w:val="pt-BR"/>
          </w:rPr>
          <w:t>17529 ha</w:t>
        </w:r>
      </w:smartTag>
      <w:r w:rsidRPr="00730CFC">
        <w:rPr>
          <w:rFonts w:ascii="Arial" w:hAnsi="Arial" w:cs="Arial"/>
          <w:lang w:val="pt-BR"/>
        </w:rPr>
        <w:t xml:space="preserve">. Având în  vedere prevederile HG nr. 230/2003 </w:t>
      </w:r>
      <w:r w:rsidRPr="00730CFC">
        <w:rPr>
          <w:rFonts w:ascii="Arial" w:hAnsi="Arial" w:cs="Arial"/>
          <w:bCs/>
        </w:rPr>
        <w:t>privind delimitarea rezervaţiilor biosferei, parcurilor naţionale şi parcurilor naturale şi constituirea administraţiilor acestora, conform căreia</w:t>
      </w:r>
      <w:r w:rsidRPr="00730CFC">
        <w:rPr>
          <w:rFonts w:ascii="Arial" w:hAnsi="Arial" w:cs="Arial"/>
          <w:lang w:val="pt-BR"/>
        </w:rPr>
        <w:t xml:space="preserve"> limita „</w:t>
      </w:r>
      <w:r w:rsidRPr="00730CFC">
        <w:rPr>
          <w:rFonts w:ascii="Arial" w:hAnsi="Arial" w:cs="Arial"/>
        </w:rPr>
        <w:t xml:space="preserve">este reprezentată de fluviul şi braţele Dunării la cotele maxime de inundaţie între podul de la Giurgeni - Vadul Oii şi până la sud de Brăila”, </w:t>
      </w:r>
      <w:r w:rsidRPr="00730CFC">
        <w:rPr>
          <w:rFonts w:ascii="Arial" w:hAnsi="Arial" w:cs="Arial"/>
          <w:lang w:val="pt-BR"/>
        </w:rPr>
        <w:t>Oficiul de Cadastru şi Publicitate Imobiliară Brăila</w:t>
      </w:r>
      <w:r w:rsidRPr="00730CFC">
        <w:rPr>
          <w:rFonts w:ascii="Arial" w:hAnsi="Arial" w:cs="Arial"/>
        </w:rPr>
        <w:t xml:space="preserve"> a</w:t>
      </w:r>
      <w:r w:rsidRPr="00730CFC">
        <w:rPr>
          <w:rFonts w:ascii="Arial" w:hAnsi="Arial" w:cs="Arial"/>
          <w:lang w:val="pt-BR"/>
        </w:rPr>
        <w:t xml:space="preserve"> reevaluat suprafaţa la </w:t>
      </w:r>
      <w:smartTag w:uri="urn:schemas-microsoft-com:office:smarttags" w:element="metricconverter">
        <w:smartTagPr>
          <w:attr w:name="ProductID" w:val="24.123 ha"/>
        </w:smartTagPr>
        <w:r w:rsidRPr="00730CFC">
          <w:rPr>
            <w:rFonts w:ascii="Arial" w:hAnsi="Arial" w:cs="Arial"/>
            <w:lang w:val="pt-BR"/>
          </w:rPr>
          <w:t>24.123 ha</w:t>
        </w:r>
      </w:smartTag>
      <w:r w:rsidRPr="00730CFC">
        <w:rPr>
          <w:rFonts w:ascii="Arial" w:hAnsi="Arial" w:cs="Arial"/>
          <w:lang w:val="pt-BR"/>
        </w:rPr>
        <w:t>.</w:t>
      </w:r>
    </w:p>
    <w:p w:rsidR="000F4FEA" w:rsidRPr="00730CFC" w:rsidRDefault="000F4FEA" w:rsidP="00012F90">
      <w:pPr>
        <w:tabs>
          <w:tab w:val="left" w:pos="180"/>
        </w:tabs>
        <w:jc w:val="both"/>
        <w:rPr>
          <w:rFonts w:ascii="Arial" w:hAnsi="Arial" w:cs="Arial"/>
          <w:i/>
          <w:u w:val="single"/>
          <w:lang w:val="pt-BR"/>
        </w:rPr>
      </w:pPr>
      <w:r w:rsidRPr="00730CFC">
        <w:rPr>
          <w:rFonts w:ascii="Arial" w:hAnsi="Arial" w:cs="Arial"/>
          <w:b/>
          <w:lang w:val="pt-BR"/>
        </w:rPr>
        <w:tab/>
      </w:r>
      <w:r w:rsidRPr="00730CFC">
        <w:rPr>
          <w:rFonts w:ascii="Arial" w:hAnsi="Arial" w:cs="Arial"/>
          <w:i/>
          <w:u w:val="single"/>
          <w:lang w:val="pt-BR"/>
        </w:rPr>
        <w:t>Valori naturale protejate</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În ciuda modificărilor survenite atât în structura sistemelor ecologice integratoare cât şi la nivelul ei, Balta Mică a Brăilei conservă importante valori ecologice, fiind o importantă componentă a Sistemului Dunării Inferioare, situată în amonte de Rezervaţia Biosferei Delta Dunării. Este singura zonă rămasă în regim hidrologic natural (zonă inundabilă), după îndiguirea, în proporţie de cca. 75%, a fostei Bălţi a Brăilei şi crearea incintei agricole Insula Mare a Brăilei.</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Datorită atributelor sale – zonă umedă în regim hidrologic natural, complex de ecosisteme în diferite stadii succesionale şi zonă tampon, Balta Mică a Brăilei reprezintă un sistem de referinţă al fostei delte interioare şi baza pentru reconstrucţia ecologică în Sistemul Dunării Inferioare.</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Din suprafaţa totală, cca 56,5% o ocupă pădurile aluviale, 0,3% păşunile inundabile şi 43% zonele umede (25% braţele Dunării, 13,1% lacuri permanente şi 4,9% mlaştini). </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Habitatele terestre sunt reprezentate prin păduri, pajişti şi tufărişuri. Pădurile pot fi cultivate cu plop euroamerican sau sunt păduri de sălcii sau de amestec cu plop alb, plop negru şi salcie. Pajiştile sunt instalate pe şesurile depresionare mai înalte (pajişti de stepă) sau în apropierea pădurilor de amestec (pajişti de luncă). Tufărişurile sunt destul de slab reprezentate, în structura pajiştilor sau izolate pe suprafeţe restrânse în zona malurilor nisipoase. </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Habitatele acvatice sunt reprezentate prin privaluri (canale naturale ce fac legătura dintre Dunăre şi bălţi), lacuri permanente şi bălţi temporare, mlaştini (care fac trecerea între bălţi şi ecosistemele terestre) şi zone mlăştinoase (la limita dintre uscat şi apă).</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Jumătate din ecosistemele identificate – bălţi şi păduri specifice de luncă inundabilă- sunt naturale, această zonă conservând în cea mai mare parte structura şi funcţiile vechii Bălţi a </w:t>
      </w:r>
      <w:r w:rsidRPr="00730CFC">
        <w:rPr>
          <w:rFonts w:ascii="Arial" w:hAnsi="Arial" w:cs="Arial"/>
          <w:lang w:val="pt-BR"/>
        </w:rPr>
        <w:lastRenderedPageBreak/>
        <w:t>Brăilei din anii ’50. Acestea sunt totodată habitate naturale de interes comunitar faţă de care s-au stabilit priorităţi de conservare.</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Balta Mică a Brăilei este bine cunoscută pentru importanţa ei ornitologică, deoarece se situează pe cel mai important culoar de migraţie al păsărilor din bazinul inferior al Dunării de Jos, la jumătatea rutelor de migraţie între locurile de cuibărit din nordul Europei şi refugiile de iernat din Africa. Au fost inventariate 207 specii de păsări, acestea reprezentând jumătate din speciile de păsări caracteristice României. Dintre speciile observate, 61 sunt conservate la nivel european. </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Pentru că o mare parte dintre acestea sunt păsări acvatice, în anul 2001 Balta Mică a Brăilei a fost declarată sit RAMSAR (poziţia 1074 pe lista Ramsar), al doilea după Delta Dunării, conform Convenţiei Ramsar prin care se protejează zonele umede de importanţă internaţională ca habitat al păsărilor acvatice, convenţie la care România este parte semnatară.</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Din anul 2007 Parcul Natural Balta Mică a Brăilei a fost inclus în Rețeaua europeană de arii naturale protejate Natura 2000 fiind declarată atât ca arie de protecţie specială avifaunistică (cod </w:t>
      </w:r>
      <w:r w:rsidRPr="00730CFC">
        <w:rPr>
          <w:rFonts w:ascii="Arial" w:hAnsi="Arial" w:cs="Arial"/>
          <w:lang w:val="it-IT" w:eastAsia="ro-RO"/>
        </w:rPr>
        <w:t xml:space="preserve">ROSPA0005), </w:t>
      </w:r>
      <w:r w:rsidRPr="00730CFC">
        <w:rPr>
          <w:rFonts w:ascii="Arial" w:hAnsi="Arial" w:cs="Arial"/>
          <w:lang w:val="pt-BR"/>
        </w:rPr>
        <w:t xml:space="preserve">cu o suprafaţă totală extinsă în anul 2011 la </w:t>
      </w:r>
      <w:smartTag w:uri="urn:schemas-microsoft-com:office:smarttags" w:element="metricconverter">
        <w:smartTagPr>
          <w:attr w:name="ProductID" w:val="25856 ha"/>
        </w:smartTagPr>
        <w:r w:rsidRPr="00730CFC">
          <w:rPr>
            <w:rFonts w:ascii="Arial" w:hAnsi="Arial" w:cs="Arial"/>
            <w:lang w:val="pt-BR"/>
          </w:rPr>
          <w:t>25856 ha</w:t>
        </w:r>
      </w:smartTag>
      <w:r w:rsidRPr="00730CFC">
        <w:rPr>
          <w:rFonts w:ascii="Arial" w:hAnsi="Arial" w:cs="Arial"/>
          <w:lang w:val="pt-BR"/>
        </w:rPr>
        <w:t xml:space="preserve">, din care 24821 în judeţul Brăila, cât şi ca sit de importanţă comunitară (cod </w:t>
      </w:r>
      <w:r w:rsidRPr="00730CFC">
        <w:rPr>
          <w:rFonts w:ascii="Arial" w:hAnsi="Arial" w:cs="Arial"/>
          <w:lang w:val="it-IT" w:eastAsia="ro-RO"/>
        </w:rPr>
        <w:t>ROSCI0006)</w:t>
      </w:r>
      <w:r w:rsidRPr="00730CFC">
        <w:rPr>
          <w:rFonts w:ascii="Arial" w:hAnsi="Arial" w:cs="Arial"/>
          <w:lang w:val="pt-BR"/>
        </w:rPr>
        <w:t>, cu o suprafaţă de 20872 ha (integral în judeţul Brăila), ambele cu denumirea Balta Mică a Brăilei.</w:t>
      </w:r>
    </w:p>
    <w:p w:rsidR="000F4FEA" w:rsidRPr="00730CFC" w:rsidRDefault="000F4FEA" w:rsidP="00012F90">
      <w:pPr>
        <w:autoSpaceDE w:val="0"/>
        <w:autoSpaceDN w:val="0"/>
        <w:adjustRightInd w:val="0"/>
        <w:jc w:val="both"/>
        <w:rPr>
          <w:rFonts w:ascii="Arial" w:hAnsi="Arial" w:cs="Arial"/>
          <w:lang w:val="pt-BR"/>
        </w:rPr>
      </w:pPr>
      <w:r w:rsidRPr="00730CFC">
        <w:rPr>
          <w:rFonts w:ascii="Arial" w:hAnsi="Arial" w:cs="Arial"/>
          <w:lang w:val="pt-BR"/>
        </w:rPr>
        <w:t xml:space="preserve">Zonarea funcţională, detaliată în planul de management aprobat prin HG nr. 538/2011, împarte suprafaţa parcului natural în cele 4 categorii de zone definite prin </w:t>
      </w:r>
      <w:r w:rsidRPr="00730CFC">
        <w:rPr>
          <w:rFonts w:ascii="Arial" w:hAnsi="Arial" w:cs="Arial"/>
          <w:bCs/>
        </w:rPr>
        <w:t>OUG nr. 57/2007 privind regimul ariilor naturale protejate, conservarea habitatelor naturale, a florei şi faunei sălbatice, aprobată cu modificări şi completări prin Legea nr. 49/2011</w:t>
      </w:r>
      <w:r w:rsidRPr="00730CFC">
        <w:rPr>
          <w:rFonts w:ascii="Arial" w:hAnsi="Arial" w:cs="Arial"/>
        </w:rPr>
        <w:t xml:space="preserve"> cu completările ulterioare</w:t>
      </w:r>
      <w:r w:rsidRPr="00730CFC">
        <w:rPr>
          <w:rFonts w:ascii="Arial" w:hAnsi="Arial" w:cs="Arial"/>
          <w:bCs/>
        </w:rPr>
        <w:t>: zone cu protecţie strictă, de protecţie integrală, de management durabil şi de dezvoltare durabilă a activităţilor umane</w:t>
      </w:r>
      <w:r w:rsidRPr="00730CFC">
        <w:rPr>
          <w:rFonts w:ascii="Arial" w:hAnsi="Arial" w:cs="Arial"/>
          <w:lang w:val="pt-BR"/>
        </w:rPr>
        <w:t xml:space="preserve">. Cea mai mare suprafaţă este ocupată de cele 8 zone </w:t>
      </w:r>
      <w:r w:rsidRPr="00730CFC">
        <w:rPr>
          <w:rFonts w:ascii="Arial" w:hAnsi="Arial" w:cs="Arial"/>
          <w:bCs/>
        </w:rPr>
        <w:t xml:space="preserve">de management durabil (zone tampon), însumând </w:t>
      </w:r>
      <w:smartTag w:uri="urn:schemas-microsoft-com:office:smarttags" w:element="metricconverter">
        <w:smartTagPr>
          <w:attr w:name="ProductID" w:val="9027,8 ha"/>
        </w:smartTagPr>
        <w:r w:rsidRPr="00730CFC">
          <w:rPr>
            <w:rFonts w:ascii="Arial" w:hAnsi="Arial" w:cs="Arial"/>
            <w:bCs/>
          </w:rPr>
          <w:t>9027,8 ha</w:t>
        </w:r>
      </w:smartTag>
      <w:r w:rsidRPr="00730CFC">
        <w:rPr>
          <w:rFonts w:ascii="Arial" w:hAnsi="Arial" w:cs="Arial"/>
          <w:bCs/>
        </w:rPr>
        <w:t xml:space="preserve">, care cuprind toate păşunile din arie şi terenuri forestiere pe </w:t>
      </w:r>
      <w:smartTag w:uri="urn:schemas-microsoft-com:office:smarttags" w:element="metricconverter">
        <w:smartTagPr>
          <w:attr w:name="ProductID" w:val="7.289,9 ha"/>
        </w:smartTagPr>
        <w:r w:rsidRPr="00730CFC">
          <w:rPr>
            <w:rFonts w:ascii="Arial" w:hAnsi="Arial" w:cs="Arial"/>
            <w:lang w:val="pt-BR"/>
          </w:rPr>
          <w:t>7.289,9</w:t>
        </w:r>
        <w:r w:rsidRPr="00730CFC">
          <w:rPr>
            <w:rFonts w:ascii="Arial" w:hAnsi="Arial" w:cs="Arial"/>
            <w:bCs/>
          </w:rPr>
          <w:t xml:space="preserve"> ha</w:t>
        </w:r>
      </w:smartTag>
      <w:r w:rsidRPr="00730CFC">
        <w:rPr>
          <w:rFonts w:ascii="Arial" w:hAnsi="Arial" w:cs="Arial"/>
          <w:bCs/>
        </w:rPr>
        <w:t>. Cele mai multe lacuri din parc au statut de zone de protecţie integrală, iar braţele Dunării sunt cuprinse integral în zona de dezvoltare durabilă a activităţilor umane</w:t>
      </w:r>
      <w:r w:rsidRPr="00730CFC">
        <w:rPr>
          <w:rFonts w:ascii="Arial" w:hAnsi="Arial" w:cs="Arial"/>
          <w:lang w:val="pt-BR"/>
        </w:rPr>
        <w:t>.</w:t>
      </w:r>
    </w:p>
    <w:p w:rsidR="000F4FEA" w:rsidRPr="00730CFC" w:rsidRDefault="000F4FEA" w:rsidP="00012F90">
      <w:pPr>
        <w:ind w:firstLine="360"/>
        <w:jc w:val="both"/>
        <w:rPr>
          <w:rFonts w:ascii="Arial" w:hAnsi="Arial" w:cs="Arial"/>
          <w:lang w:val="pt-BR"/>
        </w:rPr>
      </w:pPr>
      <w:r w:rsidRPr="00730CFC">
        <w:rPr>
          <w:rFonts w:ascii="Arial" w:hAnsi="Arial" w:cs="Arial"/>
          <w:lang w:val="pt-BR"/>
        </w:rPr>
        <w:tab/>
      </w:r>
      <w:r w:rsidRPr="00730CFC">
        <w:rPr>
          <w:rFonts w:ascii="Arial" w:hAnsi="Arial" w:cs="Arial"/>
          <w:noProof/>
          <w:lang w:val="pt-BR"/>
        </w:rPr>
        <w:t xml:space="preserve">             </w:t>
      </w:r>
      <w:r w:rsidRPr="00730CFC">
        <w:rPr>
          <w:rFonts w:ascii="Arial" w:hAnsi="Arial" w:cs="Arial"/>
          <w:lang w:val="pt-BR"/>
        </w:rPr>
        <w:tab/>
      </w:r>
    </w:p>
    <w:p w:rsidR="000F4FEA" w:rsidRPr="00730CFC" w:rsidRDefault="000F4FEA" w:rsidP="00012F90">
      <w:pPr>
        <w:jc w:val="both"/>
        <w:rPr>
          <w:rFonts w:ascii="Arial" w:hAnsi="Arial" w:cs="Arial"/>
          <w:noProof/>
        </w:rPr>
      </w:pPr>
      <w:r w:rsidRPr="00730CFC">
        <w:rPr>
          <w:rFonts w:ascii="Arial" w:hAnsi="Arial" w:cs="Arial"/>
          <w:noProof/>
        </w:rPr>
        <w:t xml:space="preserve">Asupra complexelor de ecosisteme din Parcul Natural Balta Mică a Brăilei trebuie luate în considerare următoarele </w:t>
      </w:r>
      <w:r w:rsidRPr="00730CFC">
        <w:rPr>
          <w:rFonts w:ascii="Arial" w:hAnsi="Arial" w:cs="Arial"/>
          <w:noProof/>
          <w:u w:val="single"/>
        </w:rPr>
        <w:t>presiuni antropice</w:t>
      </w:r>
      <w:r w:rsidRPr="00730CFC">
        <w:rPr>
          <w:rFonts w:ascii="Arial" w:hAnsi="Arial" w:cs="Arial"/>
          <w:noProof/>
        </w:rPr>
        <w:t xml:space="preserve"> :</w:t>
      </w:r>
    </w:p>
    <w:p w:rsidR="000F4FEA" w:rsidRPr="00730CFC" w:rsidRDefault="000F4FEA" w:rsidP="005E6B2E">
      <w:pPr>
        <w:numPr>
          <w:ilvl w:val="0"/>
          <w:numId w:val="34"/>
        </w:numPr>
        <w:jc w:val="both"/>
        <w:rPr>
          <w:rFonts w:ascii="Arial" w:hAnsi="Arial" w:cs="Arial"/>
          <w:noProof/>
        </w:rPr>
      </w:pPr>
      <w:r w:rsidRPr="00730CFC">
        <w:rPr>
          <w:rFonts w:ascii="Arial" w:hAnsi="Arial" w:cs="Arial"/>
          <w:i/>
          <w:noProof/>
        </w:rPr>
        <w:t xml:space="preserve">braconajul piscicol şi supraexploatarea piscicolă fără o fundamentare a efortului de pescuit </w:t>
      </w:r>
      <w:r w:rsidRPr="00730CFC">
        <w:rPr>
          <w:rFonts w:ascii="Arial" w:hAnsi="Arial" w:cs="Arial"/>
          <w:noProof/>
        </w:rPr>
        <w:t>– una dintre cele mai mari ameninţări asupra biodiversităţii, având drept consecinţe: diminuarea necontrolată a populaţiilor de peşti în sensul depăşirii capacităţii de suport, recoltarea neselectivă a ihtiofaunei (mai ales braconajul cu curent electric), dezechilibrarea lanţurilor trofice;</w:t>
      </w:r>
    </w:p>
    <w:p w:rsidR="000F4FEA" w:rsidRPr="00730CFC" w:rsidRDefault="000F4FEA" w:rsidP="005E6B2E">
      <w:pPr>
        <w:numPr>
          <w:ilvl w:val="0"/>
          <w:numId w:val="34"/>
        </w:numPr>
        <w:jc w:val="both"/>
        <w:rPr>
          <w:rFonts w:ascii="Arial" w:hAnsi="Arial" w:cs="Arial"/>
          <w:bCs/>
          <w:noProof/>
        </w:rPr>
      </w:pPr>
      <w:r w:rsidRPr="00730CFC">
        <w:rPr>
          <w:rFonts w:ascii="Arial" w:hAnsi="Arial" w:cs="Arial"/>
          <w:i/>
          <w:noProof/>
        </w:rPr>
        <w:t>păşunatul abuziv în regim semisălbatic</w:t>
      </w:r>
      <w:r w:rsidRPr="00730CFC">
        <w:rPr>
          <w:rFonts w:ascii="Arial" w:hAnsi="Arial" w:cs="Arial"/>
          <w:noProof/>
        </w:rPr>
        <w:t xml:space="preserve">, are ca efect deteriorarea unor habitate de interes comunitar prin distrugerea vegetaţiei, în special a celei lemnoase prin roaderea scoarţei şi a vârfului lăstarilor de plop şi salcie; </w:t>
      </w:r>
    </w:p>
    <w:p w:rsidR="000F4FEA" w:rsidRPr="00730CFC" w:rsidRDefault="000F4FEA" w:rsidP="005E6B2E">
      <w:pPr>
        <w:numPr>
          <w:ilvl w:val="0"/>
          <w:numId w:val="34"/>
        </w:numPr>
        <w:jc w:val="both"/>
        <w:rPr>
          <w:rFonts w:ascii="Arial" w:hAnsi="Arial" w:cs="Arial"/>
          <w:noProof/>
        </w:rPr>
      </w:pPr>
      <w:r w:rsidRPr="00730CFC">
        <w:rPr>
          <w:rFonts w:ascii="Arial" w:hAnsi="Arial" w:cs="Arial"/>
          <w:i/>
          <w:noProof/>
        </w:rPr>
        <w:t>delictele silvice</w:t>
      </w:r>
      <w:r w:rsidRPr="00730CFC">
        <w:rPr>
          <w:rFonts w:ascii="Arial" w:hAnsi="Arial" w:cs="Arial"/>
          <w:noProof/>
        </w:rPr>
        <w:t xml:space="preserve"> (pot avea implicaţii în echilibrul trofic al ecosistemului): </w:t>
      </w:r>
      <w:r w:rsidRPr="00730CFC">
        <w:rPr>
          <w:rFonts w:ascii="Arial" w:hAnsi="Arial" w:cs="Arial"/>
          <w:i/>
          <w:noProof/>
        </w:rPr>
        <w:t xml:space="preserve">recoltarea ilegală a unor elemente din flora şi fauna parcului </w:t>
      </w:r>
      <w:r w:rsidRPr="00730CFC">
        <w:rPr>
          <w:rFonts w:ascii="Arial" w:hAnsi="Arial" w:cs="Arial"/>
          <w:noProof/>
        </w:rPr>
        <w:t xml:space="preserve">care poate conduce la afectarea efectivelor unor specii </w:t>
      </w:r>
    </w:p>
    <w:p w:rsidR="000F4FEA" w:rsidRPr="00730CFC" w:rsidRDefault="000F4FEA" w:rsidP="005E6B2E">
      <w:pPr>
        <w:numPr>
          <w:ilvl w:val="0"/>
          <w:numId w:val="34"/>
        </w:numPr>
        <w:jc w:val="both"/>
        <w:rPr>
          <w:rFonts w:ascii="Arial" w:hAnsi="Arial" w:cs="Arial"/>
          <w:noProof/>
        </w:rPr>
      </w:pPr>
      <w:r w:rsidRPr="00730CFC">
        <w:rPr>
          <w:rFonts w:ascii="Arial" w:hAnsi="Arial" w:cs="Arial"/>
          <w:i/>
          <w:noProof/>
        </w:rPr>
        <w:t>turismul necontrolat</w:t>
      </w:r>
      <w:r w:rsidRPr="00730CFC">
        <w:rPr>
          <w:rFonts w:ascii="Arial" w:hAnsi="Arial" w:cs="Arial"/>
          <w:noProof/>
        </w:rPr>
        <w:t xml:space="preserve"> practicat în special în week-end are ca efect acumularea de deşeuri de tip menajer (în special ambalaje tip PET) mai ales în zonele dig-mal. În zonele de protecţie integrală turismul poate deranja unele specii de păsări în special în perioada clocitului când poate determina părăsirea locurilor de cuibărit şi poate reprezenta un factor de stres în timpul pasajului; </w:t>
      </w:r>
    </w:p>
    <w:p w:rsidR="000F4FEA" w:rsidRPr="00730CFC" w:rsidRDefault="000F4FEA" w:rsidP="00012F90">
      <w:pPr>
        <w:ind w:left="360"/>
        <w:jc w:val="both"/>
        <w:rPr>
          <w:rFonts w:ascii="Arial" w:hAnsi="Arial" w:cs="Arial"/>
          <w:noProof/>
        </w:rPr>
      </w:pPr>
    </w:p>
    <w:p w:rsidR="000F4FEA" w:rsidRPr="00730CFC" w:rsidRDefault="000F4FEA" w:rsidP="00012F90">
      <w:pPr>
        <w:pStyle w:val="Footer"/>
        <w:tabs>
          <w:tab w:val="left" w:pos="180"/>
        </w:tabs>
        <w:jc w:val="both"/>
        <w:rPr>
          <w:rFonts w:ascii="Arial" w:hAnsi="Arial" w:cs="Arial"/>
          <w:b/>
          <w:u w:val="single"/>
          <w:lang w:val="ro-RO"/>
        </w:rPr>
      </w:pPr>
      <w:r w:rsidRPr="00730CFC">
        <w:rPr>
          <w:rFonts w:ascii="Arial" w:hAnsi="Arial" w:cs="Arial"/>
          <w:b/>
          <w:u w:val="single"/>
          <w:lang w:val="ro-RO"/>
        </w:rPr>
        <w:t>Rezervaţia Naturală Pădurea Camniţa</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Localizare</w:t>
      </w:r>
    </w:p>
    <w:p w:rsidR="000F4FEA" w:rsidRPr="00730CFC" w:rsidRDefault="000F4FEA" w:rsidP="00012F90">
      <w:pPr>
        <w:tabs>
          <w:tab w:val="left" w:pos="180"/>
        </w:tabs>
        <w:jc w:val="both"/>
        <w:rPr>
          <w:rFonts w:ascii="Arial" w:hAnsi="Arial" w:cs="Arial"/>
        </w:rPr>
      </w:pPr>
      <w:r w:rsidRPr="00730CFC">
        <w:rPr>
          <w:rFonts w:ascii="Arial" w:hAnsi="Arial" w:cs="Arial"/>
        </w:rPr>
        <w:lastRenderedPageBreak/>
        <w:t xml:space="preserve">Rezervaţia are o suprafaţă de </w:t>
      </w:r>
      <w:smartTag w:uri="urn:schemas-microsoft-com:office:smarttags" w:element="metricconverter">
        <w:smartTagPr>
          <w:attr w:name="ProductID" w:val="1,2 ha"/>
        </w:smartTagPr>
        <w:r w:rsidRPr="00730CFC">
          <w:rPr>
            <w:rFonts w:ascii="Arial" w:hAnsi="Arial" w:cs="Arial"/>
          </w:rPr>
          <w:t>1,2 ha</w:t>
        </w:r>
      </w:smartTag>
      <w:r w:rsidRPr="00730CFC">
        <w:rPr>
          <w:rFonts w:ascii="Arial" w:hAnsi="Arial" w:cs="Arial"/>
        </w:rPr>
        <w:t xml:space="preserve"> şi este amplasată în comuna Râmnicelu, în apropierea satului Constantineşti, între DJ 221 şi râul Buzău. Această rezervaţie este situată în cuprinsul pădurii Camniţa, pădure ce ocupă circa </w:t>
      </w:r>
      <w:smartTag w:uri="urn:schemas-microsoft-com:office:smarttags" w:element="metricconverter">
        <w:smartTagPr>
          <w:attr w:name="ProductID" w:val="550 ha"/>
        </w:smartTagPr>
        <w:r w:rsidRPr="00730CFC">
          <w:rPr>
            <w:rFonts w:ascii="Arial" w:hAnsi="Arial" w:cs="Arial"/>
          </w:rPr>
          <w:t>550 ha</w:t>
        </w:r>
      </w:smartTag>
      <w:r w:rsidRPr="00730CFC">
        <w:rPr>
          <w:rFonts w:ascii="Arial" w:hAnsi="Arial" w:cs="Arial"/>
        </w:rPr>
        <w:t xml:space="preserve">, formată preponderent din salcâm, plop alb şi negru şi salcie. </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Valori naturale protejate</w:t>
      </w:r>
    </w:p>
    <w:p w:rsidR="000F4FEA" w:rsidRPr="00730CFC" w:rsidRDefault="000F4FEA" w:rsidP="00012F90">
      <w:pPr>
        <w:tabs>
          <w:tab w:val="left" w:pos="180"/>
        </w:tabs>
        <w:jc w:val="both"/>
        <w:rPr>
          <w:rFonts w:ascii="Arial" w:hAnsi="Arial" w:cs="Arial"/>
        </w:rPr>
      </w:pPr>
      <w:r w:rsidRPr="00730CFC">
        <w:rPr>
          <w:rFonts w:ascii="Arial" w:hAnsi="Arial" w:cs="Arial"/>
        </w:rPr>
        <w:t>Pădurea este un arboret natural de frasin - hibrizi de frasin de Pennsylvania (Fraxinus pennsylvanica şi Fraxinus angustifolia), în amestec cu salcâm, de origine necunoscută. A fost declarată rezervaţie pentru că frasinul constituie o raritate în peisajul judeţului Brăila.</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Anul declarării şi documentele prin care a fost declarată</w:t>
      </w:r>
    </w:p>
    <w:p w:rsidR="000F4FEA" w:rsidRPr="00730CFC" w:rsidRDefault="000F4FEA" w:rsidP="00012F90">
      <w:pPr>
        <w:tabs>
          <w:tab w:val="left" w:pos="180"/>
        </w:tabs>
        <w:jc w:val="both"/>
        <w:rPr>
          <w:rFonts w:ascii="Arial" w:hAnsi="Arial" w:cs="Arial"/>
        </w:rPr>
      </w:pPr>
      <w:r w:rsidRPr="00730CFC">
        <w:rPr>
          <w:rFonts w:ascii="Arial" w:hAnsi="Arial" w:cs="Arial"/>
        </w:rPr>
        <w:tab/>
      </w:r>
      <w:r w:rsidRPr="00730CFC">
        <w:rPr>
          <w:rFonts w:ascii="Arial" w:hAnsi="Arial" w:cs="Arial"/>
        </w:rPr>
        <w:tab/>
        <w:t>1994 - H.C.J. Brăila nr. 20/1994 - rezervaţie forestieră</w:t>
      </w:r>
    </w:p>
    <w:p w:rsidR="000F4FEA" w:rsidRPr="00730CFC" w:rsidRDefault="000F4FEA" w:rsidP="00012F90">
      <w:pPr>
        <w:tabs>
          <w:tab w:val="left" w:pos="180"/>
        </w:tabs>
        <w:jc w:val="both"/>
        <w:rPr>
          <w:rFonts w:ascii="Arial" w:hAnsi="Arial" w:cs="Arial"/>
        </w:rPr>
      </w:pPr>
      <w:r w:rsidRPr="00730CFC">
        <w:rPr>
          <w:rFonts w:ascii="Arial" w:hAnsi="Arial" w:cs="Arial"/>
        </w:rPr>
        <w:tab/>
      </w:r>
      <w:r w:rsidRPr="00730CFC">
        <w:rPr>
          <w:rFonts w:ascii="Arial" w:hAnsi="Arial" w:cs="Arial"/>
        </w:rPr>
        <w:tab/>
        <w:t xml:space="preserve">2000 - </w:t>
      </w:r>
      <w:r w:rsidRPr="00730CFC">
        <w:rPr>
          <w:rFonts w:ascii="Arial" w:hAnsi="Arial" w:cs="Arial"/>
          <w:i/>
        </w:rPr>
        <w:t>Legea nr. 5/2000 pentru aprobarea Planului de amenajare a teritoriului naţional</w:t>
      </w:r>
      <w:r w:rsidRPr="00730CFC">
        <w:rPr>
          <w:rFonts w:ascii="Arial" w:hAnsi="Arial" w:cs="Arial"/>
        </w:rPr>
        <w:t xml:space="preserve"> – secţiunea a III-a – zone protejate - rezervaţie naturală, cod 2259.</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Starea ecosistemelor</w:t>
      </w:r>
    </w:p>
    <w:p w:rsidR="000F4FEA" w:rsidRPr="00730CFC" w:rsidRDefault="000F4FEA" w:rsidP="00012F90">
      <w:pPr>
        <w:suppressAutoHyphens/>
        <w:jc w:val="both"/>
        <w:rPr>
          <w:rFonts w:ascii="Arial" w:eastAsia="Times New Roman" w:hAnsi="Arial" w:cs="Arial"/>
        </w:rPr>
      </w:pPr>
      <w:r w:rsidRPr="00730CFC">
        <w:rPr>
          <w:rFonts w:ascii="Arial" w:hAnsi="Arial" w:cs="Arial"/>
        </w:rPr>
        <w:t xml:space="preserve">În general această arie protejată nu este supusă unor influenţe antropice semnificative, conservarea acestui trup de pădure fiind afectată doar de climatul secetos al ultimilor ani. Menţinerea stării de conservare este favorizată şi de lipsa practicării turismului pe teritoriul rezervaţiei. </w:t>
      </w:r>
      <w:r w:rsidRPr="00730CFC">
        <w:rPr>
          <w:rFonts w:ascii="Arial" w:eastAsia="Times New Roman" w:hAnsi="Arial" w:cs="Arial"/>
          <w:lang w:val="it-IT"/>
        </w:rPr>
        <w:t xml:space="preserve">la nivelul anului 2014 nu au fost semnalate evenimente deosebite care sa afecteze negativ starea de conservare a ariei protejate </w:t>
      </w:r>
      <w:r w:rsidRPr="00730CFC">
        <w:rPr>
          <w:rFonts w:ascii="Arial" w:eastAsia="Times New Roman" w:hAnsi="Arial" w:cs="Arial"/>
        </w:rPr>
        <w:t>.</w:t>
      </w:r>
    </w:p>
    <w:p w:rsidR="000F4FEA" w:rsidRPr="00730CFC" w:rsidRDefault="000F4FEA" w:rsidP="00012F90">
      <w:pPr>
        <w:tabs>
          <w:tab w:val="left" w:pos="180"/>
        </w:tabs>
        <w:jc w:val="both"/>
        <w:rPr>
          <w:rFonts w:ascii="Arial" w:hAnsi="Arial" w:cs="Arial"/>
        </w:rPr>
      </w:pPr>
    </w:p>
    <w:p w:rsidR="000F4FEA" w:rsidRPr="00730CFC" w:rsidRDefault="000F4FEA" w:rsidP="00012F90">
      <w:pPr>
        <w:pStyle w:val="Footer"/>
        <w:tabs>
          <w:tab w:val="left" w:pos="180"/>
        </w:tabs>
        <w:jc w:val="both"/>
        <w:rPr>
          <w:rFonts w:ascii="Arial" w:hAnsi="Arial" w:cs="Arial"/>
          <w:b/>
          <w:u w:val="single"/>
          <w:lang w:val="ro-RO"/>
        </w:rPr>
      </w:pPr>
      <w:r w:rsidRPr="00730CFC">
        <w:rPr>
          <w:rFonts w:ascii="Arial" w:hAnsi="Arial" w:cs="Arial"/>
          <w:b/>
          <w:u w:val="single"/>
          <w:lang w:val="ro-RO"/>
        </w:rPr>
        <w:t>Rezervaţia Naturală Lacul Jirlău Vişani</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 xml:space="preserve">Localizare </w:t>
      </w:r>
    </w:p>
    <w:p w:rsidR="000F4FEA" w:rsidRPr="00730CFC" w:rsidRDefault="000F4FEA" w:rsidP="00012F90">
      <w:pPr>
        <w:tabs>
          <w:tab w:val="left" w:pos="180"/>
        </w:tabs>
        <w:jc w:val="both"/>
        <w:rPr>
          <w:rFonts w:ascii="Arial" w:hAnsi="Arial" w:cs="Arial"/>
        </w:rPr>
      </w:pPr>
      <w:r w:rsidRPr="00730CFC">
        <w:rPr>
          <w:rFonts w:ascii="Arial" w:hAnsi="Arial" w:cs="Arial"/>
        </w:rPr>
        <w:t xml:space="preserve">Rezervaţia este situată în vestul judeţului Brăila, pe malul stâng al râului Buzău, pe teritoriul comunelor Jirlău, Vişani şi Galbenu, având o  suprafaţă de </w:t>
      </w:r>
      <w:smartTag w:uri="urn:schemas-microsoft-com:office:smarttags" w:element="metricconverter">
        <w:smartTagPr>
          <w:attr w:name="ProductID" w:val="838,66 ha"/>
        </w:smartTagPr>
        <w:r w:rsidRPr="00730CFC">
          <w:rPr>
            <w:rFonts w:ascii="Arial" w:hAnsi="Arial" w:cs="Arial"/>
          </w:rPr>
          <w:t>838,66 ha</w:t>
        </w:r>
      </w:smartTag>
      <w:r w:rsidRPr="00730CFC">
        <w:rPr>
          <w:rFonts w:ascii="Arial" w:hAnsi="Arial" w:cs="Arial"/>
        </w:rPr>
        <w:t>.</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Anul declarării şi actele prin care a fost declarată</w:t>
      </w:r>
    </w:p>
    <w:p w:rsidR="000F4FEA" w:rsidRPr="00730CFC" w:rsidRDefault="000F4FEA" w:rsidP="00012F90">
      <w:pPr>
        <w:tabs>
          <w:tab w:val="left" w:pos="180"/>
        </w:tabs>
        <w:jc w:val="both"/>
        <w:rPr>
          <w:rFonts w:ascii="Arial" w:hAnsi="Arial" w:cs="Arial"/>
        </w:rPr>
      </w:pPr>
      <w:r w:rsidRPr="00730CFC">
        <w:rPr>
          <w:rFonts w:ascii="Arial" w:hAnsi="Arial" w:cs="Arial"/>
        </w:rPr>
        <w:tab/>
      </w:r>
      <w:r w:rsidRPr="00730CFC">
        <w:rPr>
          <w:rFonts w:ascii="Arial" w:hAnsi="Arial" w:cs="Arial"/>
        </w:rPr>
        <w:tab/>
        <w:t>1994 - H.C.J. Brăila nr. 20/1994 - refugiu ornitologic</w:t>
      </w:r>
    </w:p>
    <w:p w:rsidR="000F4FEA" w:rsidRPr="00730CFC" w:rsidRDefault="000F4FEA" w:rsidP="00012F90">
      <w:pPr>
        <w:tabs>
          <w:tab w:val="left" w:pos="180"/>
        </w:tabs>
        <w:jc w:val="both"/>
        <w:rPr>
          <w:rFonts w:ascii="Arial" w:hAnsi="Arial" w:cs="Arial"/>
        </w:rPr>
      </w:pPr>
      <w:r w:rsidRPr="00730CFC">
        <w:rPr>
          <w:rFonts w:ascii="Arial" w:hAnsi="Arial" w:cs="Arial"/>
        </w:rPr>
        <w:tab/>
      </w:r>
      <w:r w:rsidRPr="00730CFC">
        <w:rPr>
          <w:rFonts w:ascii="Arial" w:hAnsi="Arial" w:cs="Arial"/>
        </w:rPr>
        <w:tab/>
        <w:t xml:space="preserve">2000 - </w:t>
      </w:r>
      <w:r w:rsidRPr="00730CFC">
        <w:rPr>
          <w:rFonts w:ascii="Arial" w:hAnsi="Arial" w:cs="Arial"/>
          <w:i/>
        </w:rPr>
        <w:t>Legea nr. 5/2000 pentru aprobarea Planului de amenajare a teritoriului naţional</w:t>
      </w:r>
      <w:r w:rsidRPr="00730CFC">
        <w:rPr>
          <w:rFonts w:ascii="Arial" w:hAnsi="Arial" w:cs="Arial"/>
        </w:rPr>
        <w:t xml:space="preserve"> – secţiunea a III-a – zone protejate - rezervaţie naturală, cod 2260.</w:t>
      </w:r>
    </w:p>
    <w:p w:rsidR="000F4FEA" w:rsidRPr="00730CFC" w:rsidRDefault="000F4FEA" w:rsidP="00012F90">
      <w:pPr>
        <w:tabs>
          <w:tab w:val="left" w:pos="180"/>
        </w:tabs>
        <w:jc w:val="both"/>
        <w:rPr>
          <w:rFonts w:ascii="Arial" w:hAnsi="Arial" w:cs="Arial"/>
          <w:i/>
          <w:u w:val="single"/>
        </w:rPr>
      </w:pPr>
      <w:r w:rsidRPr="00730CFC">
        <w:rPr>
          <w:rFonts w:ascii="Arial" w:hAnsi="Arial" w:cs="Arial"/>
          <w:i/>
          <w:u w:val="single"/>
        </w:rPr>
        <w:t>Valori naturale protejate</w:t>
      </w:r>
    </w:p>
    <w:p w:rsidR="000F4FEA" w:rsidRPr="00730CFC" w:rsidRDefault="000F4FEA" w:rsidP="00012F90">
      <w:pPr>
        <w:tabs>
          <w:tab w:val="left" w:pos="180"/>
        </w:tabs>
        <w:jc w:val="both"/>
        <w:rPr>
          <w:rFonts w:ascii="Arial" w:hAnsi="Arial" w:cs="Arial"/>
        </w:rPr>
      </w:pPr>
      <w:r w:rsidRPr="00730CFC">
        <w:rPr>
          <w:rFonts w:ascii="Arial" w:hAnsi="Arial" w:cs="Arial"/>
        </w:rPr>
        <w:t>Rezervaţia este un lac eutrof, puţin adânc, cu vegetaţie tipică de baltă permanentă, cu asociaţii în care predomină stuful, papura şi pipirigul. Lacul asigură habitate de pasaj, hrănire, şi cuibărire pentru o serie de specii de păsări migratoare şi sedentare, de zonă umedă. Prezenţa unor habitate şi specii de interes comunitar a motivat includerea zonei în  aria de protecţie specială avifaunistică ROSPA0004 Balta Albă-Amara-Jirlău, precum şi în situl de importanţă comunitară ROSCI0005 Balta Albă-Amara-Jirlău-Lacul Sărat Câineni.</w:t>
      </w:r>
    </w:p>
    <w:p w:rsidR="000F4FEA" w:rsidRPr="00730CFC" w:rsidRDefault="000F4FEA" w:rsidP="00012F90">
      <w:pPr>
        <w:pStyle w:val="Heading3"/>
        <w:tabs>
          <w:tab w:val="left" w:pos="180"/>
        </w:tabs>
        <w:spacing w:before="0" w:after="0"/>
        <w:jc w:val="both"/>
        <w:rPr>
          <w:rFonts w:ascii="Arial" w:hAnsi="Arial" w:cs="Arial"/>
          <w:sz w:val="24"/>
          <w:szCs w:val="24"/>
          <w:u w:val="single"/>
        </w:rPr>
      </w:pPr>
      <w:r w:rsidRPr="00730CFC">
        <w:rPr>
          <w:rFonts w:ascii="Arial" w:hAnsi="Arial" w:cs="Arial"/>
          <w:sz w:val="24"/>
          <w:szCs w:val="24"/>
          <w:u w:val="single"/>
        </w:rPr>
        <w:t>Starea ecosistemelor</w:t>
      </w:r>
    </w:p>
    <w:p w:rsidR="000F4FEA" w:rsidRPr="00730CFC" w:rsidRDefault="000F4FEA" w:rsidP="00012F90">
      <w:pPr>
        <w:jc w:val="both"/>
        <w:rPr>
          <w:rFonts w:ascii="Arial" w:hAnsi="Arial" w:cs="Arial"/>
        </w:rPr>
      </w:pPr>
      <w:r w:rsidRPr="00730CFC">
        <w:rPr>
          <w:rFonts w:ascii="Arial" w:hAnsi="Arial" w:cs="Arial"/>
        </w:rPr>
        <w:t xml:space="preserve">Ecosistemele din aria protejată nu au fost afectate de eroziunea antropică (depozitări de deşeuri pe malul lacului, păşunat sau vânătoare) în schimb seceta reduce coonsiderabil luciul de apă mai ales în perioadele calde ale anului. </w:t>
      </w:r>
    </w:p>
    <w:p w:rsidR="000F4FEA" w:rsidRPr="00730CFC" w:rsidRDefault="000F4FEA" w:rsidP="00012F90">
      <w:pPr>
        <w:jc w:val="both"/>
        <w:rPr>
          <w:rFonts w:ascii="Arial" w:hAnsi="Arial" w:cs="Arial"/>
          <w:b/>
          <w:bCs/>
        </w:rPr>
      </w:pPr>
    </w:p>
    <w:p w:rsidR="000F4FEA" w:rsidRPr="00730CFC" w:rsidRDefault="000F4FEA" w:rsidP="00012F90">
      <w:pPr>
        <w:tabs>
          <w:tab w:val="left" w:leader="dot" w:pos="8640"/>
        </w:tabs>
        <w:ind w:right="360"/>
        <w:jc w:val="both"/>
        <w:rPr>
          <w:rFonts w:ascii="Arial" w:hAnsi="Arial" w:cs="Arial"/>
          <w:b/>
          <w:bCs/>
        </w:rPr>
      </w:pPr>
      <w:r w:rsidRPr="00730CFC">
        <w:rPr>
          <w:rFonts w:ascii="Arial" w:hAnsi="Arial" w:cs="Arial"/>
          <w:b/>
          <w:bCs/>
        </w:rPr>
        <w:t xml:space="preserve">Arii naturale protejate de interes internaţional </w:t>
      </w:r>
    </w:p>
    <w:p w:rsidR="000F4FEA" w:rsidRPr="00730CFC" w:rsidRDefault="000F4FEA" w:rsidP="00012F90">
      <w:pPr>
        <w:jc w:val="both"/>
        <w:rPr>
          <w:rFonts w:ascii="Arial" w:hAnsi="Arial" w:cs="Arial"/>
        </w:rPr>
      </w:pPr>
      <w:r w:rsidRPr="00730CFC">
        <w:rPr>
          <w:rFonts w:ascii="Arial" w:hAnsi="Arial" w:cs="Arial"/>
        </w:rPr>
        <w:t xml:space="preserve">Potrivit OUG nr. 57/2007 privind regimul ariilor naturale protejate, conservarea habitatelor naturale, a florei şi faunei sălbatice, aprobată cu modificări şi completări prin Legea nr. 49/2011, cu completările ulterioare, ariile naturale protejate </w:t>
      </w:r>
      <w:r w:rsidRPr="00730CFC">
        <w:rPr>
          <w:rStyle w:val="tli1"/>
          <w:rFonts w:ascii="Arial" w:hAnsi="Arial" w:cs="Arial"/>
        </w:rPr>
        <w:t>de interes internaţional sunt reprezentate prin situri naturale ale patrimoniului natural universal, geoparcuri, zone umede de importanţă internaţională, rezervaţii ale biosferei.</w:t>
      </w:r>
    </w:p>
    <w:p w:rsidR="000F4FEA" w:rsidRPr="00730CFC" w:rsidRDefault="000F4FEA" w:rsidP="00012F90">
      <w:pPr>
        <w:jc w:val="both"/>
        <w:rPr>
          <w:rFonts w:ascii="Arial" w:hAnsi="Arial" w:cs="Arial"/>
        </w:rPr>
      </w:pPr>
      <w:r w:rsidRPr="00730CFC">
        <w:rPr>
          <w:rFonts w:ascii="Arial" w:hAnsi="Arial" w:cs="Arial"/>
        </w:rPr>
        <w:t xml:space="preserve">Conform Convenţiei Ramsar prin care se protejează zonele umede de importanţă internaţională ca habitat al păsărilor  acvatice, convenţie la care România este parte semnatară, în anul 2001 </w:t>
      </w:r>
      <w:r w:rsidRPr="00730CFC">
        <w:rPr>
          <w:rFonts w:ascii="Arial" w:hAnsi="Arial" w:cs="Arial"/>
          <w:b/>
        </w:rPr>
        <w:t>Balta Mică a Brăilei a fost declarată sit RAMSAR</w:t>
      </w:r>
      <w:r w:rsidRPr="00730CFC">
        <w:rPr>
          <w:rFonts w:ascii="Arial" w:hAnsi="Arial" w:cs="Arial"/>
        </w:rPr>
        <w:t xml:space="preserve"> (poziţia 1074 pe lista Ramsar) sub denumirea de Insula Mică a Brăilei.</w:t>
      </w:r>
    </w:p>
    <w:p w:rsidR="000F4FEA" w:rsidRPr="00730CFC" w:rsidRDefault="000F4FEA" w:rsidP="00012F90">
      <w:pPr>
        <w:jc w:val="both"/>
        <w:rPr>
          <w:rFonts w:ascii="Arial" w:hAnsi="Arial" w:cs="Arial"/>
        </w:rPr>
      </w:pPr>
      <w:r w:rsidRPr="00730CFC">
        <w:rPr>
          <w:rFonts w:ascii="Arial" w:hAnsi="Arial" w:cs="Arial"/>
        </w:rPr>
        <w:t xml:space="preserve">Această zonă este bine cunoscută pentru importanţa ei ornitologică, deoarece </w:t>
      </w:r>
      <w:r w:rsidRPr="00730CFC">
        <w:rPr>
          <w:rFonts w:ascii="Arial" w:hAnsi="Arial" w:cs="Arial"/>
          <w:shadow/>
        </w:rPr>
        <w:t xml:space="preserve">se </w:t>
      </w:r>
      <w:r w:rsidRPr="00730CFC">
        <w:rPr>
          <w:rFonts w:ascii="Arial" w:hAnsi="Arial" w:cs="Arial"/>
        </w:rPr>
        <w:t>situează pe cel mai important culoar de migraţie al păsărilor din bazinul inferior al Dunării de Jos</w:t>
      </w:r>
      <w:r w:rsidRPr="00730CFC">
        <w:rPr>
          <w:rFonts w:ascii="Arial" w:hAnsi="Arial" w:cs="Arial"/>
          <w:shadow/>
        </w:rPr>
        <w:t>,</w:t>
      </w:r>
      <w:r w:rsidRPr="00730CFC">
        <w:rPr>
          <w:rFonts w:ascii="Arial" w:hAnsi="Arial" w:cs="Arial"/>
        </w:rPr>
        <w:t xml:space="preserve"> la </w:t>
      </w:r>
      <w:r w:rsidRPr="00730CFC">
        <w:rPr>
          <w:rFonts w:ascii="Arial" w:hAnsi="Arial" w:cs="Arial"/>
        </w:rPr>
        <w:lastRenderedPageBreak/>
        <w:t xml:space="preserve">jumătatea rutelor de migraţie între locurile de cuibărit din nordul Europei şi refugiile de iernat din Africa. Au fost inventariate 207 specii de păsări, reprezentând jumătate din speciile de păsări migratoare caracteristice României, dintre care 169 de specii protejate pe plan internaţional, prin Convenţiile de la Berna, Bonn şi Ramsar. </w:t>
      </w:r>
    </w:p>
    <w:p w:rsidR="000F4FEA" w:rsidRPr="00730CFC" w:rsidRDefault="000F4FEA" w:rsidP="00012F90">
      <w:pPr>
        <w:jc w:val="both"/>
        <w:rPr>
          <w:rFonts w:ascii="Arial" w:hAnsi="Arial" w:cs="Arial"/>
        </w:rPr>
      </w:pPr>
      <w:r w:rsidRPr="00730CFC">
        <w:rPr>
          <w:rFonts w:ascii="Arial" w:hAnsi="Arial" w:cs="Arial"/>
        </w:rPr>
        <w:t xml:space="preserve">Măsurile de protecţie ce derivă din legislaţia referitoare la siturile RAMSAR sunt integrate planului de management pe care îl implementează Administraţia Parcului Natural Balta Mică a Brăilei.           </w:t>
      </w:r>
    </w:p>
    <w:p w:rsidR="000F4FEA" w:rsidRPr="00730CFC" w:rsidRDefault="000F4FEA" w:rsidP="00012F90">
      <w:pPr>
        <w:tabs>
          <w:tab w:val="left" w:leader="dot" w:pos="8640"/>
        </w:tabs>
        <w:ind w:right="360"/>
        <w:jc w:val="both"/>
        <w:rPr>
          <w:rFonts w:ascii="Arial" w:hAnsi="Arial" w:cs="Arial"/>
          <w:bCs/>
        </w:rPr>
      </w:pPr>
    </w:p>
    <w:p w:rsidR="000F4FEA" w:rsidRPr="00730CFC" w:rsidRDefault="000F4FEA" w:rsidP="00012F90">
      <w:pPr>
        <w:tabs>
          <w:tab w:val="left" w:leader="dot" w:pos="8640"/>
        </w:tabs>
        <w:ind w:right="360"/>
        <w:jc w:val="both"/>
        <w:rPr>
          <w:rFonts w:ascii="Arial" w:hAnsi="Arial" w:cs="Arial"/>
          <w:b/>
          <w:bCs/>
        </w:rPr>
      </w:pPr>
      <w:r w:rsidRPr="00730CFC">
        <w:rPr>
          <w:rFonts w:ascii="Arial" w:hAnsi="Arial" w:cs="Arial"/>
          <w:b/>
          <w:bCs/>
        </w:rPr>
        <w:t xml:space="preserve">Arii naturale protejate, de interes comunitar </w:t>
      </w:r>
    </w:p>
    <w:p w:rsidR="000F4FEA" w:rsidRPr="00730CFC" w:rsidRDefault="000F4FEA" w:rsidP="00012F90">
      <w:pPr>
        <w:jc w:val="both"/>
        <w:rPr>
          <w:rFonts w:ascii="Arial" w:hAnsi="Arial" w:cs="Arial"/>
        </w:rPr>
      </w:pPr>
      <w:r w:rsidRPr="00730CFC">
        <w:rPr>
          <w:rFonts w:ascii="Arial" w:hAnsi="Arial" w:cs="Arial"/>
        </w:rPr>
        <w:t>Conform OUG nr. 57/2007 privind regimul ariilor naturale protejate, conservarea habitatelor naturale, a florei şi faunei sălbatice, aprobată cu modificări şi completări prin Legea nr. 49/2011, cu completările ulterioare ariile naturale protejate de interes comunitar (siturile Natura 2000) sunt reprezentate prin ariile de protecţie specială avifaunistică, siturile de importanţă comunitară şi ariile speciale de conservare. Acestea formează reţeaua Natura 2000 creată la nivelul Uniunii Europene in vederea implementării Directivelor Habitate (Directiva CE 92/43 privind conservarea habitatelor naturale, a florei şi faunei sălbatice) şi Păsări (Directiva CE 2009/147 privind conservarea păsărilor sălbatice). Astfel, această reţea protejează habitatele naturale şi speciile de plante şi animale sălbatice vulnerabile, periclitate, rare sau endemice la nivel european.</w:t>
      </w:r>
    </w:p>
    <w:p w:rsidR="000F4FEA" w:rsidRPr="00730CFC" w:rsidRDefault="000F4FEA" w:rsidP="00012F90">
      <w:pPr>
        <w:jc w:val="both"/>
        <w:rPr>
          <w:rFonts w:ascii="Arial" w:hAnsi="Arial" w:cs="Arial"/>
          <w:b/>
          <w:i/>
        </w:rPr>
      </w:pPr>
    </w:p>
    <w:p w:rsidR="000F4FEA" w:rsidRPr="00730CFC" w:rsidRDefault="000F4FEA" w:rsidP="00012F90">
      <w:pPr>
        <w:jc w:val="both"/>
        <w:rPr>
          <w:rFonts w:ascii="Arial" w:hAnsi="Arial" w:cs="Arial"/>
        </w:rPr>
      </w:pPr>
      <w:r w:rsidRPr="00730CFC">
        <w:rPr>
          <w:rFonts w:ascii="Arial" w:hAnsi="Arial" w:cs="Arial"/>
          <w:b/>
          <w:i/>
        </w:rPr>
        <w:t>Ariile de protecţie specială avifaunistică</w:t>
      </w:r>
      <w:r w:rsidRPr="00730CFC">
        <w:rPr>
          <w:rFonts w:ascii="Arial" w:hAnsi="Arial" w:cs="Arial"/>
        </w:rPr>
        <w:t xml:space="preserve"> au drept scop conservarea, mentinerea şi, acolo unde este cazul, readucea într-o stare de conservare favorabilă a tuturor speciilor de păsări şi a habitatelor specifice. Desemnarea acestora în România s-a realizat prin H.G. nr. 1284/2007 privind declararea ariilor de protecţie specială avifaunistică ca parte integrantă a reţelei ecologice europene Natura 2000 în România, cu modificările şi completările ulterioare. </w:t>
      </w:r>
    </w:p>
    <w:p w:rsidR="000F4FEA" w:rsidRPr="00730CFC" w:rsidRDefault="000F4FEA" w:rsidP="00012F90">
      <w:pPr>
        <w:jc w:val="both"/>
        <w:rPr>
          <w:rFonts w:ascii="Arial" w:hAnsi="Arial" w:cs="Arial"/>
        </w:rPr>
      </w:pPr>
      <w:r w:rsidRPr="00730CFC">
        <w:rPr>
          <w:rFonts w:ascii="Arial" w:hAnsi="Arial" w:cs="Arial"/>
        </w:rPr>
        <w:t xml:space="preserve">Conform acestei hotărâri pe teritoriul judeţului Brăila sunt delimitate 9 arii de protecţie specială avifaunistică, totalizând o suprafaţă de </w:t>
      </w:r>
      <w:smartTag w:uri="urn:schemas-microsoft-com:office:smarttags" w:element="metricconverter">
        <w:smartTagPr>
          <w:attr w:name="ProductID" w:val="59788,37 ha"/>
        </w:smartTagPr>
        <w:r w:rsidRPr="00730CFC">
          <w:rPr>
            <w:rFonts w:ascii="Arial" w:hAnsi="Arial" w:cs="Arial"/>
          </w:rPr>
          <w:t>59788,37 ha</w:t>
        </w:r>
      </w:smartTag>
      <w:r w:rsidRPr="00730CFC">
        <w:rPr>
          <w:rFonts w:ascii="Arial" w:hAnsi="Arial" w:cs="Arial"/>
        </w:rPr>
        <w:t xml:space="preserve"> şi reprezentând 12,54% din suprafaţa judeţului, aşa cum se poate observa în tabelul nr. V.2.1-2:</w:t>
      </w:r>
    </w:p>
    <w:p w:rsidR="000F4FEA" w:rsidRPr="00730CFC" w:rsidRDefault="000F4FEA" w:rsidP="00012F90">
      <w:pPr>
        <w:pStyle w:val="BodyTextIndent2"/>
        <w:spacing w:after="0" w:line="240" w:lineRule="auto"/>
        <w:ind w:left="0"/>
        <w:jc w:val="both"/>
        <w:rPr>
          <w:rFonts w:ascii="Arial" w:hAnsi="Arial" w:cs="Arial"/>
          <w:lang w:val="ro-RO" w:eastAsia="ro-RO"/>
        </w:rPr>
      </w:pPr>
    </w:p>
    <w:p w:rsidR="000F4FEA" w:rsidRPr="00730CFC" w:rsidRDefault="000F4FEA" w:rsidP="00012F90">
      <w:pPr>
        <w:pStyle w:val="BodyTextIndent2"/>
        <w:spacing w:after="0" w:line="240" w:lineRule="auto"/>
        <w:ind w:left="0"/>
        <w:jc w:val="both"/>
        <w:rPr>
          <w:rStyle w:val="tpa1"/>
          <w:rFonts w:ascii="Arial" w:hAnsi="Arial" w:cs="Arial"/>
        </w:rPr>
      </w:pPr>
      <w:r w:rsidRPr="00730CFC">
        <w:rPr>
          <w:rFonts w:ascii="Arial" w:hAnsi="Arial" w:cs="Arial"/>
        </w:rPr>
        <w:t>Tabel nr. V.2.1-2</w:t>
      </w:r>
      <w:r w:rsidRPr="00730CFC">
        <w:rPr>
          <w:rFonts w:ascii="Arial" w:hAnsi="Arial" w:cs="Arial"/>
          <w:b/>
          <w:lang w:val="ro-RO" w:eastAsia="ro-RO"/>
        </w:rPr>
        <w:t xml:space="preserve">. </w:t>
      </w:r>
      <w:r w:rsidRPr="00730CFC">
        <w:rPr>
          <w:rFonts w:ascii="Arial" w:hAnsi="Arial" w:cs="Arial"/>
          <w:lang w:val="ro-RO" w:eastAsia="ro-RO"/>
        </w:rPr>
        <w:t>- Arii de protecţie specială avifaunistică din judeţul Brăila</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625"/>
        <w:gridCol w:w="2182"/>
        <w:gridCol w:w="1620"/>
        <w:gridCol w:w="1323"/>
        <w:gridCol w:w="1329"/>
        <w:gridCol w:w="2786"/>
      </w:tblGrid>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Nr. crt.</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Denumire</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Cod</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Suprafaţă totală a ariei</w:t>
            </w:r>
          </w:p>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(ha)</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lang w:val="es-ES"/>
              </w:rPr>
            </w:pPr>
            <w:r w:rsidRPr="00730CFC">
              <w:rPr>
                <w:rFonts w:ascii="Arial" w:hAnsi="Arial" w:cs="Arial"/>
                <w:b/>
                <w:lang w:val="es-ES"/>
              </w:rPr>
              <w:t>Suprafaţa (ha)</w:t>
            </w:r>
          </w:p>
          <w:p w:rsidR="000F4FEA" w:rsidRPr="00730CFC" w:rsidRDefault="000F4FEA" w:rsidP="00012F90">
            <w:pPr>
              <w:pStyle w:val="BodyTextIndent2"/>
              <w:spacing w:after="0" w:line="240" w:lineRule="auto"/>
              <w:ind w:left="0"/>
              <w:rPr>
                <w:rFonts w:ascii="Arial" w:hAnsi="Arial" w:cs="Arial"/>
                <w:b/>
                <w:lang w:val="es-ES"/>
              </w:rPr>
            </w:pPr>
            <w:r w:rsidRPr="00730CFC">
              <w:rPr>
                <w:rFonts w:ascii="Arial" w:hAnsi="Arial" w:cs="Arial"/>
                <w:b/>
                <w:lang w:val="es-ES"/>
              </w:rPr>
              <w:t>la nivelul judeţului</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Unităţi administrativ teritoriale din judeţul Brăila în care este localizată aria</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lang w:val="it-IT" w:eastAsia="ro-RO"/>
              </w:rPr>
              <w:t>Balta Albă-Amara-Jirlău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lang w:val="it-IT" w:eastAsia="ro-RO"/>
              </w:rPr>
              <w:t>ROSPA0004</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2023</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1213,8</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Galbenu, Gradiştea, Jirlău, Vişani</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Balta Mică a Brăilei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ROSPA0005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25856</w:t>
            </w:r>
          </w:p>
          <w:p w:rsidR="000F4FEA" w:rsidRPr="00730CFC" w:rsidRDefault="000F4FEA" w:rsidP="00012F90">
            <w:pPr>
              <w:pStyle w:val="BodyTextIndent2"/>
              <w:spacing w:after="0" w:line="240" w:lineRule="auto"/>
              <w:ind w:left="0"/>
              <w:rPr>
                <w:rFonts w:ascii="Arial" w:hAnsi="Arial" w:cs="Arial"/>
              </w:rPr>
            </w:pP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24821,76</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Berteştii de Jos, Brăila, Chiscani, Gropeni, Măraşu, Stăncuţa</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3.</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Balta Tătaru</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ROSPA0006</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9981</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8583,66</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Bărăganul, Ciocile, Cireşu, Dudeşti, Roşiori, Ulmu, Însurăţei</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4.</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Dunărea Veche-Braţul Măcin</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ROSPA0040</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18759</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6228,05</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Frecăţei, Măraşu</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5.</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Ianca-Plopu-Sărat</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ROSPA0048</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1982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1982</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lang w:val="pt-BR"/>
              </w:rPr>
            </w:pPr>
            <w:r w:rsidRPr="00730CFC">
              <w:rPr>
                <w:rFonts w:ascii="Arial" w:hAnsi="Arial" w:cs="Arial"/>
                <w:lang w:val="pt-BR"/>
              </w:rPr>
              <w:t>Ianca, Movila Miresii, Traian, Gemenele, Tudor Vladimirescu</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6.</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Lunca Siretului Inferior</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ROSPA0071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36492</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1824,6</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Măxineni, Siliştea, Vădeni</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7.</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Măxineni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ROSPA0077</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1504</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1504</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Măxineni</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8.</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 xml:space="preserve">Berteştii de Sus - </w:t>
            </w:r>
            <w:r w:rsidRPr="00730CFC">
              <w:rPr>
                <w:rFonts w:ascii="Arial" w:hAnsi="Arial" w:cs="Arial"/>
              </w:rPr>
              <w:lastRenderedPageBreak/>
              <w:t>Gura Ialomiţei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lastRenderedPageBreak/>
              <w:t>ROSPA0111</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6890</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2962,7</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 xml:space="preserve">Berteştii de Jos, </w:t>
            </w:r>
            <w:r w:rsidRPr="00730CFC">
              <w:rPr>
                <w:rFonts w:ascii="Arial" w:hAnsi="Arial" w:cs="Arial"/>
              </w:rPr>
              <w:lastRenderedPageBreak/>
              <w:t>Victoria, Însurăţei</w:t>
            </w:r>
          </w:p>
        </w:tc>
      </w:tr>
      <w:tr w:rsidR="000F4FEA" w:rsidRPr="00730CFC" w:rsidTr="00012F90">
        <w:tc>
          <w:tcPr>
            <w:tcW w:w="6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lastRenderedPageBreak/>
              <w:t>9.</w:t>
            </w:r>
          </w:p>
        </w:tc>
        <w:tc>
          <w:tcPr>
            <w:tcW w:w="2182"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Valea Călmăţuiului</w:t>
            </w:r>
          </w:p>
        </w:tc>
        <w:tc>
          <w:tcPr>
            <w:tcW w:w="162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ROSPA0145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20515</w:t>
            </w:r>
          </w:p>
        </w:tc>
        <w:tc>
          <w:tcPr>
            <w:tcW w:w="1329"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10667,8</w:t>
            </w:r>
          </w:p>
        </w:tc>
        <w:tc>
          <w:tcPr>
            <w:tcW w:w="2786"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Bordei Verde, Cireşu, Însurăţei, Surdila-Greci, Ulmu, Zăvoaia, Dudeşti</w:t>
            </w:r>
          </w:p>
        </w:tc>
      </w:tr>
    </w:tbl>
    <w:p w:rsidR="000F4FEA" w:rsidRPr="00730CFC" w:rsidRDefault="000F4FEA" w:rsidP="00012F90">
      <w:pPr>
        <w:pStyle w:val="BodyTextIndent2"/>
        <w:spacing w:after="0" w:line="240" w:lineRule="auto"/>
        <w:ind w:left="0"/>
        <w:jc w:val="both"/>
        <w:rPr>
          <w:rFonts w:ascii="Arial" w:hAnsi="Arial" w:cs="Arial"/>
        </w:rPr>
      </w:pPr>
    </w:p>
    <w:p w:rsidR="000F4FEA" w:rsidRPr="00730CFC" w:rsidRDefault="000F4FEA" w:rsidP="00012F90">
      <w:pPr>
        <w:pStyle w:val="BodyTextIndent2"/>
        <w:spacing w:after="0" w:line="240" w:lineRule="auto"/>
        <w:ind w:left="0"/>
        <w:jc w:val="both"/>
        <w:rPr>
          <w:rFonts w:ascii="Arial" w:hAnsi="Arial" w:cs="Arial"/>
        </w:rPr>
      </w:pPr>
      <w:r w:rsidRPr="00730CFC">
        <w:rPr>
          <w:rFonts w:ascii="Arial" w:hAnsi="Arial" w:cs="Arial"/>
        </w:rPr>
        <w:t xml:space="preserve">În cele ce urmează sunt prezentate câteva detalii cu privire la aceste arii protejate: </w:t>
      </w:r>
    </w:p>
    <w:p w:rsidR="000F4FEA" w:rsidRPr="00730CFC" w:rsidRDefault="000F4FEA" w:rsidP="00012F90">
      <w:pPr>
        <w:pStyle w:val="BodyTextIndent2"/>
        <w:spacing w:after="0" w:line="240" w:lineRule="auto"/>
        <w:jc w:val="both"/>
        <w:rPr>
          <w:rFonts w:ascii="Arial" w:hAnsi="Arial" w:cs="Arial"/>
        </w:rPr>
      </w:pP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Balta Albă-Amara-Jirlău</w:t>
      </w:r>
      <w:r w:rsidRPr="00730CFC">
        <w:rPr>
          <w:rFonts w:ascii="Arial" w:hAnsi="Arial" w:cs="Arial"/>
        </w:rPr>
        <w:t xml:space="preserve"> este amplasată în judeţele Brăila şi Buzău şi cuprinde lacurile Amara şi Jirlău.Include şi Rezervaţia Naturală Jirlău Vişani. </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Balta Mică a Brăilei</w:t>
      </w:r>
      <w:r w:rsidRPr="00730CFC">
        <w:rPr>
          <w:rFonts w:ascii="Arial" w:hAnsi="Arial" w:cs="Arial"/>
        </w:rPr>
        <w:t xml:space="preserve"> se suprapune în cea mai mare parte pe suprafaţa Parcului Natural Balta Mică a Brăilei şi a sitului de importanţă comunitară cu acelaşi nume, o mică suprafaţă (4% din suprafaţa totală) aparţinând judeţului Ialomiţa. </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Balta Tătaru</w:t>
      </w:r>
      <w:r w:rsidRPr="00730CFC">
        <w:rPr>
          <w:rFonts w:ascii="Arial" w:hAnsi="Arial" w:cs="Arial"/>
        </w:rPr>
        <w:t xml:space="preserve"> este amplasată în judeţele Ialomiţa şi Buzău, 8583,66 ha fiind situate în judeţul Brăila (86% din suprafață). Aria este inclusă în 7 unități administrative (UAT), </w:t>
      </w:r>
      <w:r w:rsidRPr="00730CFC">
        <w:rPr>
          <w:rFonts w:ascii="Arial" w:hAnsi="Arial" w:cs="Arial"/>
          <w:lang w:val="it-IT"/>
        </w:rPr>
        <w:t xml:space="preserve"> suprafața din UAT cuprinsă în sit, în procente, fiind:</w:t>
      </w:r>
      <w:r w:rsidRPr="00730CFC">
        <w:rPr>
          <w:rFonts w:ascii="Arial" w:hAnsi="Arial" w:cs="Arial"/>
        </w:rPr>
        <w:t xml:space="preserve"> Roşiori 31%, Dudeşti 29%, Ciocile 26%, Bărăganul 4%, Ulmu 4%, Cireşu 1%, Însurăţei  &lt; 1%. Aria cuprinde 5 lacuri (Tătaru, Plaşcu, Chioibăşeşti, Colţea şi Padina) şi pădurile Colţea şi Tătaru, precum şi zone din imediata vecinătate a acestora şi care fac legătura dintre ele. Lacurile sunt sărate, cu adâncimi mici, cuprinse în mod curent între 0,5 şi maxim </w:t>
      </w:r>
      <w:smartTag w:uri="urn:schemas-microsoft-com:office:smarttags" w:element="metricconverter">
        <w:smartTagPr>
          <w:attr w:name="ProductID" w:val="1 m"/>
        </w:smartTagPr>
        <w:r w:rsidRPr="00730CFC">
          <w:rPr>
            <w:rFonts w:ascii="Arial" w:hAnsi="Arial" w:cs="Arial"/>
          </w:rPr>
          <w:t>1 m</w:t>
        </w:r>
      </w:smartTag>
      <w:r w:rsidRPr="00730CFC">
        <w:rPr>
          <w:rFonts w:ascii="Arial" w:hAnsi="Arial" w:cs="Arial"/>
        </w:rPr>
        <w:t xml:space="preserve">, iar în condiţiile unei secete prelungite, suprafaţa luciului de apă se micşorează foarte mult şi apar plaje mâloase, iar uneori se transformă în baltă-mlaştină şi apoi pajişte, utilizată pentru păşunat. Ca urmare a lucrărilor de hidroameliorare relizate în trecut în vederea eliminării excesului de umiditate, în anii secetoși lacurile seacă în totalitate, în unele situaţii fostele cuvete fiind folosite ca izlazuri comunale.Aceste lucii de apă nu au caracteristicile tipice ale lacurilor, adică nu pot fi diferenţiate cele două zone (litoral şi profundal). Apa este puţin adâncă, încât vegetaţia se poate fixa pe orice parte a fundului, motiv pentru care acest tip de ecosistem acvatic este numit şi baltă. </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Dunărea Veche-Braţul Măcin</w:t>
      </w:r>
      <w:r w:rsidRPr="00730CFC">
        <w:rPr>
          <w:rFonts w:ascii="Arial" w:hAnsi="Arial" w:cs="Arial"/>
        </w:rPr>
        <w:t xml:space="preserve"> este localizată în judeţele Brăila, Tulcea (aproape jumătate din suprafaţă) şi o foarte mică parte în Constanţa. În judeţul Brăila ocupă o suprafaţă de </w:t>
      </w:r>
      <w:smartTag w:uri="urn:schemas-microsoft-com:office:smarttags" w:element="metricconverter">
        <w:smartTagPr>
          <w:attr w:name="ProductID" w:val="6228,05 ha"/>
        </w:smartTagPr>
        <w:r w:rsidRPr="00730CFC">
          <w:rPr>
            <w:rFonts w:ascii="Arial" w:hAnsi="Arial" w:cs="Arial"/>
          </w:rPr>
          <w:t>6228,05 ha</w:t>
        </w:r>
      </w:smartTag>
      <w:r w:rsidRPr="00730CFC">
        <w:rPr>
          <w:rFonts w:ascii="Arial" w:hAnsi="Arial" w:cs="Arial"/>
        </w:rPr>
        <w:t xml:space="preserve"> (33,2%) şi cuprinde Braţul Măcin al Dunării, zona dig-mal a acestuia, precum şi Lacurile Blasova şi Zăton din Insula Mare a Brăilei. Aria se suprapune parţial pe suprafaţa sitului de importanţă comunitară Braţul Măcin, care are suprafaţă mai mică şi nu cuprinde şi Lacul Zăton.</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Ianca-Plopu-Sărat</w:t>
      </w:r>
      <w:r w:rsidRPr="00730CFC">
        <w:rPr>
          <w:rFonts w:ascii="Arial" w:hAnsi="Arial" w:cs="Arial"/>
        </w:rPr>
        <w:t xml:space="preserve"> este cuprinsă în totalitate pe teritoriul judeţului Brăila şi cuprinde lacurile Ianca şi Plopu din unitatea administrativ teritorială Ianca, precum şi lacurile din unitatea administrativ teritorială Movila Miresii: Esna, Lutu Alb, Seaca şi Movila Miresii (lac sărat). Cu excepţia ultimului, celelalte 3 lacuri din Movila Miresii sunt amenajări piscicole. Se suprapune parţial pe suprafaţa sitului de importanţă comunitară Ianca - Plopu - Sărat – Comăneasca, care are o suprafaţă mai mare.În ultimii ani lacurile Ianca şi Plopu seacă aproape în totalitatea în sezonul cald. </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Lunca Siretului Inferior</w:t>
      </w:r>
      <w:r w:rsidRPr="00730CFC">
        <w:rPr>
          <w:rFonts w:ascii="Arial" w:hAnsi="Arial" w:cs="Arial"/>
        </w:rPr>
        <w:t xml:space="preserve"> este localizată în judeţele Brăila, Galaţi şi Vrancea. în judeţul Brăila ocupă o suprafaţă de </w:t>
      </w:r>
      <w:smartTag w:uri="urn:schemas-microsoft-com:office:smarttags" w:element="metricconverter">
        <w:smartTagPr>
          <w:attr w:name="ProductID" w:val="1824,6 ha"/>
        </w:smartTagPr>
        <w:r w:rsidRPr="00730CFC">
          <w:rPr>
            <w:rFonts w:ascii="Arial" w:hAnsi="Arial" w:cs="Arial"/>
          </w:rPr>
          <w:t>1824,6 ha</w:t>
        </w:r>
      </w:smartTag>
      <w:r w:rsidRPr="00730CFC">
        <w:rPr>
          <w:rFonts w:ascii="Arial" w:hAnsi="Arial" w:cs="Arial"/>
        </w:rPr>
        <w:t xml:space="preserve"> şi cuprinde cursul râului şi zona dig-mal a acestuia, reprezentând doar 5% din suprafaţa totală a ariei.</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t>Măxineni</w:t>
      </w:r>
      <w:r w:rsidRPr="00730CFC">
        <w:rPr>
          <w:rFonts w:ascii="Arial" w:hAnsi="Arial" w:cs="Arial"/>
        </w:rPr>
        <w:t xml:space="preserve"> este cuprins în totalitate în judeţul Brăila şi reprezintă cea mai mare parte din amenajarea piscicolă din unitatea administrativ teritorială cu acelaşi nume. Deoarece în ultimii ani nu se mai desfășoară activitate piscicolă (și deci nu s-a mai realizat alimentarea cu apă), cea mai mare suprafaţă a fost secată, ceea ce a permis instalarea abundentă a unei vegetaţii spontane de pajişte. Doar 3 bazine şi decantorul au fost alimentate (cca 35ha), din precipitaţii sau prin pompare, asigurându-se un nivel minim de apă, prielnic prezenţei păsărilor. </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rPr>
      </w:pPr>
      <w:r w:rsidRPr="00730CFC">
        <w:rPr>
          <w:rFonts w:ascii="Arial" w:hAnsi="Arial" w:cs="Arial"/>
          <w:b/>
          <w:u w:val="single"/>
        </w:rPr>
        <w:lastRenderedPageBreak/>
        <w:t>Berteştii de Sus - Gura Ialomiţei</w:t>
      </w:r>
      <w:r w:rsidRPr="00730CFC">
        <w:rPr>
          <w:rFonts w:ascii="Arial" w:hAnsi="Arial" w:cs="Arial"/>
        </w:rPr>
        <w:t xml:space="preserve"> este localizată în judeţele Brăila şi Ialomiţa, iar în judeţul Brăila ocupă o suprafaţă de </w:t>
      </w:r>
      <w:smartTag w:uri="urn:schemas-microsoft-com:office:smarttags" w:element="metricconverter">
        <w:smartTagPr>
          <w:attr w:name="ProductID" w:val="2962,7 ha"/>
        </w:smartTagPr>
        <w:r w:rsidRPr="00730CFC">
          <w:rPr>
            <w:rFonts w:ascii="Arial" w:hAnsi="Arial" w:cs="Arial"/>
          </w:rPr>
          <w:t>2962,7 ha</w:t>
        </w:r>
      </w:smartTag>
      <w:r w:rsidRPr="00730CFC">
        <w:rPr>
          <w:rFonts w:ascii="Arial" w:hAnsi="Arial" w:cs="Arial"/>
        </w:rPr>
        <w:t>, reprezentând 43% din arie. Cuprinde o zonă umedă din NV comunei Victoria, Pădurea Viişoara şi vestul localităţii Berteştii de Sus, unde sunt amenajate orezării.</w:t>
      </w:r>
    </w:p>
    <w:p w:rsidR="000F4FEA" w:rsidRPr="00730CFC" w:rsidRDefault="000F4FEA" w:rsidP="005E6B2E">
      <w:pPr>
        <w:pStyle w:val="BodyTextIndent2"/>
        <w:numPr>
          <w:ilvl w:val="0"/>
          <w:numId w:val="35"/>
        </w:numPr>
        <w:tabs>
          <w:tab w:val="clear" w:pos="720"/>
          <w:tab w:val="num" w:pos="1080"/>
        </w:tabs>
        <w:spacing w:after="0" w:line="240" w:lineRule="auto"/>
        <w:ind w:left="1080"/>
        <w:jc w:val="both"/>
        <w:rPr>
          <w:rFonts w:ascii="Arial" w:hAnsi="Arial" w:cs="Arial"/>
          <w:u w:val="single"/>
        </w:rPr>
      </w:pPr>
      <w:r w:rsidRPr="00730CFC">
        <w:rPr>
          <w:rFonts w:ascii="Arial" w:hAnsi="Arial" w:cs="Arial"/>
          <w:b/>
          <w:u w:val="single"/>
        </w:rPr>
        <w:t>Valea Călmăţuiului</w:t>
      </w:r>
      <w:r w:rsidRPr="00730CFC">
        <w:rPr>
          <w:rFonts w:ascii="Arial" w:hAnsi="Arial" w:cs="Arial"/>
        </w:rPr>
        <w:t xml:space="preserve"> este </w:t>
      </w:r>
      <w:r w:rsidRPr="00730CFC">
        <w:rPr>
          <w:rFonts w:ascii="Arial" w:hAnsi="Arial" w:cs="Arial"/>
          <w:lang w:eastAsia="ro-RO"/>
        </w:rPr>
        <w:t>localizată în judeţele Brăila (52%) şi Buzău şi se suprapune parţial pe suprafaţa sitului de importanţă comunitară cu acelaşi nume, faţă de care are o suprafaţă mai mare.</w:t>
      </w:r>
    </w:p>
    <w:p w:rsidR="000F4FEA" w:rsidRPr="00730CFC" w:rsidRDefault="000F4FEA" w:rsidP="00012F90">
      <w:pPr>
        <w:ind w:firstLine="708"/>
        <w:jc w:val="both"/>
        <w:rPr>
          <w:rFonts w:ascii="Arial" w:hAnsi="Arial" w:cs="Arial"/>
          <w:i/>
          <w:u w:val="single"/>
        </w:rPr>
      </w:pPr>
    </w:p>
    <w:p w:rsidR="000F4FEA" w:rsidRPr="00730CFC" w:rsidRDefault="000F4FEA" w:rsidP="00012F90">
      <w:pPr>
        <w:jc w:val="both"/>
        <w:rPr>
          <w:rFonts w:ascii="Arial" w:hAnsi="Arial" w:cs="Arial"/>
        </w:rPr>
      </w:pPr>
      <w:r w:rsidRPr="00730CFC">
        <w:rPr>
          <w:rFonts w:ascii="Arial" w:hAnsi="Arial" w:cs="Arial"/>
          <w:b/>
        </w:rPr>
        <w:t>Siturile de importanţă comunitară</w:t>
      </w:r>
      <w:r w:rsidRPr="00730CFC">
        <w:rPr>
          <w:rFonts w:ascii="Arial" w:hAnsi="Arial" w:cs="Arial"/>
          <w:i/>
        </w:rPr>
        <w:t xml:space="preserve"> </w:t>
      </w:r>
      <w:r w:rsidRPr="00730CFC">
        <w:rPr>
          <w:rStyle w:val="tpa1"/>
          <w:rFonts w:ascii="Arial" w:hAnsi="Arial" w:cs="Arial"/>
        </w:rPr>
        <w:t>reprezintă acele arii care, în regiunea sau în regiunile biogeografice în care există, contribuie semnificativ la menţinerea sau restaurarea la o stare de conservare favorabilă a habitatelor naturale sau a speciilor de interes comunitar şi care pot contribui astfel semnificativ la coerenţa reţelei "NATURA 2000" şi/sau contribuie semnificativ la menţinerea diversităţii biologice în regiunea ori regiunile biogeografice respective. Pentru speciile de animale cu areal larg de raspândire, siturile de importanţă comunitară ar trebui să corespundă zonelor din areal în care sunt prezenţi factori abiotici şi biotici esenţiali pentru existenţa şi reproducerea acestor specii.</w:t>
      </w:r>
    </w:p>
    <w:p w:rsidR="000F4FEA" w:rsidRPr="00730CFC" w:rsidRDefault="000F4FEA" w:rsidP="00012F90">
      <w:pPr>
        <w:jc w:val="both"/>
        <w:rPr>
          <w:rFonts w:ascii="Arial" w:hAnsi="Arial" w:cs="Arial"/>
        </w:rPr>
      </w:pPr>
      <w:r w:rsidRPr="00730CFC">
        <w:rPr>
          <w:rFonts w:ascii="Arial" w:hAnsi="Arial" w:cs="Arial"/>
        </w:rPr>
        <w:t xml:space="preserve">În România au fost desemnate prin </w:t>
      </w:r>
      <w:r w:rsidRPr="00730CFC">
        <w:rPr>
          <w:rFonts w:ascii="Arial" w:hAnsi="Arial" w:cs="Arial"/>
          <w:i/>
        </w:rPr>
        <w:t>Ord. M.M.D.D. nr. 1964/2007 privind instituirea regimului de arie naturală protejată a siturilor de importanţă comunitară, ca parte integrantă a reţelei ecologice europene Natura 2000 în România</w:t>
      </w:r>
      <w:r w:rsidRPr="00730CFC">
        <w:rPr>
          <w:rFonts w:ascii="Arial" w:hAnsi="Arial" w:cs="Arial"/>
        </w:rPr>
        <w:t>, cu modificările şi completările ulterioare - Ord. MMP 2387/2011.</w:t>
      </w:r>
    </w:p>
    <w:p w:rsidR="000F4FEA" w:rsidRPr="00730CFC" w:rsidRDefault="000F4FEA" w:rsidP="00012F90">
      <w:pPr>
        <w:jc w:val="both"/>
        <w:rPr>
          <w:rFonts w:ascii="Arial" w:hAnsi="Arial" w:cs="Arial"/>
        </w:rPr>
      </w:pPr>
    </w:p>
    <w:p w:rsidR="000F4FEA" w:rsidRPr="00730CFC" w:rsidRDefault="000F4FEA" w:rsidP="00012F90">
      <w:pPr>
        <w:jc w:val="both"/>
        <w:rPr>
          <w:rFonts w:ascii="Arial" w:hAnsi="Arial" w:cs="Arial"/>
        </w:rPr>
      </w:pPr>
      <w:r w:rsidRPr="00730CFC">
        <w:rPr>
          <w:rFonts w:ascii="Arial" w:hAnsi="Arial" w:cs="Arial"/>
        </w:rPr>
        <w:t xml:space="preserve">În baza recunoaşterii lor de către Comisia Europeană, siturile de importanţă comunitară vor fi declarate </w:t>
      </w:r>
      <w:r w:rsidRPr="00730CFC">
        <w:rPr>
          <w:rFonts w:ascii="Arial" w:hAnsi="Arial" w:cs="Arial"/>
          <w:i/>
          <w:u w:val="single"/>
        </w:rPr>
        <w:t>arii speciale de conservare</w:t>
      </w:r>
      <w:r w:rsidRPr="00730CFC">
        <w:rPr>
          <w:rFonts w:ascii="Arial" w:hAnsi="Arial" w:cs="Arial"/>
        </w:rPr>
        <w:t xml:space="preserve"> prin hotărâre de guvern. Acestea au scopul de a conserva, menţine şi, acolo unde este cazul, de a readuce într-o stare de conservare favorabilă habitatele şi speciile de interes comunitar pentru care au fost desemnate.</w:t>
      </w:r>
    </w:p>
    <w:p w:rsidR="000F4FEA" w:rsidRPr="00730CFC" w:rsidRDefault="000F4FEA" w:rsidP="00012F90">
      <w:pPr>
        <w:jc w:val="both"/>
        <w:rPr>
          <w:rFonts w:ascii="Arial" w:hAnsi="Arial" w:cs="Arial"/>
        </w:rPr>
      </w:pPr>
      <w:r w:rsidRPr="00730CFC">
        <w:rPr>
          <w:rFonts w:ascii="Arial" w:hAnsi="Arial" w:cs="Arial"/>
        </w:rPr>
        <w:t xml:space="preserve">Pe teritoriul judeţului Brăila au fost declarate 9 situri de importanţă comunitară, totalizând o suprafaţă de </w:t>
      </w:r>
      <w:smartTag w:uri="urn:schemas-microsoft-com:office:smarttags" w:element="metricconverter">
        <w:smartTagPr>
          <w:attr w:name="ProductID" w:val="43318,74 ha"/>
        </w:smartTagPr>
        <w:r w:rsidRPr="00730CFC">
          <w:rPr>
            <w:rFonts w:ascii="Arial" w:hAnsi="Arial" w:cs="Arial"/>
          </w:rPr>
          <w:t>43318,74 ha</w:t>
        </w:r>
      </w:smartTag>
      <w:r w:rsidRPr="00730CFC">
        <w:rPr>
          <w:rFonts w:ascii="Arial" w:hAnsi="Arial" w:cs="Arial"/>
        </w:rPr>
        <w:t xml:space="preserve"> şi reprezentând 9,08% din suprafaţa judeţului, aşa cum se poate observa în tabelul nr. tabelul nr. V.2.1-3.:</w:t>
      </w:r>
    </w:p>
    <w:p w:rsidR="000F4FEA" w:rsidRPr="00730CFC" w:rsidRDefault="000F4FEA" w:rsidP="00012F90">
      <w:pPr>
        <w:ind w:firstLine="720"/>
        <w:jc w:val="both"/>
        <w:rPr>
          <w:rFonts w:ascii="Arial" w:hAnsi="Arial" w:cs="Arial"/>
        </w:rPr>
      </w:pPr>
    </w:p>
    <w:p w:rsidR="000F4FEA" w:rsidRPr="00730CFC" w:rsidRDefault="000F4FEA" w:rsidP="00012F90">
      <w:pPr>
        <w:pStyle w:val="BodyTextIndent2"/>
        <w:spacing w:after="0" w:line="240" w:lineRule="auto"/>
        <w:ind w:left="0"/>
        <w:jc w:val="both"/>
        <w:rPr>
          <w:rStyle w:val="tpa1"/>
          <w:rFonts w:ascii="Arial" w:hAnsi="Arial" w:cs="Arial"/>
          <w:b/>
        </w:rPr>
      </w:pPr>
      <w:r w:rsidRPr="00730CFC">
        <w:rPr>
          <w:rFonts w:ascii="Arial" w:hAnsi="Arial" w:cs="Arial"/>
        </w:rPr>
        <w:t>Tabel nr. V.2.1-3</w:t>
      </w:r>
      <w:r w:rsidRPr="00730CFC">
        <w:rPr>
          <w:rFonts w:ascii="Arial" w:hAnsi="Arial" w:cs="Arial"/>
          <w:b/>
        </w:rPr>
        <w:t xml:space="preserve">. - </w:t>
      </w:r>
      <w:r w:rsidRPr="00730CFC">
        <w:rPr>
          <w:rFonts w:ascii="Arial" w:hAnsi="Arial" w:cs="Arial"/>
          <w:lang w:eastAsia="ro-RO"/>
        </w:rPr>
        <w:t>Situri de importanţă comunitară din judeţul Brăila</w:t>
      </w:r>
    </w:p>
    <w:tbl>
      <w:tblPr>
        <w:tblW w:w="972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ook w:val="01E0"/>
      </w:tblPr>
      <w:tblGrid>
        <w:gridCol w:w="608"/>
        <w:gridCol w:w="1658"/>
        <w:gridCol w:w="1510"/>
        <w:gridCol w:w="1323"/>
        <w:gridCol w:w="1425"/>
        <w:gridCol w:w="3201"/>
      </w:tblGrid>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Nr. crt.</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Denumire</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Cod</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Suprafaţă totală a sitului</w:t>
            </w:r>
          </w:p>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(ha)</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b/>
                <w:lang w:val="es-ES"/>
              </w:rPr>
            </w:pPr>
            <w:r w:rsidRPr="00730CFC">
              <w:rPr>
                <w:rFonts w:ascii="Arial" w:hAnsi="Arial" w:cs="Arial"/>
                <w:b/>
                <w:lang w:val="es-ES"/>
              </w:rPr>
              <w:t>Suprafaţa (ha)</w:t>
            </w:r>
          </w:p>
          <w:p w:rsidR="000F4FEA" w:rsidRPr="00730CFC" w:rsidRDefault="000F4FEA" w:rsidP="00012F90">
            <w:pPr>
              <w:pStyle w:val="BodyTextIndent2"/>
              <w:spacing w:after="0" w:line="240" w:lineRule="auto"/>
              <w:ind w:left="0"/>
              <w:rPr>
                <w:rFonts w:ascii="Arial" w:hAnsi="Arial" w:cs="Arial"/>
                <w:b/>
                <w:lang w:val="es-ES"/>
              </w:rPr>
            </w:pPr>
            <w:r w:rsidRPr="00730CFC">
              <w:rPr>
                <w:rFonts w:ascii="Arial" w:hAnsi="Arial" w:cs="Arial"/>
                <w:b/>
                <w:lang w:val="es-ES"/>
              </w:rPr>
              <w:t xml:space="preserve">la nivelul judeţului </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b/>
              </w:rPr>
            </w:pPr>
            <w:r w:rsidRPr="00730CFC">
              <w:rPr>
                <w:rFonts w:ascii="Arial" w:hAnsi="Arial" w:cs="Arial"/>
                <w:b/>
              </w:rPr>
              <w:t>Unităţi administrativ teritoriale din judeţul Brăila în care este localizată aria</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lang w:eastAsia="ro-RO"/>
              </w:rPr>
              <w:t>Balta Albă-Amara-Jirlău</w:t>
            </w:r>
            <w:r w:rsidRPr="00730CFC">
              <w:rPr>
                <w:rStyle w:val="tpt1"/>
                <w:rFonts w:ascii="Arial" w:hAnsi="Arial" w:cs="Arial"/>
              </w:rPr>
              <w:t>-Lacul Sărat Câineni</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lang w:val="it-IT" w:eastAsia="ro-RO"/>
              </w:rPr>
              <w:t>ROSCI0005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6300</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2835</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Galbenu, Gradiştea, Jirlău, Vişani</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eastAsia="ro-RO"/>
              </w:rPr>
            </w:pPr>
            <w:r w:rsidRPr="00730CFC">
              <w:rPr>
                <w:rStyle w:val="tpt1"/>
                <w:rFonts w:ascii="Arial" w:hAnsi="Arial" w:cs="Arial"/>
                <w:lang w:val="it-IT"/>
              </w:rPr>
              <w:t>Balta Mică a Brăilei</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ROSCI0006</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20872</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20872</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Berteştii de Jos, Brăila, Chiscani, Gropeni, Măraşu, Stăncuţa</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3.</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Style w:val="tpt1"/>
                <w:rFonts w:ascii="Arial" w:hAnsi="Arial" w:cs="Arial"/>
                <w:lang w:val="it-IT"/>
              </w:rPr>
            </w:pPr>
            <w:r w:rsidRPr="00730CFC">
              <w:rPr>
                <w:rFonts w:ascii="Arial" w:hAnsi="Arial" w:cs="Arial"/>
                <w:lang w:val="it-IT" w:eastAsia="ro-RO"/>
              </w:rPr>
              <w:t>Braţul Măcin</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ROSCI0012</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10235</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4503,4</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Frecăţei, Măraşu</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4.</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Lunca Buzăului</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ROSCI0103</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6987</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978,18</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lang w:val="it-IT"/>
              </w:rPr>
            </w:pPr>
            <w:r w:rsidRPr="00730CFC">
              <w:rPr>
                <w:rFonts w:ascii="Arial" w:hAnsi="Arial" w:cs="Arial"/>
                <w:lang w:val="it-IT"/>
              </w:rPr>
              <w:t>Făurei, Galbenu, Jirlău, Surdila-Greci, Vişani</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5.</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Lunca Siretului Inferior</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ROSCI0162</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25081</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1755,67</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Măxineni, Siliştea, Vădeni</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6.</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Valea Călmăţuiului</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lang w:val="it-IT" w:eastAsia="ro-RO"/>
              </w:rPr>
            </w:pPr>
            <w:r w:rsidRPr="00730CFC">
              <w:rPr>
                <w:rFonts w:ascii="Arial" w:hAnsi="Arial" w:cs="Arial"/>
                <w:lang w:val="it-IT" w:eastAsia="ro-RO"/>
              </w:rPr>
              <w:t>ROSCI0259</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17923</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8603,04</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BordeiVerde, Cireşu, Însurăţei, Surdila-Greci, Ulmu, Zăvoaia</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7.</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 xml:space="preserve">Ianca - Plopu </w:t>
            </w:r>
            <w:r w:rsidRPr="00730CFC">
              <w:rPr>
                <w:rFonts w:ascii="Arial" w:hAnsi="Arial" w:cs="Arial"/>
                <w:bCs/>
                <w:iCs/>
              </w:rPr>
              <w:lastRenderedPageBreak/>
              <w:t>- Sărat - Comăneasca</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lastRenderedPageBreak/>
              <w:t>ROSCI0305</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3222</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3222</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lang w:val="pt-BR"/>
              </w:rPr>
            </w:pPr>
            <w:r w:rsidRPr="00730CFC">
              <w:rPr>
                <w:rFonts w:ascii="Arial" w:hAnsi="Arial" w:cs="Arial"/>
                <w:lang w:val="pt-BR"/>
              </w:rPr>
              <w:t xml:space="preserve">Ianca, Movila Miresii, </w:t>
            </w:r>
            <w:r w:rsidRPr="00730CFC">
              <w:rPr>
                <w:rFonts w:ascii="Arial" w:hAnsi="Arial" w:cs="Arial"/>
                <w:lang w:val="pt-BR"/>
              </w:rPr>
              <w:lastRenderedPageBreak/>
              <w:t>Romanu, Traian, Tudor Vladimirescu</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lastRenderedPageBreak/>
              <w:t xml:space="preserve"> 8.</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Lacul Sărat – Brăila</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ROSCI0307</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377</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377</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Brăila, Chiscani, Tichileşti</w:t>
            </w:r>
          </w:p>
        </w:tc>
      </w:tr>
      <w:tr w:rsidR="000F4FEA" w:rsidRPr="00730CFC" w:rsidTr="00012F90">
        <w:tc>
          <w:tcPr>
            <w:tcW w:w="60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9.</w:t>
            </w:r>
          </w:p>
        </w:tc>
        <w:tc>
          <w:tcPr>
            <w:tcW w:w="1658"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lang w:val="it-IT"/>
              </w:rPr>
            </w:pPr>
            <w:r w:rsidRPr="00730CFC">
              <w:rPr>
                <w:rFonts w:ascii="Arial" w:hAnsi="Arial" w:cs="Arial"/>
                <w:bCs/>
                <w:iCs/>
                <w:lang w:val="it-IT"/>
              </w:rPr>
              <w:t>Sărăturile de la Gura Ialomiţei - Mihai Bravu</w:t>
            </w:r>
          </w:p>
        </w:tc>
        <w:tc>
          <w:tcPr>
            <w:tcW w:w="1510"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bCs/>
                <w:iCs/>
              </w:rPr>
              <w:t>ROSCI0389</w:t>
            </w:r>
          </w:p>
        </w:tc>
        <w:tc>
          <w:tcPr>
            <w:tcW w:w="1323"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3449</w:t>
            </w:r>
          </w:p>
        </w:tc>
        <w:tc>
          <w:tcPr>
            <w:tcW w:w="1425"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pStyle w:val="BodyTextIndent2"/>
              <w:spacing w:after="0" w:line="240" w:lineRule="auto"/>
              <w:ind w:left="0"/>
              <w:rPr>
                <w:rFonts w:ascii="Arial" w:hAnsi="Arial" w:cs="Arial"/>
              </w:rPr>
            </w:pPr>
            <w:r w:rsidRPr="00730CFC">
              <w:rPr>
                <w:rFonts w:ascii="Arial" w:hAnsi="Arial" w:cs="Arial"/>
              </w:rPr>
              <w:t>172,45</w:t>
            </w:r>
          </w:p>
        </w:tc>
        <w:tc>
          <w:tcPr>
            <w:tcW w:w="3201" w:type="dxa"/>
            <w:tcBorders>
              <w:top w:val="single" w:sz="4" w:space="0" w:color="auto"/>
              <w:left w:val="single" w:sz="4" w:space="0" w:color="auto"/>
              <w:bottom w:val="single" w:sz="4" w:space="0" w:color="auto"/>
              <w:right w:val="single" w:sz="4" w:space="0" w:color="auto"/>
            </w:tcBorders>
            <w:shd w:val="clear" w:color="auto" w:fill="FDE9D9" w:themeFill="accent6" w:themeFillTint="33"/>
            <w:vAlign w:val="center"/>
            <w:hideMark/>
          </w:tcPr>
          <w:p w:rsidR="000F4FEA" w:rsidRPr="00730CFC" w:rsidRDefault="000F4FEA" w:rsidP="00012F90">
            <w:pPr>
              <w:rPr>
                <w:rFonts w:ascii="Arial" w:hAnsi="Arial" w:cs="Arial"/>
              </w:rPr>
            </w:pPr>
            <w:r w:rsidRPr="00730CFC">
              <w:rPr>
                <w:rFonts w:ascii="Arial" w:hAnsi="Arial" w:cs="Arial"/>
              </w:rPr>
              <w:t>Berteştii de Jos, Victoria</w:t>
            </w:r>
          </w:p>
        </w:tc>
      </w:tr>
    </w:tbl>
    <w:p w:rsidR="000F4FEA" w:rsidRPr="00730CFC" w:rsidRDefault="000F4FEA" w:rsidP="00012F90">
      <w:pPr>
        <w:ind w:firstLine="720"/>
        <w:jc w:val="both"/>
        <w:rPr>
          <w:rFonts w:ascii="Arial" w:hAnsi="Arial" w:cs="Arial"/>
        </w:rPr>
      </w:pPr>
    </w:p>
    <w:p w:rsidR="000F4FEA" w:rsidRPr="00730CFC" w:rsidRDefault="000F4FEA" w:rsidP="00012F90">
      <w:pPr>
        <w:jc w:val="both"/>
        <w:rPr>
          <w:rFonts w:ascii="Arial" w:hAnsi="Arial" w:cs="Arial"/>
          <w:b/>
        </w:rPr>
      </w:pPr>
      <w:r w:rsidRPr="00730CFC">
        <w:rPr>
          <w:rFonts w:ascii="Arial" w:hAnsi="Arial" w:cs="Arial"/>
        </w:rPr>
        <w:t>În cele ce urmează sunt prezentate detalii cu privire la aceste situri:</w:t>
      </w:r>
    </w:p>
    <w:p w:rsidR="000F4FEA" w:rsidRPr="00730CFC" w:rsidRDefault="000F4FEA" w:rsidP="005E6B2E">
      <w:pPr>
        <w:pStyle w:val="BodyTextIndent2"/>
        <w:numPr>
          <w:ilvl w:val="0"/>
          <w:numId w:val="36"/>
        </w:numPr>
        <w:spacing w:after="0" w:line="240" w:lineRule="auto"/>
        <w:jc w:val="both"/>
        <w:rPr>
          <w:rFonts w:ascii="Arial" w:hAnsi="Arial" w:cs="Arial"/>
          <w:lang w:eastAsia="ro-RO"/>
        </w:rPr>
      </w:pPr>
      <w:r w:rsidRPr="00730CFC">
        <w:rPr>
          <w:rFonts w:ascii="Arial" w:hAnsi="Arial" w:cs="Arial"/>
          <w:b/>
          <w:u w:val="single"/>
          <w:lang w:eastAsia="ro-RO"/>
        </w:rPr>
        <w:t>Balta Albă-Amara-Jirlău</w:t>
      </w:r>
      <w:r w:rsidRPr="00730CFC">
        <w:rPr>
          <w:rStyle w:val="tpt1"/>
          <w:rFonts w:ascii="Arial" w:hAnsi="Arial" w:cs="Arial"/>
          <w:b/>
          <w:u w:val="single"/>
        </w:rPr>
        <w:t>-Lacul Sărat Câineni</w:t>
      </w:r>
      <w:r w:rsidRPr="00730CFC">
        <w:rPr>
          <w:rStyle w:val="tpt1"/>
          <w:rFonts w:ascii="Arial" w:hAnsi="Arial" w:cs="Arial"/>
        </w:rPr>
        <w:t xml:space="preserve"> se suprapune parţial pe aria de protecţie specială avifaunistică </w:t>
      </w:r>
      <w:r w:rsidRPr="00730CFC">
        <w:rPr>
          <w:rFonts w:ascii="Arial" w:hAnsi="Arial" w:cs="Arial"/>
          <w:lang w:eastAsia="ro-RO"/>
        </w:rPr>
        <w:t>Balta Albă-Amara-Jirlău şi Rezervaţia</w:t>
      </w:r>
      <w:r w:rsidRPr="00730CFC">
        <w:rPr>
          <w:rFonts w:ascii="Arial" w:hAnsi="Arial" w:cs="Arial"/>
        </w:rPr>
        <w:t xml:space="preserve"> Naturală Lacul Jirlău Vişani</w:t>
      </w:r>
      <w:r w:rsidRPr="00730CFC">
        <w:rPr>
          <w:rFonts w:ascii="Arial" w:hAnsi="Arial" w:cs="Arial"/>
          <w:lang w:eastAsia="ro-RO"/>
        </w:rPr>
        <w:t>, însă cuprinde şi Lacul Câineni. Situl ocupă suprafeţe şi în judeţul Buzău, suprafaţa din judeţul Brăila reprezentând 45% din întregul areal.</w:t>
      </w:r>
    </w:p>
    <w:p w:rsidR="000F4FEA" w:rsidRPr="00730CFC" w:rsidRDefault="000F4FEA" w:rsidP="005E6B2E">
      <w:pPr>
        <w:pStyle w:val="BodyTextIndent2"/>
        <w:numPr>
          <w:ilvl w:val="0"/>
          <w:numId w:val="36"/>
        </w:numPr>
        <w:spacing w:after="0" w:line="240" w:lineRule="auto"/>
        <w:jc w:val="both"/>
        <w:rPr>
          <w:rStyle w:val="tpt1"/>
          <w:rFonts w:ascii="Arial" w:hAnsi="Arial" w:cs="Arial"/>
        </w:rPr>
      </w:pPr>
      <w:r w:rsidRPr="00730CFC">
        <w:rPr>
          <w:rFonts w:ascii="Arial" w:hAnsi="Arial" w:cs="Arial"/>
          <w:b/>
          <w:u w:val="single"/>
          <w:lang w:eastAsia="ro-RO"/>
        </w:rPr>
        <w:t>Balta Mică a Brăilei</w:t>
      </w:r>
      <w:r w:rsidRPr="00730CFC">
        <w:rPr>
          <w:rFonts w:ascii="Arial" w:hAnsi="Arial" w:cs="Arial"/>
          <w:lang w:eastAsia="ro-RO"/>
        </w:rPr>
        <w:t xml:space="preserve"> ocupă suprafeţe foarte mici şi în judeţele Constanţa şi Tulcea şi </w:t>
      </w:r>
      <w:r w:rsidRPr="00730CFC">
        <w:rPr>
          <w:rStyle w:val="tpt1"/>
          <w:rFonts w:ascii="Arial" w:hAnsi="Arial" w:cs="Arial"/>
        </w:rPr>
        <w:t>se suprapune parţial pe aria de protecţie specială avifaunistică cu acelaşi nume şi pe suprafaţa Parcului Natural Balta Mică a Brăilei.</w:t>
      </w:r>
    </w:p>
    <w:p w:rsidR="000F4FEA" w:rsidRPr="00730CFC" w:rsidRDefault="000F4FEA" w:rsidP="005E6B2E">
      <w:pPr>
        <w:pStyle w:val="BodyTextIndent2"/>
        <w:numPr>
          <w:ilvl w:val="0"/>
          <w:numId w:val="36"/>
        </w:numPr>
        <w:spacing w:after="0" w:line="240" w:lineRule="auto"/>
        <w:jc w:val="both"/>
        <w:rPr>
          <w:rFonts w:ascii="Arial" w:hAnsi="Arial" w:cs="Arial"/>
        </w:rPr>
      </w:pPr>
      <w:r w:rsidRPr="00730CFC">
        <w:rPr>
          <w:rFonts w:ascii="Arial" w:hAnsi="Arial" w:cs="Arial"/>
          <w:b/>
          <w:u w:val="single"/>
          <w:lang w:eastAsia="ro-RO"/>
        </w:rPr>
        <w:t>Braţul Măcin</w:t>
      </w:r>
      <w:r w:rsidRPr="00730CFC">
        <w:rPr>
          <w:rFonts w:ascii="Arial" w:hAnsi="Arial" w:cs="Arial"/>
          <w:lang w:eastAsia="ro-RO"/>
        </w:rPr>
        <w:t xml:space="preserve"> se suprapune parţial pe suprafaţa ariei de protecţie specială avifaunistică Dunărea Veche-Braţul Măcin, fără a mai cuprinde şi Lacul Zăton. Ocupă suprafeţe şi în judeţele Constanţa şi Tulcea, 44% din suprafaţă fiind în judeţul Brăila.</w:t>
      </w:r>
    </w:p>
    <w:p w:rsidR="000F4FEA" w:rsidRPr="00730CFC" w:rsidRDefault="000F4FEA" w:rsidP="005E6B2E">
      <w:pPr>
        <w:pStyle w:val="BodyTextIndent2"/>
        <w:numPr>
          <w:ilvl w:val="0"/>
          <w:numId w:val="36"/>
        </w:numPr>
        <w:tabs>
          <w:tab w:val="left" w:pos="1080"/>
        </w:tabs>
        <w:spacing w:after="0" w:line="240" w:lineRule="auto"/>
        <w:jc w:val="both"/>
        <w:rPr>
          <w:rFonts w:ascii="Arial" w:hAnsi="Arial" w:cs="Arial"/>
          <w:lang w:eastAsia="ro-RO"/>
        </w:rPr>
      </w:pPr>
      <w:r w:rsidRPr="00730CFC">
        <w:rPr>
          <w:rFonts w:ascii="Arial" w:hAnsi="Arial" w:cs="Arial"/>
          <w:b/>
          <w:u w:val="single"/>
          <w:lang w:eastAsia="ro-RO"/>
        </w:rPr>
        <w:t>Lunca Buzăului</w:t>
      </w:r>
      <w:r w:rsidRPr="00730CFC">
        <w:rPr>
          <w:rFonts w:ascii="Arial" w:hAnsi="Arial" w:cs="Arial"/>
          <w:lang w:eastAsia="ro-RO"/>
        </w:rPr>
        <w:t xml:space="preserve">  cuprindea până în anul 2011 suprafeţe numai în judeţul Buzău, iar prin extindere 14% din sit se situează în judeţul Brăila.</w:t>
      </w:r>
    </w:p>
    <w:p w:rsidR="000F4FEA" w:rsidRPr="00730CFC" w:rsidRDefault="000F4FEA" w:rsidP="005E6B2E">
      <w:pPr>
        <w:pStyle w:val="BodyTextIndent2"/>
        <w:numPr>
          <w:ilvl w:val="0"/>
          <w:numId w:val="36"/>
        </w:numPr>
        <w:tabs>
          <w:tab w:val="left" w:pos="1080"/>
        </w:tabs>
        <w:spacing w:after="0" w:line="240" w:lineRule="auto"/>
        <w:jc w:val="both"/>
        <w:rPr>
          <w:rStyle w:val="tpt1"/>
          <w:rFonts w:ascii="Arial" w:hAnsi="Arial" w:cs="Arial"/>
          <w:u w:val="single"/>
        </w:rPr>
      </w:pPr>
      <w:r w:rsidRPr="00730CFC">
        <w:rPr>
          <w:rFonts w:ascii="Arial" w:hAnsi="Arial" w:cs="Arial"/>
          <w:b/>
          <w:bCs/>
          <w:iCs/>
          <w:u w:val="single"/>
        </w:rPr>
        <w:t>Lunca Siretului Inferior</w:t>
      </w:r>
      <w:r w:rsidRPr="00730CFC">
        <w:rPr>
          <w:rFonts w:ascii="Arial" w:hAnsi="Arial" w:cs="Arial"/>
          <w:bCs/>
          <w:iCs/>
        </w:rPr>
        <w:t xml:space="preserve"> este reprezentat în judeţul Brăila prin 7% din sit şi se suprapune pe </w:t>
      </w:r>
      <w:r w:rsidRPr="00730CFC">
        <w:rPr>
          <w:rStyle w:val="tpt1"/>
          <w:rFonts w:ascii="Arial" w:hAnsi="Arial" w:cs="Arial"/>
        </w:rPr>
        <w:t xml:space="preserve">aria de protecţie specială avifaunistică cu acelaşi nume. </w:t>
      </w:r>
    </w:p>
    <w:p w:rsidR="000F4FEA" w:rsidRPr="00730CFC" w:rsidRDefault="000F4FEA" w:rsidP="005E6B2E">
      <w:pPr>
        <w:pStyle w:val="BodyTextIndent2"/>
        <w:numPr>
          <w:ilvl w:val="0"/>
          <w:numId w:val="36"/>
        </w:numPr>
        <w:tabs>
          <w:tab w:val="left" w:pos="1080"/>
        </w:tabs>
        <w:spacing w:after="0" w:line="240" w:lineRule="auto"/>
        <w:jc w:val="both"/>
        <w:rPr>
          <w:rStyle w:val="tpt1"/>
          <w:rFonts w:ascii="Arial" w:hAnsi="Arial" w:cs="Arial"/>
          <w:u w:val="single"/>
          <w:lang w:eastAsia="ro-RO"/>
        </w:rPr>
      </w:pPr>
      <w:r w:rsidRPr="00730CFC">
        <w:rPr>
          <w:rFonts w:ascii="Arial" w:hAnsi="Arial" w:cs="Arial"/>
          <w:b/>
          <w:bCs/>
          <w:iCs/>
          <w:u w:val="single"/>
        </w:rPr>
        <w:t xml:space="preserve">Valea </w:t>
      </w:r>
      <w:r w:rsidRPr="00730CFC">
        <w:rPr>
          <w:rFonts w:ascii="Arial" w:hAnsi="Arial" w:cs="Arial"/>
          <w:b/>
          <w:u w:val="single"/>
          <w:lang w:eastAsia="ro-RO"/>
        </w:rPr>
        <w:t>Călmăţuiului</w:t>
      </w:r>
      <w:r w:rsidRPr="00730CFC">
        <w:rPr>
          <w:rFonts w:ascii="Arial" w:hAnsi="Arial" w:cs="Arial"/>
          <w:lang w:eastAsia="ro-RO"/>
        </w:rPr>
        <w:t xml:space="preserve"> este localizat în judeţele Brăila şi Buzău şi cuprinde cursul  râului Călmăţui şi lunca acestuia, până în nordul oraşului Însurăţei. Se suprapune parţial pe </w:t>
      </w:r>
      <w:r w:rsidRPr="00730CFC">
        <w:rPr>
          <w:rStyle w:val="tpt1"/>
          <w:rFonts w:ascii="Arial" w:hAnsi="Arial" w:cs="Arial"/>
        </w:rPr>
        <w:t>aria de protecţie specială avifaunistică cu acelaşi nume.</w:t>
      </w:r>
    </w:p>
    <w:p w:rsidR="000F4FEA" w:rsidRPr="00730CFC" w:rsidRDefault="000F4FEA" w:rsidP="005E6B2E">
      <w:pPr>
        <w:pStyle w:val="BodyTextIndent2"/>
        <w:numPr>
          <w:ilvl w:val="0"/>
          <w:numId w:val="36"/>
        </w:numPr>
        <w:tabs>
          <w:tab w:val="left" w:pos="1080"/>
        </w:tabs>
        <w:spacing w:after="0" w:line="240" w:lineRule="auto"/>
        <w:jc w:val="both"/>
        <w:rPr>
          <w:rFonts w:ascii="Arial" w:hAnsi="Arial" w:cs="Arial"/>
        </w:rPr>
      </w:pPr>
      <w:r w:rsidRPr="00730CFC">
        <w:rPr>
          <w:rFonts w:ascii="Arial" w:hAnsi="Arial" w:cs="Arial"/>
          <w:b/>
          <w:bCs/>
          <w:iCs/>
          <w:u w:val="single"/>
        </w:rPr>
        <w:t xml:space="preserve">Ianca - Plopu - Sărat – Comăneasca </w:t>
      </w:r>
      <w:r w:rsidRPr="00730CFC">
        <w:rPr>
          <w:rFonts w:ascii="Arial" w:hAnsi="Arial" w:cs="Arial"/>
          <w:bCs/>
          <w:iCs/>
        </w:rPr>
        <w:t xml:space="preserve">a fost declarat în anul 2011 şi ocupă suprafeţe numai în judeţul Brăila. Se suprapune parţial pe suprafaţa ariei de protecţie specială avifaunistică Ianca - Plopu – Sărat, fără Lacul Seaca, însă cuprinde şi o zonă de sărătură în UAT Tudor Vladmirescu şi UAT Traian (zona Comăneasca). În ultimii doi ani aceasta a devenit ecosistem  acvatic, format din două corpuri de apă amplasate în zona centrală a unui sistem de amenajări hidrotehnice de desecare (un fost lac de crov) care asigură habitate de pasaj, hrănire și reproducere pentru foarte multe specii de păsări acvatice. </w:t>
      </w:r>
    </w:p>
    <w:p w:rsidR="000F4FEA" w:rsidRPr="00730CFC" w:rsidRDefault="000F4FEA" w:rsidP="005E6B2E">
      <w:pPr>
        <w:pStyle w:val="BodyTextIndent2"/>
        <w:numPr>
          <w:ilvl w:val="0"/>
          <w:numId w:val="36"/>
        </w:numPr>
        <w:tabs>
          <w:tab w:val="left" w:pos="1080"/>
        </w:tabs>
        <w:spacing w:after="0" w:line="240" w:lineRule="auto"/>
        <w:jc w:val="both"/>
        <w:rPr>
          <w:rFonts w:ascii="Arial" w:hAnsi="Arial" w:cs="Arial"/>
          <w:u w:val="single"/>
          <w:lang w:eastAsia="ro-RO"/>
        </w:rPr>
      </w:pPr>
      <w:r w:rsidRPr="00730CFC">
        <w:rPr>
          <w:rFonts w:ascii="Arial" w:hAnsi="Arial" w:cs="Arial"/>
          <w:b/>
          <w:bCs/>
          <w:iCs/>
          <w:u w:val="single"/>
        </w:rPr>
        <w:t>Lacul Sărat – Brăila</w:t>
      </w:r>
      <w:r w:rsidRPr="00730CFC">
        <w:rPr>
          <w:rFonts w:ascii="Arial" w:hAnsi="Arial" w:cs="Arial"/>
          <w:bCs/>
          <w:iCs/>
        </w:rPr>
        <w:t xml:space="preserve"> a fost declarat în anul 2011 şi ocupă suprafeţe numai în judeţul </w:t>
      </w:r>
      <w:r w:rsidRPr="00730CFC">
        <w:rPr>
          <w:rFonts w:ascii="Arial" w:hAnsi="Arial" w:cs="Arial"/>
          <w:lang w:eastAsia="ro-RO"/>
        </w:rPr>
        <w:t>Brăila, cuprinzând Lacul Sărat Brăila II, precum şi terenuri amplasate în SV acestuia, până în nordul satului Albina.</w:t>
      </w:r>
    </w:p>
    <w:p w:rsidR="000F4FEA" w:rsidRPr="00730CFC" w:rsidRDefault="000F4FEA" w:rsidP="005E6B2E">
      <w:pPr>
        <w:pStyle w:val="BodyTextIndent2"/>
        <w:numPr>
          <w:ilvl w:val="0"/>
          <w:numId w:val="36"/>
        </w:numPr>
        <w:tabs>
          <w:tab w:val="left" w:pos="1080"/>
        </w:tabs>
        <w:spacing w:after="0" w:line="240" w:lineRule="auto"/>
        <w:jc w:val="both"/>
        <w:rPr>
          <w:rFonts w:ascii="Arial" w:hAnsi="Arial" w:cs="Arial"/>
          <w:u w:val="single"/>
          <w:lang w:eastAsia="ro-RO"/>
        </w:rPr>
      </w:pPr>
      <w:r w:rsidRPr="00730CFC">
        <w:rPr>
          <w:rFonts w:ascii="Arial" w:hAnsi="Arial" w:cs="Arial"/>
          <w:b/>
          <w:bCs/>
          <w:iCs/>
          <w:u w:val="single"/>
        </w:rPr>
        <w:t>Sărăturile de la Gura Ialomiţei - Mihai Bravu</w:t>
      </w:r>
      <w:r w:rsidRPr="00730CFC">
        <w:rPr>
          <w:rFonts w:ascii="Arial" w:hAnsi="Arial" w:cs="Arial"/>
          <w:bCs/>
          <w:iCs/>
        </w:rPr>
        <w:t xml:space="preserve"> - declarat în anul 2011, ocupă suprafeţe în judeţele </w:t>
      </w:r>
      <w:r w:rsidRPr="00730CFC">
        <w:rPr>
          <w:rFonts w:ascii="Arial" w:hAnsi="Arial" w:cs="Arial"/>
          <w:lang w:eastAsia="ro-RO"/>
        </w:rPr>
        <w:t xml:space="preserve">Brăila şi Ialomiţa, se suprapune parţial pe suprafaţa </w:t>
      </w:r>
      <w:r w:rsidRPr="00730CFC">
        <w:rPr>
          <w:rStyle w:val="tpt1"/>
          <w:rFonts w:ascii="Arial" w:hAnsi="Arial" w:cs="Arial"/>
        </w:rPr>
        <w:t xml:space="preserve">ariei de protecţie specială avifaunistică </w:t>
      </w:r>
      <w:r w:rsidRPr="00730CFC">
        <w:rPr>
          <w:rFonts w:ascii="Arial" w:hAnsi="Arial" w:cs="Arial"/>
        </w:rPr>
        <w:t>Berteştii de Sus - Gura Ialomiţei. În judeţul Brăila ocupă terenuri amplasate doar în sudul localităţii Berteştii de Sus şi în SE judeţului, în dreptul localităţii Mihai Bravu.</w:t>
      </w:r>
    </w:p>
    <w:p w:rsidR="000F4FEA" w:rsidRPr="00730CFC" w:rsidRDefault="000F4FEA" w:rsidP="00012F90">
      <w:pPr>
        <w:pStyle w:val="BodyTextIndent2"/>
        <w:tabs>
          <w:tab w:val="left" w:pos="1080"/>
        </w:tabs>
        <w:spacing w:after="0" w:line="240" w:lineRule="auto"/>
        <w:ind w:left="990"/>
        <w:jc w:val="both"/>
        <w:rPr>
          <w:rStyle w:val="tpt1"/>
          <w:rFonts w:ascii="Arial" w:hAnsi="Arial" w:cs="Arial"/>
        </w:rPr>
      </w:pPr>
    </w:p>
    <w:p w:rsidR="000F4FEA" w:rsidRPr="00730CFC" w:rsidRDefault="000F4FEA" w:rsidP="00012F90">
      <w:pPr>
        <w:pStyle w:val="BodyTextIndent2"/>
        <w:spacing w:after="0" w:line="240" w:lineRule="auto"/>
        <w:ind w:left="0"/>
        <w:jc w:val="both"/>
        <w:rPr>
          <w:rFonts w:ascii="Arial" w:hAnsi="Arial" w:cs="Arial"/>
          <w:b/>
        </w:rPr>
      </w:pPr>
      <w:r w:rsidRPr="00730CFC">
        <w:rPr>
          <w:rFonts w:ascii="Arial" w:hAnsi="Arial" w:cs="Arial"/>
          <w:b/>
        </w:rPr>
        <w:t>Managementul ariilor naturale protejate .</w:t>
      </w:r>
    </w:p>
    <w:p w:rsidR="000F4FEA" w:rsidRPr="00730CFC" w:rsidRDefault="000F4FEA" w:rsidP="00012F90">
      <w:pPr>
        <w:jc w:val="both"/>
        <w:rPr>
          <w:rFonts w:ascii="Arial" w:hAnsi="Arial" w:cs="Arial"/>
          <w:shd w:val="clear" w:color="auto" w:fill="FFFFFF"/>
        </w:rPr>
      </w:pPr>
      <w:r w:rsidRPr="00730CFC">
        <w:rPr>
          <w:rFonts w:ascii="Arial" w:hAnsi="Arial" w:cs="Arial"/>
          <w:shd w:val="clear" w:color="auto" w:fill="FFFFFF"/>
        </w:rPr>
        <w:t xml:space="preserve">Conform OUG/2007 cu modificările ulterioare, art. 18, administrarea ariilor naturale protejate se asigură prin structuri de administrare special constituite sau persoane fizice și juridice care au calitatea de custode. Conform </w:t>
      </w:r>
      <w:r w:rsidRPr="00730CFC">
        <w:rPr>
          <w:rFonts w:ascii="Arial" w:hAnsi="Arial" w:cs="Arial"/>
          <w:i/>
          <w:shd w:val="clear" w:color="auto" w:fill="FFFFFF"/>
        </w:rPr>
        <w:t xml:space="preserve">Ord. MMSC nr. 1052/2014 privind aprobarea </w:t>
      </w:r>
      <w:hyperlink r:id="rId92" w:history="1">
        <w:r w:rsidRPr="00730CFC">
          <w:rPr>
            <w:rFonts w:ascii="Arial" w:hAnsi="Arial" w:cs="Arial"/>
            <w:i/>
            <w:shd w:val="clear" w:color="auto" w:fill="FFFFFF"/>
          </w:rPr>
          <w:t>Metodologiei de atribuire a administrării şi a custodiei ariilor naturale protejate</w:t>
        </w:r>
      </w:hyperlink>
      <w:r w:rsidRPr="00730CFC">
        <w:rPr>
          <w:rFonts w:ascii="Arial" w:eastAsia="Times New Roman" w:hAnsi="Arial" w:cs="Arial"/>
          <w:bCs/>
          <w:lang w:val="en-US"/>
        </w:rPr>
        <w:t>, a</w:t>
      </w:r>
      <w:r w:rsidRPr="00730CFC">
        <w:rPr>
          <w:rFonts w:ascii="Arial" w:hAnsi="Arial" w:cs="Arial"/>
          <w:shd w:val="clear" w:color="auto" w:fill="FFFFFF"/>
        </w:rPr>
        <w:t xml:space="preserve">riile naturale protejate care necesită structuri de administrare proprii se atribuie în administrare de către autoritatea publică centrală pentru protecţia mediului, pe bază de contract de administrare, iar ariile care nu </w:t>
      </w:r>
      <w:r w:rsidRPr="00730CFC">
        <w:rPr>
          <w:rFonts w:ascii="Arial" w:hAnsi="Arial" w:cs="Arial"/>
          <w:shd w:val="clear" w:color="auto" w:fill="FFFFFF"/>
        </w:rPr>
        <w:lastRenderedPageBreak/>
        <w:t>necesită structuri de administrare proprii se atribuie în custodie de către Agenţia Naţională pentru Protecţia Mediului, pe bază de convenţie de custodie.</w:t>
      </w:r>
    </w:p>
    <w:p w:rsidR="000F4FEA" w:rsidRPr="00730CFC" w:rsidRDefault="000F4FEA" w:rsidP="00012F90">
      <w:pPr>
        <w:pStyle w:val="Implicit"/>
        <w:spacing w:after="0" w:line="240" w:lineRule="auto"/>
        <w:rPr>
          <w:rFonts w:ascii="Arial" w:hAnsi="Arial" w:cs="Arial"/>
          <w:color w:val="auto"/>
          <w:shd w:val="clear" w:color="auto" w:fill="FFFFFF"/>
        </w:rPr>
      </w:pPr>
      <w:r w:rsidRPr="00730CFC">
        <w:rPr>
          <w:rFonts w:ascii="Arial" w:hAnsi="Arial" w:cs="Arial"/>
          <w:color w:val="auto"/>
          <w:lang w:val="ro-RO"/>
        </w:rPr>
        <w:tab/>
      </w:r>
    </w:p>
    <w:p w:rsidR="000F4FEA" w:rsidRPr="00730CFC" w:rsidRDefault="000F4FEA" w:rsidP="00012F90">
      <w:pPr>
        <w:jc w:val="both"/>
        <w:rPr>
          <w:rFonts w:ascii="Arial" w:hAnsi="Arial" w:cs="Arial"/>
        </w:rPr>
      </w:pPr>
      <w:r w:rsidRPr="00730CFC">
        <w:rPr>
          <w:rFonts w:ascii="Arial" w:hAnsi="Arial" w:cs="Arial"/>
        </w:rPr>
        <w:t xml:space="preserve"> În județul Brăila din 22 arii protejate de interes internațional, național și comunitar, numai 10 sunt atribuite în administrare sau custodie (conform </w:t>
      </w:r>
      <w:r w:rsidRPr="00730CFC">
        <w:rPr>
          <w:rFonts w:ascii="Arial" w:hAnsi="Arial" w:cs="Arial"/>
          <w:lang w:val="ro-RO"/>
        </w:rPr>
        <w:t>tabelului nr. V.2.1-4)</w:t>
      </w:r>
      <w:r w:rsidRPr="00730CFC">
        <w:rPr>
          <w:rFonts w:ascii="Arial" w:hAnsi="Arial" w:cs="Arial"/>
        </w:rPr>
        <w:t>: 2 arii de interes naţional, 7 arii de interes comunitar şi o arie de interes internaţional, existând 5 administratori (o structură de administrare și 4 custozi):</w:t>
      </w:r>
    </w:p>
    <w:p w:rsidR="000F4FEA" w:rsidRPr="00730CFC" w:rsidRDefault="000F4FEA" w:rsidP="005E6B2E">
      <w:pPr>
        <w:pStyle w:val="Implicit"/>
        <w:numPr>
          <w:ilvl w:val="0"/>
          <w:numId w:val="37"/>
        </w:numPr>
        <w:tabs>
          <w:tab w:val="left" w:pos="187"/>
        </w:tabs>
        <w:spacing w:after="0" w:line="240" w:lineRule="auto"/>
        <w:ind w:left="561" w:firstLine="0"/>
        <w:jc w:val="both"/>
        <w:rPr>
          <w:rFonts w:ascii="Arial" w:hAnsi="Arial" w:cs="Arial"/>
          <w:color w:val="auto"/>
          <w:lang w:val="ro-RO"/>
        </w:rPr>
      </w:pPr>
      <w:r w:rsidRPr="00730CFC">
        <w:rPr>
          <w:rFonts w:ascii="Arial" w:hAnsi="Arial" w:cs="Arial"/>
          <w:color w:val="auto"/>
          <w:lang w:val="ro-RO"/>
        </w:rPr>
        <w:t>RNP Romsilva – Administraţie - pentru Parcul Natural Balta Mică a Brăilei, situl Ramsar Insula Mică a Brăilei, SCI şi SPA Balta Mică a Brăilei şi Direcţia Silvică Brăila custode pentru Rezervaţia Pădurea Camniţa;</w:t>
      </w:r>
    </w:p>
    <w:p w:rsidR="000F4FEA" w:rsidRPr="00730CFC" w:rsidRDefault="000F4FEA" w:rsidP="005E6B2E">
      <w:pPr>
        <w:pStyle w:val="Implicit"/>
        <w:numPr>
          <w:ilvl w:val="0"/>
          <w:numId w:val="37"/>
        </w:numPr>
        <w:tabs>
          <w:tab w:val="left" w:pos="187"/>
        </w:tabs>
        <w:spacing w:after="0" w:line="240" w:lineRule="auto"/>
        <w:ind w:left="561" w:firstLine="0"/>
        <w:jc w:val="both"/>
        <w:rPr>
          <w:rFonts w:ascii="Arial" w:hAnsi="Arial" w:cs="Arial"/>
          <w:color w:val="auto"/>
          <w:lang w:val="ro-RO"/>
        </w:rPr>
      </w:pPr>
      <w:r w:rsidRPr="00730CFC">
        <w:rPr>
          <w:rFonts w:ascii="Arial" w:hAnsi="Arial" w:cs="Arial"/>
          <w:color w:val="auto"/>
          <w:lang w:val="ro-RO"/>
        </w:rPr>
        <w:t>Asociaţia pentru Conservarea Diversităţii Biologice Focșani custode pentru SCI şi SPA Lunca Siretului Inferior;</w:t>
      </w:r>
    </w:p>
    <w:p w:rsidR="000F4FEA" w:rsidRPr="00730CFC" w:rsidRDefault="000F4FEA" w:rsidP="005E6B2E">
      <w:pPr>
        <w:pStyle w:val="Implicit"/>
        <w:numPr>
          <w:ilvl w:val="0"/>
          <w:numId w:val="37"/>
        </w:numPr>
        <w:tabs>
          <w:tab w:val="left" w:pos="187"/>
        </w:tabs>
        <w:spacing w:after="0" w:line="240" w:lineRule="auto"/>
        <w:ind w:left="561" w:firstLine="0"/>
        <w:jc w:val="both"/>
        <w:rPr>
          <w:rFonts w:ascii="Arial" w:hAnsi="Arial" w:cs="Arial"/>
          <w:color w:val="auto"/>
          <w:lang w:val="ro-RO"/>
        </w:rPr>
      </w:pPr>
      <w:r w:rsidRPr="00730CFC">
        <w:rPr>
          <w:rFonts w:ascii="Arial" w:hAnsi="Arial" w:cs="Arial"/>
          <w:color w:val="auto"/>
          <w:lang w:val="ro-RO"/>
        </w:rPr>
        <w:t>Universitatea Ecologică Bucureşti custode pentru SPA Lunca Buzăului</w:t>
      </w:r>
    </w:p>
    <w:p w:rsidR="000F4FEA" w:rsidRPr="00730CFC" w:rsidRDefault="000F4FEA" w:rsidP="005E6B2E">
      <w:pPr>
        <w:pStyle w:val="Implicit"/>
        <w:numPr>
          <w:ilvl w:val="0"/>
          <w:numId w:val="37"/>
        </w:numPr>
        <w:tabs>
          <w:tab w:val="left" w:pos="187"/>
        </w:tabs>
        <w:spacing w:after="0" w:line="240" w:lineRule="auto"/>
        <w:ind w:left="561" w:firstLine="0"/>
        <w:jc w:val="both"/>
        <w:rPr>
          <w:rFonts w:ascii="Arial" w:hAnsi="Arial" w:cs="Arial"/>
          <w:color w:val="auto"/>
          <w:lang w:val="ro-RO"/>
        </w:rPr>
      </w:pPr>
      <w:r w:rsidRPr="00730CFC">
        <w:rPr>
          <w:rFonts w:ascii="Arial" w:hAnsi="Arial" w:cs="Arial"/>
          <w:color w:val="auto"/>
          <w:lang w:val="ro-RO"/>
        </w:rPr>
        <w:t>Asociaţia Judeţeană a Pescarilor Sportivi Galaţi custode pentru SPA Dunărea Veche – Braţuil Măcin şi SCI Braţul Macin</w:t>
      </w:r>
    </w:p>
    <w:p w:rsidR="000F4FEA" w:rsidRPr="00730CFC" w:rsidRDefault="000F4FEA" w:rsidP="00012F90">
      <w:pPr>
        <w:pStyle w:val="Footer"/>
        <w:ind w:right="-402" w:firstLine="720"/>
        <w:jc w:val="both"/>
        <w:rPr>
          <w:rFonts w:ascii="Arial" w:hAnsi="Arial" w:cs="Arial"/>
          <w:b/>
          <w:u w:val="single"/>
          <w:lang w:val="ro-RO"/>
        </w:rPr>
      </w:pPr>
    </w:p>
    <w:p w:rsidR="000F4FEA" w:rsidRPr="00730CFC" w:rsidRDefault="000F4FEA" w:rsidP="00012F90">
      <w:pPr>
        <w:pStyle w:val="Footer"/>
        <w:ind w:firstLine="720"/>
        <w:jc w:val="both"/>
        <w:rPr>
          <w:rFonts w:ascii="Arial" w:hAnsi="Arial" w:cs="Arial"/>
          <w:u w:val="single"/>
          <w:lang w:val="ro-RO"/>
        </w:rPr>
      </w:pPr>
      <w:r w:rsidRPr="00730CFC">
        <w:rPr>
          <w:rFonts w:ascii="Arial" w:hAnsi="Arial" w:cs="Arial"/>
          <w:b/>
          <w:u w:val="single"/>
          <w:lang w:val="ro-RO"/>
        </w:rPr>
        <w:t>Balta Mică a Brăilei</w:t>
      </w:r>
      <w:r w:rsidRPr="00730CFC">
        <w:rPr>
          <w:rFonts w:ascii="Arial" w:hAnsi="Arial" w:cs="Arial"/>
          <w:lang w:val="ro-RO"/>
        </w:rPr>
        <w:t xml:space="preserve"> - parc natural, arie de protecţie specială avifaunistică ROSPA0005, sit de importanţă comunitară ROSCI0006, zonă umedă de importanţă comunitară (Sit Ramsar).</w:t>
      </w:r>
    </w:p>
    <w:p w:rsidR="000F4FEA" w:rsidRPr="00730CFC" w:rsidRDefault="000F4FEA" w:rsidP="00012F90">
      <w:pPr>
        <w:jc w:val="both"/>
        <w:rPr>
          <w:rFonts w:ascii="Arial" w:hAnsi="Arial" w:cs="Arial"/>
        </w:rPr>
      </w:pPr>
      <w:r w:rsidRPr="00730CFC">
        <w:rPr>
          <w:rFonts w:ascii="Arial" w:hAnsi="Arial" w:cs="Arial"/>
        </w:rPr>
        <w:t>Administrarea parcului a fost încredinţată prin contract de către Ministerul Mediului şi Gospodăririi Apelor Regiei Naţionale a Pădurilor „Romsilva” (RNP) în anul 2003.</w:t>
      </w:r>
    </w:p>
    <w:p w:rsidR="000F4FEA" w:rsidRPr="00730CFC" w:rsidRDefault="000F4FEA" w:rsidP="00012F90">
      <w:pPr>
        <w:jc w:val="both"/>
        <w:rPr>
          <w:rFonts w:ascii="Arial" w:hAnsi="Arial" w:cs="Arial"/>
        </w:rPr>
      </w:pPr>
      <w:r w:rsidRPr="00730CFC">
        <w:rPr>
          <w:rFonts w:ascii="Arial" w:hAnsi="Arial" w:cs="Arial"/>
        </w:rPr>
        <w:t xml:space="preserve">Structura de administrare a parcului natural este stabilită prin </w:t>
      </w:r>
      <w:r w:rsidRPr="00730CFC">
        <w:rPr>
          <w:rFonts w:ascii="Arial" w:hAnsi="Arial" w:cs="Arial"/>
          <w:i/>
        </w:rPr>
        <w:t>HG 230/2003 privind delimitarea rezervaţiilor biosferei, parcurilor naţionale şi parcurilor naturale şi constituirea administraţiilor acestora</w:t>
      </w:r>
      <w:r w:rsidRPr="00730CFC">
        <w:rPr>
          <w:rFonts w:ascii="Arial" w:hAnsi="Arial" w:cs="Arial"/>
        </w:rPr>
        <w:t xml:space="preserve"> şi cuprinde 13 posturi</w:t>
      </w:r>
      <w:r w:rsidRPr="00730CFC">
        <w:rPr>
          <w:rFonts w:ascii="Arial" w:hAnsi="Arial" w:cs="Arial"/>
          <w:iCs/>
        </w:rPr>
        <w:t>.</w:t>
      </w:r>
      <w:r w:rsidRPr="00730CFC">
        <w:rPr>
          <w:rFonts w:ascii="Arial" w:hAnsi="Arial" w:cs="Arial"/>
        </w:rPr>
        <w:t xml:space="preserve"> Această structură este funcţională, îndeplinindu-şi atribuţiile conform "Regulamentului de organizare şi funcţionare al structurii de administrare", avizat de către R.N.P. </w:t>
      </w:r>
    </w:p>
    <w:p w:rsidR="000F4FEA" w:rsidRPr="00730CFC" w:rsidRDefault="000F4FEA" w:rsidP="00012F90">
      <w:pPr>
        <w:jc w:val="both"/>
        <w:rPr>
          <w:rFonts w:ascii="Arial" w:hAnsi="Arial" w:cs="Arial"/>
          <w:noProof/>
        </w:rPr>
      </w:pPr>
      <w:r w:rsidRPr="00730CFC">
        <w:rPr>
          <w:rFonts w:ascii="Arial" w:hAnsi="Arial" w:cs="Arial"/>
        </w:rPr>
        <w:t xml:space="preserve">Regulamentul şi planul de management realizate în cadrul proiectului LIFE 99NAT/RO/006400 şi aprobate prin Ord. MAPM nr. 1456/2003 au fost revizuite, iar noua formă a acestora a fost aprobată prin </w:t>
      </w:r>
      <w:r w:rsidRPr="00730CFC">
        <w:rPr>
          <w:rFonts w:ascii="Arial" w:hAnsi="Arial" w:cs="Arial"/>
          <w:bCs/>
          <w:i/>
        </w:rPr>
        <w:t>H.G. nr. 538/2011</w:t>
      </w:r>
      <w:r w:rsidRPr="00730CFC">
        <w:rPr>
          <w:rFonts w:ascii="Arial" w:hAnsi="Arial" w:cs="Arial"/>
        </w:rPr>
        <w:t xml:space="preserve">. </w:t>
      </w:r>
    </w:p>
    <w:p w:rsidR="000F4FEA" w:rsidRPr="00730CFC" w:rsidRDefault="000F4FEA" w:rsidP="00012F90">
      <w:pPr>
        <w:jc w:val="both"/>
        <w:rPr>
          <w:rFonts w:ascii="Arial" w:hAnsi="Arial" w:cs="Arial"/>
        </w:rPr>
      </w:pPr>
      <w:r w:rsidRPr="00730CFC">
        <w:rPr>
          <w:rFonts w:ascii="Arial" w:hAnsi="Arial" w:cs="Arial"/>
        </w:rPr>
        <w:t>Începând cu februarie 2011  administraţia parcului a început implementarea proiectului ”Managementul capitalului natural din Balta Mică a Brăilei prin abordare integrată, evaluare şi conştientizare” finanţat în cadrul Programului Operaţional Sectorial Mediu, Axa 4, şi are ca obiective:</w:t>
      </w:r>
    </w:p>
    <w:p w:rsidR="000F4FEA" w:rsidRPr="00730CFC" w:rsidRDefault="000F4FEA" w:rsidP="005E6B2E">
      <w:pPr>
        <w:pStyle w:val="ListParagraph"/>
        <w:numPr>
          <w:ilvl w:val="0"/>
          <w:numId w:val="39"/>
        </w:numPr>
        <w:tabs>
          <w:tab w:val="num" w:pos="1476"/>
        </w:tabs>
        <w:jc w:val="both"/>
        <w:rPr>
          <w:rFonts w:ascii="Arial" w:hAnsi="Arial" w:cs="Arial"/>
        </w:rPr>
      </w:pPr>
      <w:r w:rsidRPr="00730CFC">
        <w:rPr>
          <w:rFonts w:ascii="Arial" w:hAnsi="Arial" w:cs="Arial"/>
          <w:noProof/>
        </w:rPr>
        <w:t>Îmbunătăţirea managementului Parcului Natural Balta Mică a Brăilei în contextul instituirii statutului de sit de importanţă comunitară şi arie de protecţie specială avifaunistică pentru această arie naturală protejată şi creşterea capacităţii instituţionale de gestionare a reţelei Natura 2000;</w:t>
      </w:r>
    </w:p>
    <w:p w:rsidR="000F4FEA" w:rsidRPr="00730CFC" w:rsidRDefault="000F4FEA" w:rsidP="005E6B2E">
      <w:pPr>
        <w:pStyle w:val="ListParagraph"/>
        <w:numPr>
          <w:ilvl w:val="0"/>
          <w:numId w:val="39"/>
        </w:numPr>
        <w:tabs>
          <w:tab w:val="num" w:pos="1476"/>
        </w:tabs>
        <w:jc w:val="both"/>
        <w:rPr>
          <w:rFonts w:ascii="Arial" w:hAnsi="Arial" w:cs="Arial"/>
        </w:rPr>
      </w:pPr>
      <w:r w:rsidRPr="00730CFC">
        <w:rPr>
          <w:rFonts w:ascii="Arial" w:hAnsi="Arial" w:cs="Arial"/>
          <w:noProof/>
        </w:rPr>
        <w:t>Creşterea magnitudinii biodiversităţii Parcului Natural Balta Mică a Brăilei după modelul complexelor de ecosisteme acvatice şi terestre existente înainte de deceniul 6 şi îmbunătăţirea serviciilor oferite de ecosisteme;</w:t>
      </w:r>
    </w:p>
    <w:p w:rsidR="000F4FEA" w:rsidRPr="00730CFC" w:rsidRDefault="000F4FEA" w:rsidP="005E6B2E">
      <w:pPr>
        <w:pStyle w:val="ListParagraph"/>
        <w:numPr>
          <w:ilvl w:val="0"/>
          <w:numId w:val="39"/>
        </w:numPr>
        <w:tabs>
          <w:tab w:val="num" w:pos="1476"/>
        </w:tabs>
        <w:jc w:val="both"/>
        <w:rPr>
          <w:rFonts w:ascii="Arial" w:hAnsi="Arial" w:cs="Arial"/>
        </w:rPr>
      </w:pPr>
      <w:r w:rsidRPr="00730CFC">
        <w:rPr>
          <w:rFonts w:ascii="Arial" w:hAnsi="Arial" w:cs="Arial"/>
          <w:noProof/>
        </w:rPr>
        <w:t>Îmbunătăţirea percepţiei în rândul celor 4 grupuri ţintă-comunităţile locale, elevi, vizitatori, utilizatori de resurse şi servicii oferite de ecosistemele din parc,despre valoarea patrimoniului natural din Parcul Natural Balta Mică a Brăilei.</w:t>
      </w:r>
    </w:p>
    <w:p w:rsidR="000F4FEA" w:rsidRPr="00730CFC" w:rsidRDefault="000F4FEA" w:rsidP="00012F90">
      <w:pPr>
        <w:jc w:val="both"/>
        <w:rPr>
          <w:rFonts w:ascii="Arial" w:hAnsi="Arial" w:cs="Arial"/>
        </w:rPr>
      </w:pPr>
      <w:r w:rsidRPr="00730CFC">
        <w:rPr>
          <w:rFonts w:ascii="Arial" w:hAnsi="Arial" w:cs="Arial"/>
        </w:rPr>
        <w:t>Beneficiarul proiectului este administraţia parcului natural, iar APM Brăila şi Muzeul Brăilei sunt parteneri în implementarea acestuia.</w:t>
      </w:r>
    </w:p>
    <w:p w:rsidR="000F4FEA" w:rsidRPr="00730CFC" w:rsidRDefault="000F4FEA" w:rsidP="00012F90">
      <w:pPr>
        <w:jc w:val="both"/>
        <w:rPr>
          <w:rFonts w:ascii="Arial" w:hAnsi="Arial" w:cs="Arial"/>
          <w:noProof/>
        </w:rPr>
      </w:pPr>
    </w:p>
    <w:p w:rsidR="000F4FEA" w:rsidRPr="00730CFC" w:rsidRDefault="000F4FEA" w:rsidP="00012F90">
      <w:pPr>
        <w:jc w:val="both"/>
        <w:rPr>
          <w:rFonts w:ascii="Arial" w:hAnsi="Arial" w:cs="Arial"/>
          <w:b/>
          <w:u w:val="single"/>
        </w:rPr>
      </w:pPr>
      <w:r w:rsidRPr="00730CFC">
        <w:rPr>
          <w:rFonts w:ascii="Arial" w:hAnsi="Arial" w:cs="Arial"/>
          <w:b/>
          <w:u w:val="single"/>
        </w:rPr>
        <w:t xml:space="preserve">Rezervaţia Naturală Pădurea Camniţa </w:t>
      </w:r>
    </w:p>
    <w:p w:rsidR="000F4FEA" w:rsidRPr="00730CFC" w:rsidRDefault="000F4FEA" w:rsidP="00012F90">
      <w:pPr>
        <w:ind w:firstLine="720"/>
        <w:jc w:val="both"/>
        <w:rPr>
          <w:rFonts w:ascii="Arial" w:hAnsi="Arial" w:cs="Arial"/>
        </w:rPr>
      </w:pPr>
      <w:r w:rsidRPr="00730CFC">
        <w:rPr>
          <w:rFonts w:ascii="Arial" w:hAnsi="Arial" w:cs="Arial"/>
        </w:rPr>
        <w:t xml:space="preserve">Regia Naţională a Pădurilor Romsilva-Direcţia Silvică Brăila este custode al Rezervaţiei Naturale Camniţa începând din anul 2003. Planul de management a fost  elaborat de către </w:t>
      </w:r>
      <w:r w:rsidRPr="00730CFC">
        <w:rPr>
          <w:rFonts w:ascii="Arial" w:hAnsi="Arial" w:cs="Arial"/>
          <w:lang w:val="ro-RO"/>
        </w:rPr>
        <w:t>Asociaţia Judeţeană a Pescarilor Sportivi Galaţi</w:t>
      </w:r>
      <w:r w:rsidRPr="00730CFC">
        <w:rPr>
          <w:rFonts w:ascii="Arial" w:hAnsi="Arial" w:cs="Arial"/>
        </w:rPr>
        <w:t xml:space="preserve"> în cadrul proiectului cu finanțare POS Mediu </w:t>
      </w:r>
      <w:r w:rsidRPr="00730CFC">
        <w:rPr>
          <w:rFonts w:ascii="Arial" w:hAnsi="Arial" w:cs="Arial"/>
          <w:b/>
          <w:lang w:val="gsw-FR"/>
        </w:rPr>
        <w:t>”</w:t>
      </w:r>
      <w:r w:rsidRPr="00730CFC">
        <w:rPr>
          <w:rFonts w:ascii="Arial" w:hAnsi="Arial" w:cs="Arial"/>
        </w:rPr>
        <w:t xml:space="preserve">Conservarea biodiversităţii în ariile naturale protejate Pădurea Breana Roșcani, Pădurea </w:t>
      </w:r>
      <w:r w:rsidRPr="00730CFC">
        <w:rPr>
          <w:rFonts w:ascii="Arial" w:hAnsi="Arial" w:cs="Arial"/>
        </w:rPr>
        <w:lastRenderedPageBreak/>
        <w:t xml:space="preserve">Pogănești, Pădurea Fundeanu, Pădurea Tălășmani, </w:t>
      </w:r>
      <w:r w:rsidRPr="00730CFC">
        <w:rPr>
          <w:rFonts w:ascii="Arial" w:hAnsi="Arial" w:cs="Arial"/>
          <w:b/>
        </w:rPr>
        <w:t>Pădurea Camniţa</w:t>
      </w:r>
      <w:r w:rsidRPr="00730CFC">
        <w:rPr>
          <w:rFonts w:ascii="Arial" w:hAnsi="Arial" w:cs="Arial"/>
          <w:b/>
          <w:lang w:val="gsw-FR"/>
        </w:rPr>
        <w:t xml:space="preserve">” </w:t>
      </w:r>
      <w:r w:rsidRPr="00730CFC">
        <w:rPr>
          <w:rFonts w:ascii="Arial" w:hAnsi="Arial" w:cs="Arial"/>
        </w:rPr>
        <w:t xml:space="preserve">şi depus în scopul aprobării la autoritatea publică centrală pentru protecţia mediului. </w:t>
      </w:r>
    </w:p>
    <w:p w:rsidR="000F4FEA" w:rsidRPr="00730CFC" w:rsidRDefault="000F4FEA" w:rsidP="00012F90">
      <w:pPr>
        <w:jc w:val="both"/>
        <w:rPr>
          <w:rFonts w:ascii="Arial" w:hAnsi="Arial" w:cs="Arial"/>
          <w:highlight w:val="yellow"/>
        </w:rPr>
      </w:pPr>
      <w:r w:rsidRPr="00730CFC">
        <w:rPr>
          <w:rFonts w:ascii="Arial" w:hAnsi="Arial" w:cs="Arial"/>
          <w:b/>
          <w:u w:val="single"/>
        </w:rPr>
        <w:t>Lunca Siretului Inferior</w:t>
      </w:r>
      <w:r w:rsidRPr="00730CFC">
        <w:rPr>
          <w:rFonts w:ascii="Arial" w:hAnsi="Arial" w:cs="Arial"/>
        </w:rPr>
        <w:t xml:space="preserve"> – arie de protecţie specială avifaunisică şi sit de importanţă comunitară.</w:t>
      </w:r>
    </w:p>
    <w:p w:rsidR="000F4FEA" w:rsidRPr="00730CFC" w:rsidRDefault="000F4FEA" w:rsidP="00012F90">
      <w:pPr>
        <w:ind w:firstLine="720"/>
        <w:jc w:val="both"/>
        <w:rPr>
          <w:rFonts w:ascii="Arial" w:hAnsi="Arial" w:cs="Arial"/>
        </w:rPr>
      </w:pPr>
      <w:r w:rsidRPr="00730CFC">
        <w:rPr>
          <w:rFonts w:ascii="Arial" w:hAnsi="Arial" w:cs="Arial"/>
        </w:rPr>
        <w:t>Ariile sunt atribuite în custodie Asociaţiei pentru Conservarea Diversităţii Biologice.În cadrul proiectului în curs de implementare ”Siretul Verde – crearea sistemului de management integrat Natura 2000 pentru SPA Lunca Siretului Inferior și ariile protejate suprapuse” trebuie realizat planul de management integrat.</w:t>
      </w:r>
    </w:p>
    <w:p w:rsidR="000F4FEA" w:rsidRPr="00730CFC" w:rsidRDefault="000F4FEA" w:rsidP="00012F90">
      <w:pPr>
        <w:jc w:val="both"/>
        <w:rPr>
          <w:rFonts w:ascii="Arial" w:hAnsi="Arial" w:cs="Arial"/>
        </w:rPr>
      </w:pPr>
      <w:r w:rsidRPr="00730CFC">
        <w:rPr>
          <w:rFonts w:ascii="Arial" w:hAnsi="Arial" w:cs="Arial"/>
          <w:b/>
          <w:u w:val="single"/>
        </w:rPr>
        <w:t>Aria de protecţie avifaunistică ROSPA0040Dunărea Veche-Braţul Măcin şi situl de importanţă comunitară ROSCI0012 Braţul Măcin</w:t>
      </w:r>
      <w:r w:rsidRPr="00730CFC">
        <w:rPr>
          <w:rFonts w:ascii="Arial" w:hAnsi="Arial" w:cs="Arial"/>
        </w:rPr>
        <w:t xml:space="preserve">  au fost din anul 2011 în custodia Asociaţiei  Judeţene a  Pescarilor Sportivi Galaţi. În noiembrie 2014 custodele a solicitat rezilierea convenției de custodie.</w:t>
      </w:r>
    </w:p>
    <w:p w:rsidR="000F4FEA" w:rsidRPr="00730CFC" w:rsidRDefault="000F4FEA" w:rsidP="0039294D">
      <w:pPr>
        <w:jc w:val="both"/>
        <w:rPr>
          <w:rFonts w:ascii="Arial" w:hAnsi="Arial" w:cs="Arial"/>
        </w:rPr>
      </w:pPr>
      <w:r w:rsidRPr="00730CFC">
        <w:rPr>
          <w:rFonts w:ascii="Arial" w:hAnsi="Arial" w:cs="Arial"/>
          <w:b/>
          <w:u w:val="single"/>
        </w:rPr>
        <w:t>Situl de importanţă comunitară SCIROSCI0103 Lunca Buzăului</w:t>
      </w:r>
      <w:r w:rsidRPr="00730CFC">
        <w:rPr>
          <w:rFonts w:ascii="Arial" w:hAnsi="Arial" w:cs="Arial"/>
        </w:rPr>
        <w:t xml:space="preserve"> este din anul 2011 în custodia Universității Ecologice Bucureşti. În cursul anului 2014 s-a finalizat planul de management și s-a supus procedurii de evaluare strategică de mediu (derulată de APM Buzău), fiind în curs de aprobare. </w:t>
      </w:r>
    </w:p>
    <w:p w:rsidR="000F4FEA" w:rsidRPr="00730CFC" w:rsidRDefault="000F4FEA" w:rsidP="00012F90">
      <w:pPr>
        <w:jc w:val="both"/>
        <w:rPr>
          <w:rFonts w:ascii="Arial" w:hAnsi="Arial" w:cs="Arial"/>
          <w:lang w:val="ro-RO"/>
        </w:rPr>
      </w:pPr>
      <w:r w:rsidRPr="00730CFC">
        <w:rPr>
          <w:rFonts w:ascii="Arial" w:hAnsi="Arial" w:cs="Arial"/>
          <w:lang w:val="ro-RO"/>
        </w:rPr>
        <w:t>Conform deciziei Agenţiei Naţionale pentru Protecţia Mediului pentru ariile naturale protejate de interes comunitar neatribuite în custodie, competenţa de management revine Agenţiei pentru Protecţia Mediului (APM) pe al cărui judeţ se regăseşte cea mai mare suprafaţă din arie. Pentru judeţul Brăila situaţia este următoarea:</w:t>
      </w:r>
    </w:p>
    <w:p w:rsidR="000F4FEA" w:rsidRPr="00730CFC" w:rsidRDefault="000F4FEA" w:rsidP="005E6B2E">
      <w:pPr>
        <w:pStyle w:val="Implicit"/>
        <w:numPr>
          <w:ilvl w:val="0"/>
          <w:numId w:val="38"/>
        </w:numPr>
        <w:tabs>
          <w:tab w:val="clear" w:pos="720"/>
          <w:tab w:val="left" w:pos="374"/>
          <w:tab w:val="left" w:pos="1094"/>
        </w:tabs>
        <w:spacing w:after="0" w:line="240" w:lineRule="auto"/>
        <w:ind w:left="748" w:firstLine="0"/>
        <w:jc w:val="both"/>
        <w:rPr>
          <w:rFonts w:ascii="Arial" w:hAnsi="Arial" w:cs="Arial"/>
          <w:color w:val="auto"/>
        </w:rPr>
      </w:pPr>
      <w:r w:rsidRPr="00730CFC">
        <w:rPr>
          <w:rFonts w:ascii="Arial" w:hAnsi="Arial" w:cs="Arial"/>
          <w:bCs/>
          <w:color w:val="auto"/>
          <w:lang w:val="ro-RO"/>
        </w:rPr>
        <w:t xml:space="preserve">APM Brăila pentru 5 arii: </w:t>
      </w:r>
      <w:r w:rsidRPr="00730CFC">
        <w:rPr>
          <w:rFonts w:ascii="Arial" w:hAnsi="Arial" w:cs="Arial"/>
          <w:color w:val="auto"/>
          <w:lang w:val="ro-RO"/>
        </w:rPr>
        <w:t xml:space="preserve">ROSPA0048 Ianca-Plopu-Sărat, </w:t>
      </w:r>
      <w:r w:rsidRPr="00730CFC">
        <w:rPr>
          <w:rFonts w:ascii="Arial" w:hAnsi="Arial" w:cs="Arial"/>
          <w:bCs/>
          <w:iCs/>
          <w:color w:val="auto"/>
          <w:lang w:val="ro-RO"/>
        </w:rPr>
        <w:t xml:space="preserve">ROSCI0305 Ianca - Plopu - Sărat – Comăneasca, </w:t>
      </w:r>
      <w:r w:rsidRPr="00730CFC">
        <w:rPr>
          <w:rFonts w:ascii="Arial" w:hAnsi="Arial" w:cs="Arial"/>
          <w:color w:val="auto"/>
          <w:lang w:val="ro-RO"/>
        </w:rPr>
        <w:t xml:space="preserve">ROSPA0006 Balta Tătaru, </w:t>
      </w:r>
      <w:r w:rsidRPr="00730CFC">
        <w:rPr>
          <w:rFonts w:ascii="Arial" w:hAnsi="Arial" w:cs="Arial"/>
          <w:bCs/>
          <w:iCs/>
          <w:color w:val="auto"/>
          <w:lang w:val="ro-RO"/>
        </w:rPr>
        <w:t xml:space="preserve">ROSCI0307 Lacul Sărat – Brăila şi </w:t>
      </w:r>
      <w:r w:rsidRPr="00730CFC">
        <w:rPr>
          <w:rFonts w:ascii="Arial" w:hAnsi="Arial" w:cs="Arial"/>
          <w:color w:val="auto"/>
          <w:lang w:val="ro-RO"/>
        </w:rPr>
        <w:t xml:space="preserve">ROSPA0077 Măxineni </w:t>
      </w:r>
    </w:p>
    <w:p w:rsidR="000F4FEA" w:rsidRPr="00730CFC" w:rsidRDefault="000F4FEA" w:rsidP="005E6B2E">
      <w:pPr>
        <w:pStyle w:val="Implicit"/>
        <w:numPr>
          <w:ilvl w:val="0"/>
          <w:numId w:val="38"/>
        </w:numPr>
        <w:tabs>
          <w:tab w:val="clear" w:pos="720"/>
          <w:tab w:val="left" w:pos="374"/>
          <w:tab w:val="left" w:pos="1094"/>
        </w:tabs>
        <w:spacing w:after="0" w:line="240" w:lineRule="auto"/>
        <w:ind w:left="748" w:firstLine="0"/>
        <w:jc w:val="both"/>
        <w:rPr>
          <w:rFonts w:ascii="Arial" w:hAnsi="Arial" w:cs="Arial"/>
          <w:bCs/>
          <w:color w:val="auto"/>
          <w:lang w:val="ro-RO"/>
        </w:rPr>
      </w:pPr>
      <w:r w:rsidRPr="00730CFC">
        <w:rPr>
          <w:rFonts w:ascii="Arial" w:hAnsi="Arial" w:cs="Arial"/>
          <w:bCs/>
          <w:color w:val="auto"/>
          <w:lang w:val="ro-RO"/>
        </w:rPr>
        <w:t>APM Buzău pentru 4 arii:</w:t>
      </w:r>
      <w:r w:rsidRPr="00730CFC">
        <w:rPr>
          <w:rFonts w:ascii="Arial" w:hAnsi="Arial" w:cs="Arial"/>
          <w:bCs/>
          <w:color w:val="auto"/>
        </w:rPr>
        <w:t xml:space="preserve"> </w:t>
      </w:r>
      <w:r w:rsidRPr="00730CFC">
        <w:rPr>
          <w:rFonts w:ascii="Arial" w:hAnsi="Arial" w:cs="Arial"/>
          <w:bCs/>
          <w:color w:val="auto"/>
          <w:lang w:val="ro-RO"/>
        </w:rPr>
        <w:t xml:space="preserve">ROSPA0145 Valea Călmăţuiului şi ROSCI0259 Valea Călmăţuiului </w:t>
      </w:r>
    </w:p>
    <w:p w:rsidR="000F4FEA" w:rsidRPr="00730CFC" w:rsidRDefault="000F4FEA" w:rsidP="005E6B2E">
      <w:pPr>
        <w:pStyle w:val="Implicit"/>
        <w:numPr>
          <w:ilvl w:val="0"/>
          <w:numId w:val="38"/>
        </w:numPr>
        <w:tabs>
          <w:tab w:val="clear" w:pos="720"/>
          <w:tab w:val="left" w:pos="374"/>
          <w:tab w:val="left" w:pos="1094"/>
        </w:tabs>
        <w:spacing w:after="0" w:line="240" w:lineRule="auto"/>
        <w:ind w:left="748" w:firstLine="0"/>
        <w:jc w:val="both"/>
        <w:rPr>
          <w:rFonts w:ascii="Arial" w:hAnsi="Arial" w:cs="Arial"/>
          <w:bCs/>
          <w:color w:val="auto"/>
          <w:lang w:val="ro-RO"/>
        </w:rPr>
      </w:pPr>
      <w:r w:rsidRPr="00730CFC">
        <w:rPr>
          <w:rFonts w:ascii="Arial" w:hAnsi="Arial" w:cs="Arial"/>
          <w:bCs/>
          <w:color w:val="auto"/>
          <w:lang w:val="ro-RO"/>
        </w:rPr>
        <w:t>APM Ialomiţa pentru 2 arii: ROSPA0111 Berteştii de Sus - Gura Ialomiţei şi ROSCI0389 Sărăturile de la Gura Ialomiţei - Mihai Bravu.</w:t>
      </w:r>
    </w:p>
    <w:p w:rsidR="000F4FEA" w:rsidRPr="0039294D" w:rsidRDefault="000F4FEA" w:rsidP="00012F90">
      <w:pPr>
        <w:pStyle w:val="Implicit"/>
        <w:numPr>
          <w:ilvl w:val="0"/>
          <w:numId w:val="38"/>
        </w:numPr>
        <w:tabs>
          <w:tab w:val="clear" w:pos="720"/>
          <w:tab w:val="left" w:pos="374"/>
          <w:tab w:val="left" w:pos="1094"/>
        </w:tabs>
        <w:spacing w:after="0" w:line="240" w:lineRule="auto"/>
        <w:ind w:left="0" w:firstLine="737"/>
        <w:jc w:val="both"/>
        <w:rPr>
          <w:rFonts w:ascii="Arial" w:hAnsi="Arial" w:cs="Arial"/>
          <w:lang w:val="ro-RO"/>
        </w:rPr>
      </w:pPr>
      <w:r w:rsidRPr="0039294D">
        <w:rPr>
          <w:rFonts w:ascii="Arial" w:hAnsi="Arial" w:cs="Arial"/>
          <w:bCs/>
          <w:color w:val="auto"/>
          <w:lang w:val="ro-RO"/>
        </w:rPr>
        <w:t>APM Tulcea  pentru SPA Dunărea Veche – Braţuil Măcin şi SCI Braţul Macin;</w:t>
      </w:r>
    </w:p>
    <w:p w:rsidR="000F4FEA" w:rsidRPr="00730CFC" w:rsidRDefault="000F4FEA" w:rsidP="000F4FEA">
      <w:pPr>
        <w:pStyle w:val="BodyTextIndent2"/>
        <w:spacing w:after="0" w:line="240" w:lineRule="auto"/>
        <w:ind w:left="0"/>
        <w:jc w:val="both"/>
        <w:rPr>
          <w:rFonts w:ascii="Arial" w:hAnsi="Arial" w:cs="Arial"/>
          <w:lang w:val="ro-RO"/>
        </w:rPr>
      </w:pPr>
      <w:r w:rsidRPr="00730CFC">
        <w:rPr>
          <w:rFonts w:ascii="Arial" w:hAnsi="Arial" w:cs="Arial"/>
          <w:lang w:val="ro-RO"/>
        </w:rPr>
        <w:t xml:space="preserve">Numai pentru  Parcul Natural Balta Mică a Brăilei care se suprapune cu  ROSPA0005 Balta Mică a Brăilei şi ROSCI0006 </w:t>
      </w:r>
      <w:r w:rsidRPr="00730CFC">
        <w:rPr>
          <w:rStyle w:val="tpt1"/>
          <w:rFonts w:ascii="Arial" w:hAnsi="Arial" w:cs="Arial"/>
        </w:rPr>
        <w:t>Balta Mică a Brăilei și cu Situl Ramsar cu aceeași denumire, există plan de management aprobat prin HG 538/2011.</w:t>
      </w:r>
    </w:p>
    <w:p w:rsidR="000F4FEA" w:rsidRPr="00730CFC" w:rsidRDefault="000F4FEA" w:rsidP="00012F90">
      <w:pPr>
        <w:jc w:val="both"/>
        <w:rPr>
          <w:rFonts w:ascii="Arial" w:hAnsi="Arial" w:cs="Arial"/>
        </w:rPr>
      </w:pPr>
      <w:r w:rsidRPr="00730CFC">
        <w:rPr>
          <w:rFonts w:ascii="Arial" w:hAnsi="Arial" w:cs="Arial"/>
          <w:lang w:val="ro-RO"/>
        </w:rPr>
        <w:t xml:space="preserve">Sunt în derulare 4 proiecte cu finanțare europeană </w:t>
      </w:r>
      <w:r w:rsidRPr="00730CFC">
        <w:rPr>
          <w:rFonts w:ascii="Arial" w:hAnsi="Arial" w:cs="Arial"/>
        </w:rPr>
        <w:t>(</w:t>
      </w:r>
      <w:r w:rsidRPr="00730CFC">
        <w:rPr>
          <w:rFonts w:ascii="Arial" w:hAnsi="Arial" w:cs="Arial"/>
          <w:lang w:val="ro-RO"/>
        </w:rPr>
        <w:t>POS Mediu-Axa Prioritară 4-Implementarea sistemelor adecvate de management pentru protecţia naturii</w:t>
      </w:r>
      <w:r w:rsidRPr="00730CFC">
        <w:rPr>
          <w:rFonts w:ascii="Arial" w:hAnsi="Arial" w:cs="Arial"/>
        </w:rPr>
        <w:t xml:space="preserve">) </w:t>
      </w:r>
    </w:p>
    <w:p w:rsidR="000F4FEA" w:rsidRPr="00730CFC" w:rsidRDefault="000F4FEA" w:rsidP="00012F90">
      <w:pPr>
        <w:jc w:val="both"/>
        <w:rPr>
          <w:rFonts w:ascii="Arial" w:hAnsi="Arial" w:cs="Arial"/>
          <w:lang w:val="ro-RO"/>
        </w:rPr>
      </w:pPr>
      <w:r w:rsidRPr="00730CFC">
        <w:rPr>
          <w:rFonts w:ascii="Arial" w:hAnsi="Arial" w:cs="Arial"/>
        </w:rPr>
        <w:t>Este ăn derulare proiectul ”</w:t>
      </w:r>
      <w:r w:rsidRPr="00730CFC">
        <w:rPr>
          <w:rFonts w:ascii="Arial" w:hAnsi="Arial" w:cs="Arial"/>
          <w:bCs/>
        </w:rPr>
        <w:t>Evaluarea stării de conservare a ariilor de protecţie speciale avifaunistice ROSPA0006, ROSPA0038, ROSPA0048, ROSPA0077, ROSPA0058 şi ROSPA0064</w:t>
      </w:r>
      <w:r w:rsidRPr="00730CFC">
        <w:rPr>
          <w:rFonts w:ascii="Arial" w:hAnsi="Arial" w:cs="Arial"/>
          <w:iCs/>
        </w:rPr>
        <w:t xml:space="preserve">” - </w:t>
      </w:r>
      <w:r w:rsidRPr="00730CFC">
        <w:rPr>
          <w:rFonts w:ascii="Arial" w:hAnsi="Arial" w:cs="Arial"/>
        </w:rPr>
        <w:t xml:space="preserve">asociația OTUS pentru: </w:t>
      </w:r>
      <w:r w:rsidRPr="00730CFC">
        <w:rPr>
          <w:rFonts w:ascii="Arial" w:hAnsi="Arial" w:cs="Arial"/>
          <w:b/>
        </w:rPr>
        <w:t>ROSPA0006 Balta Tătaru, ROSPA0048 Ianca-Plopu-Sărat şi ROSPA0077 Măxineni</w:t>
      </w:r>
      <w:r w:rsidRPr="00730CFC">
        <w:rPr>
          <w:rFonts w:ascii="Arial" w:hAnsi="Arial" w:cs="Arial"/>
        </w:rPr>
        <w:t>,</w:t>
      </w:r>
      <w:r w:rsidRPr="00730CFC">
        <w:rPr>
          <w:rFonts w:ascii="Arial" w:hAnsi="Arial" w:cs="Arial"/>
          <w:lang w:val="ro-RO"/>
        </w:rPr>
        <w:t xml:space="preserve"> prin care  se vor realiza planuri de management,  pentru 3  arii protejate din Județul Brăila.</w:t>
      </w:r>
    </w:p>
    <w:p w:rsidR="000F4FEA" w:rsidRPr="00730CFC" w:rsidRDefault="000F4FEA" w:rsidP="00012F90">
      <w:pPr>
        <w:jc w:val="both"/>
        <w:rPr>
          <w:rFonts w:ascii="Arial" w:hAnsi="Arial" w:cs="Arial"/>
          <w:lang w:val="ro-RO"/>
        </w:rPr>
      </w:pPr>
      <w:r w:rsidRPr="00730CFC">
        <w:rPr>
          <w:rFonts w:ascii="Arial" w:hAnsi="Arial" w:cs="Arial"/>
          <w:lang w:val="it-IT"/>
        </w:rPr>
        <w:t xml:space="preserve">Până la </w:t>
      </w:r>
      <w:r w:rsidRPr="00730CFC">
        <w:rPr>
          <w:rFonts w:ascii="Arial" w:eastAsia="Calibri" w:hAnsi="Arial" w:cs="Arial"/>
          <w:lang w:val="en-US"/>
        </w:rPr>
        <w:t>elaborarea planului de management, custozii au obligația de a aplica planul de acțiuni prevazut în dosarul de candidatură cu care au participat la sesiunea de atribuire în custodie.</w:t>
      </w:r>
    </w:p>
    <w:p w:rsidR="000F4FEA" w:rsidRPr="00730CFC" w:rsidRDefault="000F4FEA" w:rsidP="00012F90">
      <w:pPr>
        <w:pStyle w:val="BodyTextIndent2"/>
        <w:spacing w:after="0" w:line="240" w:lineRule="auto"/>
        <w:ind w:left="0"/>
        <w:jc w:val="both"/>
        <w:rPr>
          <w:rFonts w:ascii="Arial" w:hAnsi="Arial" w:cs="Arial"/>
          <w:lang w:val="ro-RO"/>
        </w:rPr>
      </w:pPr>
      <w:r w:rsidRPr="00730CFC">
        <w:rPr>
          <w:rFonts w:ascii="Arial" w:hAnsi="Arial" w:cs="Arial"/>
          <w:lang w:val="ro-RO"/>
        </w:rPr>
        <w:t>În ceea ce privește întocmirea regulamentelor ariilor care au administrator situația se prezintă astfel:</w:t>
      </w:r>
    </w:p>
    <w:p w:rsidR="000F4FEA" w:rsidRPr="00730CFC" w:rsidRDefault="000F4FEA" w:rsidP="005E6B2E">
      <w:pPr>
        <w:pStyle w:val="ListParagraph"/>
        <w:numPr>
          <w:ilvl w:val="0"/>
          <w:numId w:val="41"/>
        </w:numPr>
        <w:autoSpaceDE w:val="0"/>
        <w:autoSpaceDN w:val="0"/>
        <w:adjustRightInd w:val="0"/>
        <w:jc w:val="both"/>
        <w:rPr>
          <w:rFonts w:ascii="Arial" w:hAnsi="Arial" w:cs="Arial"/>
          <w:lang w:val="it-IT"/>
        </w:rPr>
      </w:pPr>
      <w:r w:rsidRPr="00730CFC">
        <w:rPr>
          <w:rFonts w:ascii="Arial" w:hAnsi="Arial" w:cs="Arial"/>
          <w:lang w:val="it-IT"/>
        </w:rPr>
        <w:t>Pentru Parcul Natural Balta Mică a Brăilei (și celelalte arii cu care există suprapuneri) regulamentul este aprobat prin HG 538/2011.</w:t>
      </w:r>
    </w:p>
    <w:p w:rsidR="000F4FEA" w:rsidRPr="00730CFC" w:rsidRDefault="000F4FEA" w:rsidP="005E6B2E">
      <w:pPr>
        <w:pStyle w:val="ListParagraph"/>
        <w:numPr>
          <w:ilvl w:val="0"/>
          <w:numId w:val="41"/>
        </w:numPr>
        <w:autoSpaceDE w:val="0"/>
        <w:autoSpaceDN w:val="0"/>
        <w:adjustRightInd w:val="0"/>
        <w:jc w:val="both"/>
        <w:rPr>
          <w:rFonts w:ascii="Arial" w:hAnsi="Arial" w:cs="Arial"/>
          <w:lang w:val="it-IT"/>
        </w:rPr>
      </w:pPr>
      <w:r w:rsidRPr="00730CFC">
        <w:rPr>
          <w:rFonts w:ascii="Arial" w:hAnsi="Arial" w:cs="Arial"/>
          <w:lang w:val="it-IT"/>
        </w:rPr>
        <w:t>Pentru celelalte arii care au custozi regulamentele sunt elaborate dar nu au fost încă aprobate de autoritatea centrală pentru protecția mediului.</w:t>
      </w:r>
    </w:p>
    <w:p w:rsidR="000F4FEA" w:rsidRPr="00730CFC" w:rsidRDefault="000F4FEA" w:rsidP="00012F90">
      <w:pPr>
        <w:pStyle w:val="BodyTextIndent2"/>
        <w:spacing w:after="0" w:line="240" w:lineRule="auto"/>
        <w:ind w:left="0" w:firstLine="737"/>
        <w:jc w:val="both"/>
        <w:rPr>
          <w:rFonts w:ascii="Arial" w:hAnsi="Arial" w:cs="Arial"/>
          <w:lang w:val="it-IT"/>
        </w:rPr>
      </w:pPr>
    </w:p>
    <w:p w:rsidR="00311682" w:rsidRDefault="000F4FEA" w:rsidP="005D7F97">
      <w:pPr>
        <w:pStyle w:val="BodyTextIndent2"/>
        <w:spacing w:after="0" w:line="240" w:lineRule="auto"/>
        <w:ind w:left="0"/>
        <w:jc w:val="both"/>
        <w:rPr>
          <w:rFonts w:ascii="Arial" w:hAnsi="Arial" w:cs="Arial"/>
        </w:rPr>
      </w:pPr>
      <w:r w:rsidRPr="00730CFC">
        <w:rPr>
          <w:rFonts w:ascii="Arial" w:hAnsi="Arial" w:cs="Arial"/>
          <w:lang w:val="it-IT"/>
        </w:rPr>
        <w:t xml:space="preserve">Pentru ariile protejate de interes comunitar care nu au custode au fost elaborate </w:t>
      </w:r>
      <w:r w:rsidRPr="00730CFC">
        <w:rPr>
          <w:rFonts w:ascii="Arial" w:hAnsi="Arial" w:cs="Arial"/>
          <w:b/>
          <w:lang w:val="it-IT"/>
        </w:rPr>
        <w:t>măsurile minime de conservare</w:t>
      </w:r>
      <w:r w:rsidRPr="00730CFC">
        <w:rPr>
          <w:rFonts w:ascii="Arial" w:hAnsi="Arial" w:cs="Arial"/>
          <w:lang w:val="it-IT"/>
        </w:rPr>
        <w:t xml:space="preserve"> (care se aprobă de către autoritatea centrală pentru protecția mediului), pentru care competenţa de management revine autorităţilor de mediu: 5 arii-APM Brăila, 2 arii APM Buzău, 2 arii APM Ialomiţa.</w:t>
      </w:r>
      <w:r w:rsidRPr="00730CFC">
        <w:rPr>
          <w:rFonts w:ascii="Arial" w:hAnsi="Arial" w:cs="Arial"/>
        </w:rPr>
        <w:t xml:space="preserve"> </w:t>
      </w:r>
    </w:p>
    <w:p w:rsidR="000F4FEA" w:rsidRPr="00730CFC" w:rsidRDefault="000F4FEA" w:rsidP="0039294D">
      <w:pPr>
        <w:pStyle w:val="BodyTextIndent2"/>
        <w:spacing w:after="0" w:line="240" w:lineRule="auto"/>
        <w:ind w:left="0"/>
        <w:jc w:val="both"/>
        <w:rPr>
          <w:rFonts w:ascii="Arial" w:hAnsi="Arial" w:cs="Arial"/>
          <w:lang w:val="it-IT"/>
        </w:rPr>
        <w:sectPr w:rsidR="000F4FEA" w:rsidRPr="00730CFC" w:rsidSect="00012F90">
          <w:footerReference w:type="default" r:id="rId93"/>
          <w:pgSz w:w="11907" w:h="16840" w:code="9"/>
          <w:pgMar w:top="1077" w:right="850" w:bottom="1440" w:left="993" w:header="680" w:footer="680" w:gutter="0"/>
          <w:cols w:space="720"/>
          <w:docGrid w:linePitch="360"/>
        </w:sectPr>
      </w:pPr>
    </w:p>
    <w:p w:rsidR="000F4FEA" w:rsidRPr="00730CFC" w:rsidRDefault="000F4FEA" w:rsidP="00012F90">
      <w:pPr>
        <w:pStyle w:val="Footer"/>
        <w:jc w:val="both"/>
        <w:rPr>
          <w:rFonts w:ascii="Arial" w:hAnsi="Arial" w:cs="Arial"/>
          <w:lang w:val="ro-RO"/>
        </w:rPr>
      </w:pPr>
      <w:r w:rsidRPr="00730CFC">
        <w:rPr>
          <w:rFonts w:ascii="Arial" w:hAnsi="Arial" w:cs="Arial"/>
        </w:rPr>
        <w:lastRenderedPageBreak/>
        <w:t xml:space="preserve">          Tabel nr. V.2.1-4</w:t>
      </w:r>
      <w:r w:rsidRPr="00730CFC">
        <w:rPr>
          <w:rFonts w:ascii="Arial" w:hAnsi="Arial" w:cs="Arial"/>
          <w:b/>
          <w:lang w:val="ro-RO"/>
        </w:rPr>
        <w:t xml:space="preserve">- </w:t>
      </w:r>
      <w:r w:rsidRPr="00730CFC">
        <w:rPr>
          <w:rFonts w:ascii="Arial" w:hAnsi="Arial" w:cs="Arial"/>
          <w:lang w:val="ro-RO"/>
        </w:rPr>
        <w:t>Asigurarea managementului ariilor naturale protejate din judeţul Brăila</w:t>
      </w:r>
    </w:p>
    <w:tbl>
      <w:tblPr>
        <w:tblW w:w="1330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501"/>
        <w:gridCol w:w="2140"/>
        <w:gridCol w:w="3026"/>
        <w:gridCol w:w="1819"/>
        <w:gridCol w:w="850"/>
        <w:gridCol w:w="851"/>
        <w:gridCol w:w="708"/>
        <w:gridCol w:w="709"/>
        <w:gridCol w:w="992"/>
        <w:gridCol w:w="709"/>
      </w:tblGrid>
      <w:tr w:rsidR="000F4FEA" w:rsidRPr="00730CFC" w:rsidTr="00012F90">
        <w:trPr>
          <w:cantSplit/>
          <w:trHeight w:val="277"/>
          <w:tblHeader/>
          <w:jc w:val="center"/>
        </w:trPr>
        <w:tc>
          <w:tcPr>
            <w:tcW w:w="1501" w:type="dxa"/>
            <w:vMerge w:val="restart"/>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jc w:val="center"/>
              <w:rPr>
                <w:rFonts w:ascii="Arial" w:hAnsi="Arial" w:cs="Arial"/>
                <w:b/>
                <w:bCs/>
              </w:rPr>
            </w:pPr>
            <w:r w:rsidRPr="00730CFC">
              <w:rPr>
                <w:rFonts w:ascii="Arial" w:hAnsi="Arial" w:cs="Arial"/>
                <w:b/>
                <w:bCs/>
              </w:rPr>
              <w:t>Denumirea ariei naturale protejate</w:t>
            </w:r>
          </w:p>
        </w:tc>
        <w:tc>
          <w:tcPr>
            <w:tcW w:w="2140" w:type="dxa"/>
            <w:vMerge w:val="restart"/>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jc w:val="center"/>
              <w:rPr>
                <w:rFonts w:ascii="Arial" w:hAnsi="Arial" w:cs="Arial"/>
                <w:b/>
                <w:bCs/>
              </w:rPr>
            </w:pPr>
            <w:r w:rsidRPr="00730CFC">
              <w:rPr>
                <w:rFonts w:ascii="Arial" w:hAnsi="Arial" w:cs="Arial"/>
                <w:b/>
                <w:bCs/>
              </w:rPr>
              <w:t>Categoria ariei naturale protejate</w:t>
            </w:r>
          </w:p>
          <w:p w:rsidR="000F4FEA" w:rsidRPr="00730CFC" w:rsidRDefault="000F4FEA" w:rsidP="00012F90">
            <w:pPr>
              <w:jc w:val="center"/>
              <w:rPr>
                <w:rFonts w:ascii="Arial" w:hAnsi="Arial" w:cs="Arial"/>
                <w:b/>
                <w:bCs/>
              </w:rPr>
            </w:pPr>
            <w:r w:rsidRPr="00730CFC">
              <w:rPr>
                <w:rFonts w:ascii="Arial" w:hAnsi="Arial" w:cs="Arial"/>
                <w:b/>
                <w:bCs/>
              </w:rPr>
              <w:t>cod</w:t>
            </w:r>
          </w:p>
        </w:tc>
        <w:tc>
          <w:tcPr>
            <w:tcW w:w="3026" w:type="dxa"/>
            <w:vMerge w:val="restart"/>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pStyle w:val="Footer"/>
              <w:jc w:val="center"/>
              <w:rPr>
                <w:rFonts w:ascii="Arial" w:hAnsi="Arial" w:cs="Arial"/>
                <w:lang w:val="ro-RO"/>
              </w:rPr>
            </w:pPr>
            <w:r w:rsidRPr="00730CFC">
              <w:rPr>
                <w:rFonts w:ascii="Arial" w:hAnsi="Arial" w:cs="Arial"/>
                <w:b/>
                <w:bCs/>
              </w:rPr>
              <w:t>Aria naturală protejată cu care se suprapune</w:t>
            </w:r>
          </w:p>
        </w:tc>
        <w:tc>
          <w:tcPr>
            <w:tcW w:w="1819" w:type="dxa"/>
            <w:vMerge w:val="restart"/>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jc w:val="center"/>
              <w:rPr>
                <w:rFonts w:ascii="Arial" w:hAnsi="Arial" w:cs="Arial"/>
                <w:b/>
                <w:bCs/>
              </w:rPr>
            </w:pPr>
            <w:r w:rsidRPr="00730CFC">
              <w:rPr>
                <w:rFonts w:ascii="Arial" w:hAnsi="Arial" w:cs="Arial"/>
                <w:b/>
                <w:bCs/>
              </w:rPr>
              <w:t>Nume administrator</w:t>
            </w:r>
          </w:p>
          <w:p w:rsidR="000F4FEA" w:rsidRPr="00730CFC" w:rsidRDefault="000F4FEA" w:rsidP="00012F90">
            <w:pPr>
              <w:jc w:val="center"/>
              <w:rPr>
                <w:rFonts w:ascii="Arial" w:hAnsi="Arial" w:cs="Arial"/>
                <w:b/>
                <w:bCs/>
              </w:rPr>
            </w:pPr>
            <w:r w:rsidRPr="00730CFC">
              <w:rPr>
                <w:rFonts w:ascii="Arial" w:hAnsi="Arial" w:cs="Arial"/>
                <w:b/>
                <w:bCs/>
              </w:rPr>
              <w:t>/custode</w:t>
            </w:r>
          </w:p>
        </w:tc>
        <w:tc>
          <w:tcPr>
            <w:tcW w:w="2409" w:type="dxa"/>
            <w:gridSpan w:val="3"/>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b/>
                <w:bCs/>
              </w:rPr>
            </w:pPr>
            <w:r w:rsidRPr="00730CFC">
              <w:rPr>
                <w:rFonts w:ascii="Arial" w:hAnsi="Arial" w:cs="Arial"/>
                <w:b/>
                <w:bCs/>
              </w:rPr>
              <w:t>Regulament</w:t>
            </w:r>
          </w:p>
        </w:tc>
        <w:tc>
          <w:tcPr>
            <w:tcW w:w="2410" w:type="dxa"/>
            <w:gridSpan w:val="3"/>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Plan de management</w:t>
            </w:r>
          </w:p>
        </w:tc>
      </w:tr>
      <w:tr w:rsidR="000F4FEA" w:rsidRPr="00730CFC" w:rsidTr="00012F90">
        <w:trPr>
          <w:cantSplit/>
          <w:trHeight w:val="603"/>
          <w:tblHeader/>
          <w:jc w:val="center"/>
        </w:trPr>
        <w:tc>
          <w:tcPr>
            <w:tcW w:w="1501" w:type="dxa"/>
            <w:vMerge/>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bCs/>
              </w:rPr>
            </w:pPr>
          </w:p>
        </w:tc>
        <w:tc>
          <w:tcPr>
            <w:tcW w:w="2140" w:type="dxa"/>
            <w:vMerge/>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bCs/>
              </w:rPr>
            </w:pPr>
          </w:p>
        </w:tc>
        <w:tc>
          <w:tcPr>
            <w:tcW w:w="3026" w:type="dxa"/>
            <w:vMerge/>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jc w:val="both"/>
              <w:rPr>
                <w:rFonts w:ascii="Arial" w:eastAsia="Times New Roman" w:hAnsi="Arial" w:cs="Arial"/>
                <w:lang w:val="ro-RO"/>
              </w:rPr>
            </w:pPr>
          </w:p>
        </w:tc>
        <w:tc>
          <w:tcPr>
            <w:tcW w:w="1819" w:type="dxa"/>
            <w:vMerge/>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jc w:val="both"/>
              <w:rPr>
                <w:rFonts w:ascii="Arial" w:hAnsi="Arial" w:cs="Arial"/>
                <w:b/>
                <w:bCs/>
              </w:rPr>
            </w:pP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Elabo-rat</w:t>
            </w:r>
          </w:p>
        </w:tc>
        <w:tc>
          <w:tcPr>
            <w:tcW w:w="851"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Apro-</w:t>
            </w:r>
          </w:p>
          <w:p w:rsidR="000F4FEA" w:rsidRPr="00730CFC" w:rsidRDefault="000F4FEA" w:rsidP="00012F90">
            <w:pPr>
              <w:jc w:val="center"/>
              <w:rPr>
                <w:rFonts w:ascii="Arial" w:hAnsi="Arial" w:cs="Arial"/>
                <w:b/>
                <w:bCs/>
              </w:rPr>
            </w:pPr>
            <w:r w:rsidRPr="00730CFC">
              <w:rPr>
                <w:rFonts w:ascii="Arial" w:hAnsi="Arial" w:cs="Arial"/>
                <w:b/>
                <w:bCs/>
              </w:rPr>
              <w:t>bat</w:t>
            </w: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Ne-elaborat</w:t>
            </w: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Elabo-rat</w:t>
            </w:r>
          </w:p>
        </w:tc>
        <w:tc>
          <w:tcPr>
            <w:tcW w:w="992"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Apro-</w:t>
            </w:r>
          </w:p>
          <w:p w:rsidR="000F4FEA" w:rsidRPr="00730CFC" w:rsidRDefault="000F4FEA" w:rsidP="00012F90">
            <w:pPr>
              <w:jc w:val="center"/>
              <w:rPr>
                <w:rFonts w:ascii="Arial" w:hAnsi="Arial" w:cs="Arial"/>
                <w:b/>
                <w:bCs/>
              </w:rPr>
            </w:pPr>
            <w:r w:rsidRPr="00730CFC">
              <w:rPr>
                <w:rFonts w:ascii="Arial" w:hAnsi="Arial" w:cs="Arial"/>
                <w:b/>
                <w:bCs/>
              </w:rPr>
              <w:t>bat</w:t>
            </w: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center"/>
              <w:rPr>
                <w:rFonts w:ascii="Arial" w:hAnsi="Arial" w:cs="Arial"/>
                <w:b/>
                <w:bCs/>
              </w:rPr>
            </w:pPr>
            <w:r w:rsidRPr="00730CFC">
              <w:rPr>
                <w:rFonts w:ascii="Arial" w:hAnsi="Arial" w:cs="Arial"/>
                <w:b/>
                <w:bCs/>
              </w:rPr>
              <w:t>Ne-elaborat</w:t>
            </w:r>
          </w:p>
        </w:tc>
      </w:tr>
      <w:tr w:rsidR="000F4FEA" w:rsidRPr="00730CFC" w:rsidTr="00012F90">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Balta Mică a Brăilei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naţional</w:t>
            </w:r>
          </w:p>
          <w:p w:rsidR="000F4FEA" w:rsidRPr="00730CFC" w:rsidRDefault="000F4FEA" w:rsidP="00012F90">
            <w:pPr>
              <w:rPr>
                <w:rFonts w:ascii="Arial" w:hAnsi="Arial" w:cs="Arial"/>
              </w:rPr>
            </w:pPr>
            <w:r w:rsidRPr="00730CFC">
              <w:rPr>
                <w:rFonts w:ascii="Arial" w:hAnsi="Arial" w:cs="Arial"/>
              </w:rPr>
              <w:t>parc natural</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pStyle w:val="BodyTextIndent2"/>
              <w:spacing w:after="0" w:line="240" w:lineRule="auto"/>
              <w:ind w:left="0"/>
              <w:rPr>
                <w:rStyle w:val="tpt1"/>
                <w:rFonts w:ascii="Arial" w:hAnsi="Arial" w:cs="Arial"/>
                <w:lang w:val="it-IT"/>
              </w:rPr>
            </w:pPr>
            <w:r w:rsidRPr="00730CFC">
              <w:rPr>
                <w:rFonts w:ascii="Arial" w:hAnsi="Arial" w:cs="Arial"/>
                <w:lang w:val="it-IT" w:eastAsia="ro-RO"/>
              </w:rPr>
              <w:t xml:space="preserve">ROSCI0006 </w:t>
            </w:r>
            <w:r w:rsidRPr="00730CFC">
              <w:rPr>
                <w:rStyle w:val="tpt1"/>
                <w:rFonts w:ascii="Arial" w:hAnsi="Arial" w:cs="Arial"/>
                <w:lang w:val="it-IT"/>
              </w:rPr>
              <w:t>Balta Mică a Brăilei,</w:t>
            </w:r>
          </w:p>
          <w:p w:rsidR="000F4FEA" w:rsidRPr="00730CFC" w:rsidRDefault="000F4FEA" w:rsidP="00012F90">
            <w:pPr>
              <w:pStyle w:val="BodyTextIndent2"/>
              <w:spacing w:after="0" w:line="240" w:lineRule="auto"/>
              <w:ind w:left="0"/>
              <w:rPr>
                <w:rFonts w:ascii="Arial" w:hAnsi="Arial" w:cs="Arial"/>
                <w:lang w:eastAsia="ro-RO"/>
              </w:rPr>
            </w:pPr>
            <w:r w:rsidRPr="00730CFC">
              <w:rPr>
                <w:rFonts w:ascii="Arial" w:hAnsi="Arial" w:cs="Arial"/>
                <w:lang w:val="it-IT" w:eastAsia="ro-RO"/>
              </w:rPr>
              <w:t xml:space="preserve">ROSPA0005 </w:t>
            </w:r>
            <w:r w:rsidRPr="00730CFC">
              <w:rPr>
                <w:rStyle w:val="tpt1"/>
                <w:rFonts w:ascii="Arial" w:hAnsi="Arial" w:cs="Arial"/>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lang w:val="pt-BR"/>
              </w:rPr>
            </w:pPr>
            <w:r w:rsidRPr="00730CFC">
              <w:rPr>
                <w:rFonts w:ascii="Arial" w:hAnsi="Arial" w:cs="Arial"/>
                <w:lang w:val="pt-BR"/>
              </w:rPr>
              <w:t xml:space="preserve">Administraţia Parcului Natural </w:t>
            </w:r>
            <w:r w:rsidRPr="00730CFC">
              <w:rPr>
                <w:rStyle w:val="tpt1"/>
                <w:rFonts w:ascii="Arial" w:hAnsi="Arial" w:cs="Arial"/>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992"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r>
      <w:tr w:rsidR="000F4FEA" w:rsidRPr="00730CFC" w:rsidTr="00012F90">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Lacul Jirlău Vişani</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lang w:val="pt-BR"/>
              </w:rPr>
            </w:pPr>
            <w:r w:rsidRPr="00730CFC">
              <w:rPr>
                <w:rFonts w:ascii="Arial" w:hAnsi="Arial" w:cs="Arial"/>
                <w:lang w:val="pt-BR"/>
              </w:rPr>
              <w:t>de interes naţional</w:t>
            </w:r>
          </w:p>
          <w:p w:rsidR="000F4FEA" w:rsidRPr="00730CFC" w:rsidRDefault="000F4FEA" w:rsidP="00012F90">
            <w:pPr>
              <w:rPr>
                <w:rFonts w:ascii="Arial" w:hAnsi="Arial" w:cs="Arial"/>
                <w:lang w:val="pt-BR"/>
              </w:rPr>
            </w:pPr>
            <w:r w:rsidRPr="00730CFC">
              <w:rPr>
                <w:rFonts w:ascii="Arial" w:hAnsi="Arial" w:cs="Arial"/>
                <w:lang w:val="pt-BR"/>
              </w:rPr>
              <w:t>rezervaţie naturală</w:t>
            </w:r>
          </w:p>
          <w:p w:rsidR="000F4FEA" w:rsidRPr="00730CFC" w:rsidRDefault="000F4FEA" w:rsidP="00012F90">
            <w:pPr>
              <w:rPr>
                <w:rFonts w:ascii="Arial" w:hAnsi="Arial" w:cs="Arial"/>
                <w:lang w:val="pt-BR"/>
              </w:rPr>
            </w:pPr>
            <w:r w:rsidRPr="00730CFC">
              <w:rPr>
                <w:rFonts w:ascii="Arial" w:hAnsi="Arial" w:cs="Arial"/>
                <w:lang w:val="pt-BR"/>
              </w:rPr>
              <w:t>2260</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lang w:val="pt-BR"/>
              </w:rPr>
            </w:pPr>
            <w:r w:rsidRPr="00730CFC">
              <w:rPr>
                <w:rFonts w:ascii="Arial" w:hAnsi="Arial" w:cs="Arial"/>
                <w:lang w:val="pt-BR"/>
              </w:rPr>
              <w:t>ROSPA0004 Balta Albă-Amara-Jirlău, ROSCI0005 Balta Albă-Amara-Jirlău-Lacul Sărat Câineni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15"/>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Pădurea Camniţa</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lang w:val="pt-BR"/>
              </w:rPr>
            </w:pPr>
            <w:r w:rsidRPr="00730CFC">
              <w:rPr>
                <w:rFonts w:ascii="Arial" w:hAnsi="Arial" w:cs="Arial"/>
                <w:lang w:val="pt-BR"/>
              </w:rPr>
              <w:t>de interes naţional</w:t>
            </w:r>
          </w:p>
          <w:p w:rsidR="000F4FEA" w:rsidRPr="00730CFC" w:rsidRDefault="000F4FEA" w:rsidP="00012F90">
            <w:pPr>
              <w:rPr>
                <w:rFonts w:ascii="Arial" w:hAnsi="Arial" w:cs="Arial"/>
                <w:lang w:val="pt-BR"/>
              </w:rPr>
            </w:pPr>
            <w:r w:rsidRPr="00730CFC">
              <w:rPr>
                <w:rFonts w:ascii="Arial" w:hAnsi="Arial" w:cs="Arial"/>
                <w:lang w:val="pt-BR"/>
              </w:rPr>
              <w:t>rezervaţie naturală</w:t>
            </w:r>
          </w:p>
          <w:p w:rsidR="000F4FEA" w:rsidRPr="00730CFC" w:rsidRDefault="000F4FEA" w:rsidP="00012F90">
            <w:pPr>
              <w:rPr>
                <w:rFonts w:ascii="Arial" w:hAnsi="Arial" w:cs="Arial"/>
                <w:lang w:val="pt-BR"/>
              </w:rPr>
            </w:pPr>
            <w:r w:rsidRPr="00730CFC">
              <w:rPr>
                <w:rFonts w:ascii="Arial" w:hAnsi="Arial" w:cs="Arial"/>
                <w:lang w:val="pt-BR"/>
              </w:rPr>
              <w:t>2259</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Direcţia Silvică Brăila</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Insula Mică a Brăilei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internaţional</w:t>
            </w:r>
          </w:p>
          <w:p w:rsidR="000F4FEA" w:rsidRPr="00730CFC" w:rsidRDefault="000F4FEA" w:rsidP="00012F90">
            <w:pPr>
              <w:rPr>
                <w:rFonts w:ascii="Arial" w:hAnsi="Arial" w:cs="Arial"/>
              </w:rPr>
            </w:pPr>
            <w:r w:rsidRPr="00730CFC">
              <w:rPr>
                <w:rFonts w:ascii="Arial" w:hAnsi="Arial" w:cs="Arial"/>
              </w:rPr>
              <w:t>Sit Ramsar</w:t>
            </w:r>
          </w:p>
          <w:p w:rsidR="000F4FEA" w:rsidRPr="00730CFC" w:rsidRDefault="000F4FEA" w:rsidP="00012F90">
            <w:pPr>
              <w:rPr>
                <w:rFonts w:ascii="Arial" w:hAnsi="Arial" w:cs="Arial"/>
              </w:rPr>
            </w:pPr>
            <w:r w:rsidRPr="00730CFC">
              <w:rPr>
                <w:rFonts w:ascii="Arial" w:hAnsi="Arial" w:cs="Arial"/>
              </w:rPr>
              <w:t>1074</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pStyle w:val="BodyTextIndent2"/>
              <w:spacing w:after="0" w:line="240" w:lineRule="auto"/>
              <w:ind w:left="0"/>
              <w:rPr>
                <w:rFonts w:ascii="Arial" w:hAnsi="Arial" w:cs="Arial"/>
                <w:lang w:val="pt-BR" w:eastAsia="ro-RO"/>
              </w:rPr>
            </w:pPr>
            <w:r w:rsidRPr="00730CFC">
              <w:rPr>
                <w:rFonts w:ascii="Arial" w:hAnsi="Arial" w:cs="Arial"/>
                <w:lang w:val="pt-BR"/>
              </w:rPr>
              <w:t xml:space="preserve">Parcul Natural </w:t>
            </w:r>
            <w:r w:rsidRPr="00730CFC">
              <w:rPr>
                <w:rStyle w:val="tpt1"/>
                <w:rFonts w:ascii="Arial" w:hAnsi="Arial" w:cs="Arial"/>
                <w:lang w:val="pt-BR"/>
              </w:rPr>
              <w:t>Balta Mică a Brăilei</w:t>
            </w:r>
            <w:r w:rsidRPr="00730CFC">
              <w:rPr>
                <w:rFonts w:ascii="Arial" w:hAnsi="Arial" w:cs="Arial"/>
                <w:lang w:val="pt-BR" w:eastAsia="ro-RO"/>
              </w:rPr>
              <w:t>,</w:t>
            </w:r>
          </w:p>
          <w:p w:rsidR="000F4FEA" w:rsidRPr="00730CFC" w:rsidRDefault="000F4FEA" w:rsidP="00012F90">
            <w:pPr>
              <w:pStyle w:val="BodyTextIndent2"/>
              <w:spacing w:after="0" w:line="240" w:lineRule="auto"/>
              <w:ind w:left="0"/>
              <w:rPr>
                <w:rStyle w:val="tpt1"/>
                <w:rFonts w:ascii="Arial" w:hAnsi="Arial" w:cs="Arial"/>
                <w:lang w:val="it-IT"/>
              </w:rPr>
            </w:pPr>
            <w:r w:rsidRPr="00730CFC">
              <w:rPr>
                <w:rFonts w:ascii="Arial" w:hAnsi="Arial" w:cs="Arial"/>
                <w:lang w:val="it-IT" w:eastAsia="ro-RO"/>
              </w:rPr>
              <w:t xml:space="preserve">ROSCI0006 </w:t>
            </w:r>
            <w:r w:rsidRPr="00730CFC">
              <w:rPr>
                <w:rStyle w:val="tpt1"/>
                <w:rFonts w:ascii="Arial" w:hAnsi="Arial" w:cs="Arial"/>
                <w:lang w:val="it-IT"/>
              </w:rPr>
              <w:t>Balta Mică a Brăilei,</w:t>
            </w:r>
          </w:p>
          <w:p w:rsidR="000F4FEA" w:rsidRPr="00730CFC" w:rsidRDefault="000F4FEA" w:rsidP="00012F90">
            <w:pPr>
              <w:rPr>
                <w:rFonts w:ascii="Arial" w:hAnsi="Arial" w:cs="Arial"/>
              </w:rPr>
            </w:pPr>
            <w:r w:rsidRPr="00730CFC">
              <w:rPr>
                <w:rFonts w:ascii="Arial" w:hAnsi="Arial" w:cs="Arial"/>
                <w:lang w:val="it-IT"/>
              </w:rPr>
              <w:t xml:space="preserve">ROSPA0005 </w:t>
            </w:r>
            <w:r w:rsidRPr="00730CFC">
              <w:rPr>
                <w:rStyle w:val="tpt1"/>
                <w:rFonts w:ascii="Arial" w:hAnsi="Arial" w:cs="Arial"/>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lang w:val="pt-BR"/>
              </w:rPr>
            </w:pPr>
            <w:r w:rsidRPr="00730CFC">
              <w:rPr>
                <w:rFonts w:ascii="Arial" w:hAnsi="Arial" w:cs="Arial"/>
                <w:lang w:val="pt-BR"/>
              </w:rPr>
              <w:t xml:space="preserve">Administraţia Parcului Natural </w:t>
            </w:r>
            <w:r w:rsidRPr="00730CFC">
              <w:rPr>
                <w:rStyle w:val="tpt1"/>
                <w:rFonts w:ascii="Arial" w:hAnsi="Arial" w:cs="Arial"/>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992"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Balta Albă-Amara-Jirlău</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ROSPA0004</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 xml:space="preserve">ROSCI0005 Balta Albă-Amara-Jirlău-Lacul Sărat Câineni,  </w:t>
            </w:r>
            <w:r w:rsidRPr="00730CFC">
              <w:rPr>
                <w:rFonts w:ascii="Arial" w:hAnsi="Arial" w:cs="Arial"/>
                <w:bCs/>
                <w:lang w:val="fr-FR"/>
              </w:rPr>
              <w:t>Cuprinde Rezervaţia naturală</w:t>
            </w:r>
            <w:r w:rsidRPr="00730CFC">
              <w:rPr>
                <w:rFonts w:ascii="Arial" w:hAnsi="Arial" w:cs="Arial"/>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lastRenderedPageBreak/>
              <w:t>Balta Mică a Brăilei</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ROSPA0005</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pStyle w:val="BodyTextIndent2"/>
              <w:spacing w:after="0" w:line="240" w:lineRule="auto"/>
              <w:ind w:left="0"/>
              <w:rPr>
                <w:rFonts w:ascii="Arial" w:hAnsi="Arial" w:cs="Arial"/>
                <w:lang w:val="pt-BR" w:eastAsia="ro-RO"/>
              </w:rPr>
            </w:pPr>
            <w:r w:rsidRPr="00730CFC">
              <w:rPr>
                <w:rFonts w:ascii="Arial" w:hAnsi="Arial" w:cs="Arial"/>
                <w:lang w:val="pt-BR"/>
              </w:rPr>
              <w:t xml:space="preserve">Parcul Natural </w:t>
            </w:r>
            <w:r w:rsidRPr="00730CFC">
              <w:rPr>
                <w:rStyle w:val="tpt1"/>
                <w:rFonts w:ascii="Arial" w:hAnsi="Arial" w:cs="Arial"/>
                <w:lang w:val="pt-BR"/>
              </w:rPr>
              <w:t>Balta Mică a Brăilei</w:t>
            </w:r>
            <w:r w:rsidRPr="00730CFC">
              <w:rPr>
                <w:rFonts w:ascii="Arial" w:hAnsi="Arial" w:cs="Arial"/>
                <w:lang w:val="pt-BR" w:eastAsia="ro-RO"/>
              </w:rPr>
              <w:t>,</w:t>
            </w:r>
          </w:p>
          <w:p w:rsidR="000F4FEA" w:rsidRPr="00730CFC" w:rsidRDefault="000F4FEA" w:rsidP="00012F90">
            <w:pPr>
              <w:rPr>
                <w:rFonts w:ascii="Arial" w:hAnsi="Arial" w:cs="Arial"/>
              </w:rPr>
            </w:pPr>
            <w:r w:rsidRPr="00730CFC">
              <w:rPr>
                <w:rFonts w:ascii="Arial" w:hAnsi="Arial" w:cs="Arial"/>
                <w:lang w:val="it-IT"/>
              </w:rPr>
              <w:t xml:space="preserve">ROSCI0006 </w:t>
            </w:r>
            <w:r w:rsidRPr="00730CFC">
              <w:rPr>
                <w:rStyle w:val="tpt1"/>
                <w:rFonts w:ascii="Arial" w:hAnsi="Arial" w:cs="Arial"/>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lang w:val="pt-BR"/>
              </w:rPr>
            </w:pPr>
            <w:r w:rsidRPr="00730CFC">
              <w:rPr>
                <w:rFonts w:ascii="Arial" w:hAnsi="Arial" w:cs="Arial"/>
                <w:lang w:val="pt-BR"/>
              </w:rPr>
              <w:t xml:space="preserve">Administraţia Parcului Natural </w:t>
            </w:r>
            <w:r w:rsidRPr="00730CFC">
              <w:rPr>
                <w:rStyle w:val="tpt1"/>
                <w:rFonts w:ascii="Arial" w:hAnsi="Arial" w:cs="Arial"/>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992"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r>
      <w:tr w:rsidR="000F4FEA" w:rsidRPr="00730CFC" w:rsidTr="00012F90">
        <w:trPr>
          <w:cantSplit/>
          <w:trHeight w:val="48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Balta Tătaru</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ROSPA0006</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Dunărea Veche-Braţul Măcin</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ROSPA0040</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lang w:val="it-IT"/>
              </w:rPr>
            </w:pPr>
            <w:r w:rsidRPr="00730CFC">
              <w:rPr>
                <w:rFonts w:ascii="Arial" w:hAnsi="Arial" w:cs="Arial"/>
                <w:lang w:val="it-IT"/>
              </w:rPr>
              <w:t>ROSCI0012</w:t>
            </w:r>
          </w:p>
          <w:p w:rsidR="000F4FEA" w:rsidRPr="00730CFC" w:rsidRDefault="000F4FEA" w:rsidP="00012F90">
            <w:pPr>
              <w:rPr>
                <w:rFonts w:ascii="Arial" w:hAnsi="Arial" w:cs="Arial"/>
              </w:rPr>
            </w:pPr>
            <w:r w:rsidRPr="00730CFC">
              <w:rPr>
                <w:rFonts w:ascii="Arial" w:hAnsi="Arial" w:cs="Arial"/>
              </w:rPr>
              <w:t>Braţul Măcin</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Asociţia Judeţeană a Pescarilor Sportivi Galaţi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Ianca-Plopu-Sărat</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ROSPA0048</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bCs/>
                <w:iCs/>
              </w:rPr>
            </w:pPr>
            <w:r w:rsidRPr="00730CFC">
              <w:rPr>
                <w:rFonts w:ascii="Arial" w:hAnsi="Arial" w:cs="Arial"/>
                <w:bCs/>
                <w:iCs/>
              </w:rPr>
              <w:t>ROSCI0305</w:t>
            </w:r>
          </w:p>
          <w:p w:rsidR="000F4FEA" w:rsidRPr="00730CFC" w:rsidRDefault="000F4FEA" w:rsidP="00012F90">
            <w:pPr>
              <w:rPr>
                <w:rFonts w:ascii="Arial" w:hAnsi="Arial" w:cs="Arial"/>
              </w:rPr>
            </w:pPr>
            <w:r w:rsidRPr="00730CFC">
              <w:rPr>
                <w:rFonts w:ascii="Arial" w:hAnsi="Arial" w:cs="Arial"/>
              </w:rPr>
              <w:t>Ianca - Plopu - Sărat - Comăneasca</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ROSPA0071</w:t>
            </w:r>
          </w:p>
          <w:p w:rsidR="000F4FEA" w:rsidRPr="00730CFC" w:rsidRDefault="000F4FEA" w:rsidP="00012F90">
            <w:pPr>
              <w:rPr>
                <w:rFonts w:ascii="Arial" w:hAnsi="Arial" w:cs="Arial"/>
              </w:rPr>
            </w:pP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bCs/>
                <w:iCs/>
              </w:rPr>
              <w:t xml:space="preserve">ROSCI0162 </w:t>
            </w:r>
            <w:r w:rsidRPr="00730CFC">
              <w:rPr>
                <w:rFonts w:ascii="Arial" w:hAnsi="Arial" w:cs="Arial"/>
              </w:rPr>
              <w:t>Lunca Siretului Inferior</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lang w:val="it-IT"/>
              </w:rPr>
            </w:pPr>
            <w:r w:rsidRPr="00730CFC">
              <w:rPr>
                <w:rFonts w:ascii="Arial" w:hAnsi="Arial" w:cs="Arial"/>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Măxineni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ROSPA0077</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6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lastRenderedPageBreak/>
              <w:t>Berteştii de Sus-Gura Ialomiţei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ROSPA0111</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lang w:val="it-IT"/>
              </w:rPr>
            </w:pPr>
            <w:r w:rsidRPr="00730CFC">
              <w:rPr>
                <w:rFonts w:ascii="Arial" w:hAnsi="Arial" w:cs="Arial"/>
                <w:bCs/>
                <w:iCs/>
                <w:lang w:val="it-IT"/>
              </w:rPr>
              <w:t>ROSCI0389</w:t>
            </w:r>
            <w:r w:rsidRPr="00730CFC">
              <w:rPr>
                <w:rFonts w:ascii="Arial" w:hAnsi="Arial" w:cs="Arial"/>
                <w:lang w:val="it-IT"/>
              </w:rPr>
              <w:t xml:space="preserve"> Sărăturile de la Gura Ialomiţei - Mihai Bravu</w:t>
            </w:r>
          </w:p>
          <w:p w:rsidR="000F4FEA" w:rsidRPr="00730CFC" w:rsidRDefault="000F4FEA" w:rsidP="00012F90">
            <w:pPr>
              <w:rPr>
                <w:rFonts w:ascii="Arial" w:hAnsi="Arial" w:cs="Arial"/>
                <w:bCs/>
                <w:lang w:val="fr-FR"/>
              </w:rPr>
            </w:pPr>
            <w:r w:rsidRPr="00730CFC">
              <w:rPr>
                <w:rFonts w:ascii="Arial" w:hAnsi="Arial" w:cs="Arial"/>
                <w:bCs/>
                <w:lang w:val="fr-FR"/>
              </w:rPr>
              <w:t xml:space="preserve">Cuprinde Rezervaţia forestieră pădurea Viișoara </w:t>
            </w:r>
          </w:p>
          <w:p w:rsidR="000F4FEA" w:rsidRPr="00730CFC" w:rsidRDefault="000F4FEA" w:rsidP="00012F90">
            <w:pPr>
              <w:rPr>
                <w:rFonts w:ascii="Arial" w:hAnsi="Arial" w:cs="Arial"/>
                <w:lang w:val="it-IT"/>
              </w:rPr>
            </w:pPr>
            <w:r w:rsidRPr="00730CFC">
              <w:rPr>
                <w:rFonts w:ascii="Arial" w:hAnsi="Arial" w:cs="Arial"/>
                <w:lang w:val="it-IT"/>
              </w:rPr>
              <w:t>(de interes județean)</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Valea Călmăţuiului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SPA</w:t>
            </w:r>
          </w:p>
          <w:p w:rsidR="000F4FEA" w:rsidRPr="00730CFC" w:rsidRDefault="000F4FEA" w:rsidP="00012F90">
            <w:pPr>
              <w:rPr>
                <w:rFonts w:ascii="Arial" w:hAnsi="Arial" w:cs="Arial"/>
              </w:rPr>
            </w:pPr>
            <w:r w:rsidRPr="00730CFC">
              <w:rPr>
                <w:rFonts w:ascii="Arial" w:hAnsi="Arial" w:cs="Arial"/>
              </w:rPr>
              <w:t>ROSPA0145</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lang w:val="it-IT"/>
              </w:rPr>
              <w:t>ROSCI0259</w:t>
            </w:r>
            <w:r w:rsidRPr="00730CFC">
              <w:rPr>
                <w:rFonts w:ascii="Arial" w:hAnsi="Arial" w:cs="Arial"/>
              </w:rPr>
              <w:t xml:space="preserve"> Valea Călmăţuiului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939"/>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Balta Albă-Amara-Jirlău-Lacul Sărat Câineni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rPr>
              <w:t>ROSCI0005</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lang w:val="it-IT"/>
              </w:rPr>
              <w:t xml:space="preserve">ROSPA0004 </w:t>
            </w:r>
            <w:r w:rsidRPr="00730CFC">
              <w:rPr>
                <w:rFonts w:ascii="Arial" w:hAnsi="Arial" w:cs="Arial"/>
              </w:rPr>
              <w:t>Balta Albă-Amara-Jirlău</w:t>
            </w:r>
          </w:p>
          <w:p w:rsidR="000F4FEA" w:rsidRPr="00730CFC" w:rsidRDefault="000F4FEA" w:rsidP="00012F90">
            <w:pPr>
              <w:rPr>
                <w:rFonts w:ascii="Arial" w:hAnsi="Arial" w:cs="Arial"/>
              </w:rPr>
            </w:pPr>
            <w:r w:rsidRPr="00730CFC">
              <w:rPr>
                <w:rFonts w:ascii="Arial" w:hAnsi="Arial" w:cs="Arial"/>
                <w:bCs/>
                <w:lang w:val="fr-FR"/>
              </w:rPr>
              <w:t>Cuprinde Rezervaţia naturală</w:t>
            </w:r>
            <w:r w:rsidRPr="00730CFC">
              <w:rPr>
                <w:rFonts w:ascii="Arial" w:hAnsi="Arial" w:cs="Arial"/>
              </w:rPr>
              <w:t xml:space="preserve"> Lacul Jirlău Vişani cod 2260</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Balta Mică a Brăilei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lang w:val="it-IT"/>
              </w:rPr>
              <w:t>ROSCI0006</w:t>
            </w:r>
          </w:p>
          <w:p w:rsidR="000F4FEA" w:rsidRPr="00730CFC" w:rsidRDefault="000F4FEA" w:rsidP="00012F90">
            <w:pPr>
              <w:rPr>
                <w:rFonts w:ascii="Arial" w:hAnsi="Arial" w:cs="Arial"/>
              </w:rPr>
            </w:pP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pStyle w:val="BodyTextIndent2"/>
              <w:spacing w:after="0" w:line="240" w:lineRule="auto"/>
              <w:ind w:left="0"/>
              <w:rPr>
                <w:rStyle w:val="tpt1"/>
                <w:rFonts w:ascii="Arial" w:hAnsi="Arial" w:cs="Arial"/>
                <w:lang w:val="pt-BR"/>
              </w:rPr>
            </w:pPr>
            <w:r w:rsidRPr="00730CFC">
              <w:rPr>
                <w:rFonts w:ascii="Arial" w:hAnsi="Arial" w:cs="Arial"/>
                <w:lang w:val="pt-BR"/>
              </w:rPr>
              <w:t xml:space="preserve">Parcul Natural </w:t>
            </w:r>
            <w:r w:rsidRPr="00730CFC">
              <w:rPr>
                <w:rStyle w:val="tpt1"/>
                <w:rFonts w:ascii="Arial" w:hAnsi="Arial" w:cs="Arial"/>
                <w:lang w:val="pt-BR"/>
              </w:rPr>
              <w:t>Balta Mică a Brăilei</w:t>
            </w:r>
            <w:r w:rsidRPr="00730CFC">
              <w:rPr>
                <w:rFonts w:ascii="Arial" w:hAnsi="Arial" w:cs="Arial"/>
                <w:lang w:val="pt-BR" w:eastAsia="ro-RO"/>
              </w:rPr>
              <w:t>,</w:t>
            </w:r>
          </w:p>
          <w:p w:rsidR="000F4FEA" w:rsidRPr="00730CFC" w:rsidRDefault="000F4FEA" w:rsidP="00012F90">
            <w:pPr>
              <w:rPr>
                <w:rFonts w:ascii="Arial" w:hAnsi="Arial" w:cs="Arial"/>
              </w:rPr>
            </w:pPr>
            <w:r w:rsidRPr="00730CFC">
              <w:rPr>
                <w:rFonts w:ascii="Arial" w:hAnsi="Arial" w:cs="Arial"/>
                <w:lang w:val="it-IT"/>
              </w:rPr>
              <w:t xml:space="preserve">ROSPA0005 </w:t>
            </w:r>
            <w:r w:rsidRPr="00730CFC">
              <w:rPr>
                <w:rStyle w:val="tpt1"/>
                <w:rFonts w:ascii="Arial" w:hAnsi="Arial" w:cs="Arial"/>
                <w:lang w:val="it-IT"/>
              </w:rPr>
              <w:t>Balta Mică a Brăilei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lang w:val="pt-BR"/>
              </w:rPr>
            </w:pPr>
            <w:r w:rsidRPr="00730CFC">
              <w:rPr>
                <w:rFonts w:ascii="Arial" w:hAnsi="Arial" w:cs="Arial"/>
                <w:lang w:val="pt-BR"/>
              </w:rPr>
              <w:t xml:space="preserve">Administraţia Parcului Natural </w:t>
            </w:r>
            <w:r w:rsidRPr="00730CFC">
              <w:rPr>
                <w:rStyle w:val="tpt1"/>
                <w:rFonts w:ascii="Arial" w:hAnsi="Arial" w:cs="Arial"/>
                <w:lang w:val="pt-BR"/>
              </w:rPr>
              <w:t>Balta Mică a Brăilei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992"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r>
      <w:tr w:rsidR="000F4FEA" w:rsidRPr="00730CFC" w:rsidTr="00012F90">
        <w:trPr>
          <w:cantSplit/>
          <w:trHeight w:val="971"/>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Braţul Măcin</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lang w:val="it-IT" w:eastAsia="ro-RO"/>
              </w:rPr>
              <w:t>ROSCI0012</w:t>
            </w:r>
          </w:p>
          <w:p w:rsidR="000F4FEA" w:rsidRPr="00730CFC" w:rsidRDefault="000F4FEA" w:rsidP="00012F90">
            <w:pPr>
              <w:rPr>
                <w:rFonts w:ascii="Arial" w:hAnsi="Arial" w:cs="Arial"/>
              </w:rPr>
            </w:pP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lang w:val="it-IT"/>
              </w:rPr>
            </w:pPr>
            <w:r w:rsidRPr="00730CFC">
              <w:rPr>
                <w:rFonts w:ascii="Arial" w:hAnsi="Arial" w:cs="Arial"/>
                <w:lang w:val="it-IT"/>
              </w:rPr>
              <w:t>ROSPA0040 Dunărea Veche-Braţul Măcin</w:t>
            </w:r>
          </w:p>
        </w:tc>
        <w:tc>
          <w:tcPr>
            <w:tcW w:w="1819"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jc w:val="both"/>
              <w:rPr>
                <w:rFonts w:ascii="Arial" w:hAnsi="Arial" w:cs="Arial"/>
              </w:rPr>
            </w:pPr>
            <w:r w:rsidRPr="00730CFC">
              <w:rPr>
                <w:rFonts w:ascii="Arial" w:hAnsi="Arial" w:cs="Arial"/>
              </w:rPr>
              <w:t>Asociaţia  Judeţeană a Pescarilor Sportivi Galaţi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lastRenderedPageBreak/>
              <w:t>Valea Călmăţuiului</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rPr>
              <w:t>ROSCI0259</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ROSPA0145 Valea Călmăţuiului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Lunca Buzăului</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bCs/>
                <w:iCs/>
              </w:rPr>
              <w:t>ROSCI0103</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Universitatea Ecologică Bucureşti</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r w:rsidRPr="00730CFC">
              <w:rPr>
                <w:rFonts w:ascii="Arial" w:hAnsi="Arial" w:cs="Arial"/>
              </w:rPr>
              <w:t>X</w:t>
            </w: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Lunca Siretului Inferior</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bCs/>
                <w:iCs/>
              </w:rPr>
              <w:t>ROSCI0162</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lang w:val="it-IT"/>
              </w:rPr>
              <w:t xml:space="preserve">ROSPA0071 </w:t>
            </w:r>
            <w:r w:rsidRPr="00730CFC">
              <w:rPr>
                <w:rFonts w:ascii="Arial" w:hAnsi="Arial" w:cs="Arial"/>
              </w:rPr>
              <w:t>Lunca Siretului Inferior</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lang w:val="it-IT"/>
              </w:rPr>
            </w:pPr>
            <w:r w:rsidRPr="00730CFC">
              <w:rPr>
                <w:rFonts w:ascii="Arial" w:hAnsi="Arial" w:cs="Arial"/>
                <w:lang w:val="it-IT"/>
              </w:rPr>
              <w:t>Asociaţia pentru Conservarea Diversităţii Biologice</w:t>
            </w:r>
          </w:p>
        </w:tc>
        <w:tc>
          <w:tcPr>
            <w:tcW w:w="850"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Ianca - Plopu - Sărat - Comăneasca</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bCs/>
                <w:iCs/>
              </w:rPr>
              <w:t>ROSCI0305</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lang w:val="it-IT"/>
              </w:rPr>
              <w:t xml:space="preserve">ROSPA0048 </w:t>
            </w:r>
            <w:r w:rsidRPr="00730CFC">
              <w:rPr>
                <w:rFonts w:ascii="Arial" w:hAnsi="Arial" w:cs="Arial"/>
              </w:rPr>
              <w:t>Ianca - Plopu - Sărat</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rPr>
            </w:pPr>
            <w:r w:rsidRPr="00730CFC">
              <w:rPr>
                <w:rFonts w:ascii="Arial" w:hAnsi="Arial" w:cs="Arial"/>
                <w:b/>
              </w:rPr>
              <w:t>Lacul Sărat – Brăila</w:t>
            </w:r>
          </w:p>
        </w:tc>
        <w:tc>
          <w:tcPr>
            <w:tcW w:w="2140"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bCs/>
                <w:iCs/>
              </w:rPr>
              <w:t>ROSCI0307</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r w:rsidR="000F4FEA" w:rsidRPr="00730CFC" w:rsidTr="00012F90">
        <w:trPr>
          <w:cantSplit/>
          <w:trHeight w:val="300"/>
          <w:jc w:val="center"/>
        </w:trPr>
        <w:tc>
          <w:tcPr>
            <w:tcW w:w="1501" w:type="dxa"/>
            <w:tcBorders>
              <w:top w:val="single" w:sz="4" w:space="0" w:color="auto"/>
              <w:left w:val="single" w:sz="4" w:space="0" w:color="auto"/>
              <w:bottom w:val="single" w:sz="4" w:space="0" w:color="auto"/>
              <w:right w:val="single" w:sz="4" w:space="0" w:color="auto"/>
            </w:tcBorders>
            <w:hideMark/>
          </w:tcPr>
          <w:p w:rsidR="000F4FEA" w:rsidRPr="00730CFC" w:rsidRDefault="000F4FEA" w:rsidP="00012F90">
            <w:pPr>
              <w:rPr>
                <w:rFonts w:ascii="Arial" w:hAnsi="Arial" w:cs="Arial"/>
                <w:b/>
                <w:lang w:val="it-IT"/>
              </w:rPr>
            </w:pPr>
            <w:r w:rsidRPr="00730CFC">
              <w:rPr>
                <w:rFonts w:ascii="Arial" w:hAnsi="Arial" w:cs="Arial"/>
                <w:b/>
                <w:lang w:val="it-IT"/>
              </w:rPr>
              <w:t>Sărăturile de la Gura Ialomiţei - Mihai Bravu</w:t>
            </w:r>
          </w:p>
        </w:tc>
        <w:tc>
          <w:tcPr>
            <w:tcW w:w="2140" w:type="dxa"/>
            <w:tcBorders>
              <w:top w:val="single" w:sz="4" w:space="0" w:color="auto"/>
              <w:left w:val="single" w:sz="4" w:space="0" w:color="auto"/>
              <w:bottom w:val="single" w:sz="4" w:space="0" w:color="auto"/>
              <w:right w:val="single" w:sz="4" w:space="0" w:color="auto"/>
            </w:tcBorders>
          </w:tcPr>
          <w:p w:rsidR="000F4FEA" w:rsidRPr="00730CFC" w:rsidRDefault="000F4FEA" w:rsidP="00012F90">
            <w:pPr>
              <w:rPr>
                <w:rFonts w:ascii="Arial" w:hAnsi="Arial" w:cs="Arial"/>
              </w:rPr>
            </w:pPr>
            <w:r w:rsidRPr="00730CFC">
              <w:rPr>
                <w:rFonts w:ascii="Arial" w:hAnsi="Arial" w:cs="Arial"/>
              </w:rPr>
              <w:t>de interes comunitar</w:t>
            </w:r>
          </w:p>
          <w:p w:rsidR="000F4FEA" w:rsidRPr="00730CFC" w:rsidRDefault="000F4FEA" w:rsidP="00012F90">
            <w:pPr>
              <w:rPr>
                <w:rFonts w:ascii="Arial" w:hAnsi="Arial" w:cs="Arial"/>
              </w:rPr>
            </w:pPr>
            <w:r w:rsidRPr="00730CFC">
              <w:rPr>
                <w:rFonts w:ascii="Arial" w:hAnsi="Arial" w:cs="Arial"/>
              </w:rPr>
              <w:t>SCI</w:t>
            </w:r>
          </w:p>
          <w:p w:rsidR="000F4FEA" w:rsidRPr="00730CFC" w:rsidRDefault="000F4FEA" w:rsidP="00012F90">
            <w:pPr>
              <w:rPr>
                <w:rFonts w:ascii="Arial" w:hAnsi="Arial" w:cs="Arial"/>
              </w:rPr>
            </w:pPr>
            <w:r w:rsidRPr="00730CFC">
              <w:rPr>
                <w:rFonts w:ascii="Arial" w:hAnsi="Arial" w:cs="Arial"/>
                <w:bCs/>
                <w:iCs/>
              </w:rPr>
              <w:t>ROSCI0389</w:t>
            </w:r>
          </w:p>
        </w:tc>
        <w:tc>
          <w:tcPr>
            <w:tcW w:w="3026"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rPr>
                <w:rFonts w:ascii="Arial" w:hAnsi="Arial" w:cs="Arial"/>
              </w:rPr>
            </w:pPr>
            <w:r w:rsidRPr="00730CFC">
              <w:rPr>
                <w:rFonts w:ascii="Arial" w:hAnsi="Arial" w:cs="Arial"/>
              </w:rPr>
              <w:t>ROSPA0111 Berteştii de Sus-Gura Ialomiţei</w:t>
            </w:r>
          </w:p>
        </w:tc>
        <w:tc>
          <w:tcPr>
            <w:tcW w:w="181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w:t>
            </w:r>
          </w:p>
        </w:tc>
        <w:tc>
          <w:tcPr>
            <w:tcW w:w="850"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851"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8"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c>
          <w:tcPr>
            <w:tcW w:w="709"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992" w:type="dxa"/>
            <w:tcBorders>
              <w:top w:val="single" w:sz="4" w:space="0" w:color="auto"/>
              <w:left w:val="single" w:sz="4" w:space="0" w:color="auto"/>
              <w:bottom w:val="single" w:sz="4" w:space="0" w:color="auto"/>
              <w:right w:val="single" w:sz="4" w:space="0" w:color="auto"/>
            </w:tcBorders>
            <w:noWrap/>
          </w:tcPr>
          <w:p w:rsidR="000F4FEA" w:rsidRPr="00730CFC" w:rsidRDefault="000F4FEA" w:rsidP="00012F90">
            <w:pPr>
              <w:jc w:val="both"/>
              <w:rPr>
                <w:rFonts w:ascii="Arial" w:hAnsi="Arial" w:cs="Arial"/>
              </w:rPr>
            </w:pPr>
          </w:p>
        </w:tc>
        <w:tc>
          <w:tcPr>
            <w:tcW w:w="709" w:type="dxa"/>
            <w:tcBorders>
              <w:top w:val="single" w:sz="4" w:space="0" w:color="auto"/>
              <w:left w:val="single" w:sz="4" w:space="0" w:color="auto"/>
              <w:bottom w:val="single" w:sz="4" w:space="0" w:color="auto"/>
              <w:right w:val="single" w:sz="4" w:space="0" w:color="auto"/>
            </w:tcBorders>
            <w:noWrap/>
            <w:hideMark/>
          </w:tcPr>
          <w:p w:rsidR="000F4FEA" w:rsidRPr="00730CFC" w:rsidRDefault="000F4FEA" w:rsidP="00012F90">
            <w:pPr>
              <w:jc w:val="both"/>
              <w:rPr>
                <w:rFonts w:ascii="Arial" w:hAnsi="Arial" w:cs="Arial"/>
              </w:rPr>
            </w:pPr>
            <w:r w:rsidRPr="00730CFC">
              <w:rPr>
                <w:rFonts w:ascii="Arial" w:hAnsi="Arial" w:cs="Arial"/>
              </w:rPr>
              <w:t>X</w:t>
            </w:r>
          </w:p>
        </w:tc>
      </w:tr>
    </w:tbl>
    <w:p w:rsidR="000F4FEA" w:rsidRPr="00730CFC" w:rsidRDefault="000F4FEA" w:rsidP="00012F90">
      <w:pPr>
        <w:pStyle w:val="Footer"/>
        <w:jc w:val="both"/>
        <w:rPr>
          <w:rFonts w:ascii="Arial" w:hAnsi="Arial" w:cs="Arial"/>
          <w:lang w:val="ro-RO"/>
        </w:rPr>
      </w:pPr>
      <w:r w:rsidRPr="00730CFC">
        <w:rPr>
          <w:rFonts w:ascii="Arial" w:hAnsi="Arial" w:cs="Arial"/>
          <w:lang w:val="ro-RO"/>
        </w:rPr>
        <w:t>SCI -</w:t>
      </w:r>
      <w:r w:rsidRPr="00730CFC">
        <w:rPr>
          <w:rFonts w:ascii="Arial" w:hAnsi="Arial" w:cs="Arial"/>
        </w:rPr>
        <w:t xml:space="preserve"> sit de importanţă comunitară</w:t>
      </w:r>
    </w:p>
    <w:p w:rsidR="000F4FEA" w:rsidRDefault="000F4FEA" w:rsidP="00012F90">
      <w:pPr>
        <w:pStyle w:val="Footer"/>
        <w:jc w:val="both"/>
        <w:rPr>
          <w:rFonts w:ascii="Arial" w:hAnsi="Arial" w:cs="Arial"/>
          <w:lang w:val="ro-RO"/>
        </w:rPr>
      </w:pPr>
      <w:r w:rsidRPr="00730CFC">
        <w:rPr>
          <w:rFonts w:ascii="Arial" w:hAnsi="Arial" w:cs="Arial"/>
          <w:lang w:val="ro-RO"/>
        </w:rPr>
        <w:t>SPA- arie de protecție specială avifaunistică</w:t>
      </w:r>
    </w:p>
    <w:p w:rsidR="000F4FEA" w:rsidRPr="00730CFC" w:rsidRDefault="000F4FEA" w:rsidP="00012F90">
      <w:pPr>
        <w:pStyle w:val="Footer"/>
        <w:jc w:val="both"/>
        <w:rPr>
          <w:rFonts w:ascii="Arial" w:hAnsi="Arial" w:cs="Arial"/>
          <w:b/>
          <w:u w:val="single"/>
          <w:lang w:val="ro-RO"/>
        </w:rPr>
        <w:sectPr w:rsidR="000F4FEA" w:rsidRPr="00730CFC" w:rsidSect="00012F90">
          <w:pgSz w:w="16840" w:h="11907" w:orient="landscape" w:code="9"/>
          <w:pgMar w:top="1134" w:right="850" w:bottom="851" w:left="1276" w:header="709" w:footer="709" w:gutter="0"/>
          <w:cols w:space="708"/>
        </w:sectPr>
      </w:pPr>
    </w:p>
    <w:p w:rsidR="000F4FEA" w:rsidRDefault="000F4FEA" w:rsidP="00012F90">
      <w:pPr>
        <w:pStyle w:val="Footer"/>
        <w:ind w:right="-402"/>
        <w:jc w:val="both"/>
        <w:rPr>
          <w:rFonts w:ascii="Arial" w:hAnsi="Arial" w:cs="Arial"/>
          <w:b/>
          <w:u w:val="single"/>
          <w:lang w:val="ro-RO"/>
        </w:rPr>
      </w:pPr>
    </w:p>
    <w:p w:rsidR="00311682" w:rsidRDefault="00311682" w:rsidP="00012F90">
      <w:pPr>
        <w:pStyle w:val="Footer"/>
        <w:ind w:right="-402"/>
        <w:jc w:val="both"/>
        <w:rPr>
          <w:rFonts w:ascii="Arial" w:hAnsi="Arial" w:cs="Arial"/>
          <w:b/>
          <w:u w:val="single"/>
          <w:lang w:val="ro-RO"/>
        </w:rPr>
      </w:pPr>
    </w:p>
    <w:p w:rsidR="00311682" w:rsidRDefault="00311682" w:rsidP="00311682">
      <w:pPr>
        <w:pStyle w:val="BodyTextIndent2"/>
        <w:spacing w:after="0" w:line="240" w:lineRule="auto"/>
        <w:ind w:left="0"/>
        <w:jc w:val="both"/>
        <w:rPr>
          <w:rFonts w:ascii="Arial" w:hAnsi="Arial" w:cs="Arial"/>
          <w:b/>
          <w:lang w:val="en-US"/>
        </w:rPr>
      </w:pPr>
      <w:r w:rsidRPr="00906406">
        <w:rPr>
          <w:rFonts w:ascii="Arial" w:hAnsi="Arial" w:cs="Arial"/>
          <w:b/>
          <w:lang w:val="en-US"/>
        </w:rPr>
        <w:t>VI. PǍDURILE</w:t>
      </w:r>
    </w:p>
    <w:p w:rsidR="00311682" w:rsidRPr="000600F0" w:rsidRDefault="00311682" w:rsidP="00311682">
      <w:pPr>
        <w:ind w:firstLine="708"/>
        <w:rPr>
          <w:rFonts w:ascii="Arial" w:hAnsi="Arial" w:cs="Arial"/>
          <w:b/>
          <w:lang w:val="ro-RO"/>
        </w:rPr>
      </w:pPr>
      <w:r>
        <w:rPr>
          <w:rFonts w:ascii="Arial" w:hAnsi="Arial" w:cs="Arial"/>
          <w:b/>
          <w:lang w:val="en-US"/>
        </w:rPr>
        <w:t>VI.1. Fondul forestier național</w:t>
      </w:r>
    </w:p>
    <w:p w:rsidR="00311682" w:rsidRDefault="00311682" w:rsidP="00311682">
      <w:pPr>
        <w:ind w:firstLine="708"/>
        <w:rPr>
          <w:rFonts w:ascii="Arial" w:hAnsi="Arial" w:cs="Arial"/>
          <w:b/>
          <w:lang w:val="en-US"/>
        </w:rPr>
      </w:pPr>
      <w:r w:rsidRPr="00906406">
        <w:rPr>
          <w:rFonts w:ascii="Arial" w:hAnsi="Arial" w:cs="Arial"/>
          <w:b/>
          <w:lang w:val="en-US"/>
        </w:rPr>
        <w:t>VI.1.1. Evoluţia suprafeţei fondului forestier</w:t>
      </w:r>
      <w:r>
        <w:rPr>
          <w:rFonts w:ascii="Arial" w:hAnsi="Arial" w:cs="Arial"/>
          <w:b/>
          <w:lang w:val="en-US"/>
        </w:rPr>
        <w:t xml:space="preserve"> </w:t>
      </w:r>
    </w:p>
    <w:p w:rsidR="00EB31BB" w:rsidRDefault="00EB31BB" w:rsidP="00311682">
      <w:pPr>
        <w:ind w:firstLine="708"/>
        <w:rPr>
          <w:rFonts w:ascii="Arial" w:hAnsi="Arial" w:cs="Arial"/>
          <w:b/>
          <w:lang w:val="en-US"/>
        </w:rPr>
      </w:pPr>
    </w:p>
    <w:p w:rsidR="00311682" w:rsidRDefault="00311682" w:rsidP="00311682">
      <w:pPr>
        <w:jc w:val="both"/>
        <w:rPr>
          <w:rFonts w:ascii="Arial" w:hAnsi="Arial" w:cs="Arial"/>
        </w:rPr>
      </w:pPr>
      <w:r w:rsidRPr="00376DF4">
        <w:rPr>
          <w:sz w:val="20"/>
          <w:szCs w:val="20"/>
        </w:rPr>
        <w:t xml:space="preserve"> </w:t>
      </w:r>
      <w:r w:rsidRPr="00F460D2">
        <w:rPr>
          <w:rFonts w:ascii="Arial" w:hAnsi="Arial" w:cs="Arial"/>
        </w:rPr>
        <w:t>Fondul forestier cuprinde păduri şi alte terenuri împădurite, clasificat în funcţie de tipul de pădure şi de disponibilitatea de furnizare a lemnului; fondul forestier naţional cuprinde totalitatea pădurilor, a terenurilor destinate împăduririi, a terenurilor cu destinaţie forestieră şi neproductivă, cuprinse în angajamentele silvice la 01.01.1990 sau incluse ulterior, în condiţiile legii, indiferent de forma de proprietate; sunt considerate păduri, în sensul Codului Silvic, şi sunt incluse în fondul forestier naţional, terenurile cu o suprafaţă de cel puţin 0,25 ha, acoperite cu arbori; arborii trebuie să atingă o înălţime minimă de 5 m la maturitate în condiţii normale de vegetaţie</w:t>
      </w:r>
      <w:r>
        <w:rPr>
          <w:rFonts w:ascii="Arial" w:hAnsi="Arial" w:cs="Arial"/>
        </w:rPr>
        <w:t>.</w:t>
      </w:r>
    </w:p>
    <w:p w:rsidR="00EB31BB" w:rsidRDefault="00EB31BB" w:rsidP="00311682">
      <w:pPr>
        <w:jc w:val="both"/>
        <w:rPr>
          <w:rFonts w:ascii="Arial" w:hAnsi="Arial" w:cs="Arial"/>
        </w:rPr>
      </w:pPr>
    </w:p>
    <w:p w:rsidR="00311682" w:rsidRPr="000600F0" w:rsidRDefault="00311682" w:rsidP="00311682">
      <w:pPr>
        <w:rPr>
          <w:rFonts w:ascii="Arial" w:hAnsi="Arial" w:cs="Arial"/>
          <w:b/>
          <w:lang w:val="en-US"/>
        </w:rPr>
      </w:pPr>
      <w:r w:rsidRPr="000600F0">
        <w:rPr>
          <w:rFonts w:ascii="Arial" w:hAnsi="Arial" w:cs="Arial"/>
          <w:b/>
          <w:lang w:val="en-US"/>
        </w:rPr>
        <w:t>Tabelul nr. VI.1.1. -1  Evoluţia fondului forestier în judeţul Brăila, în perioada anilor  2010-2014</w:t>
      </w:r>
    </w:p>
    <w:tbl>
      <w:tblPr>
        <w:tblStyle w:val="TableGrid"/>
        <w:tblW w:w="0" w:type="auto"/>
        <w:tblInd w:w="108" w:type="dxa"/>
        <w:tblLook w:val="04A0"/>
      </w:tblPr>
      <w:tblGrid>
        <w:gridCol w:w="3828"/>
        <w:gridCol w:w="992"/>
        <w:gridCol w:w="1134"/>
        <w:gridCol w:w="1134"/>
        <w:gridCol w:w="992"/>
        <w:gridCol w:w="1100"/>
      </w:tblGrid>
      <w:tr w:rsidR="00311682" w:rsidRPr="009B61C5" w:rsidTr="004E468C">
        <w:tc>
          <w:tcPr>
            <w:tcW w:w="3828" w:type="dxa"/>
          </w:tcPr>
          <w:p w:rsidR="00311682" w:rsidRPr="009B61C5" w:rsidRDefault="00311682" w:rsidP="004E468C">
            <w:pPr>
              <w:rPr>
                <w:rFonts w:ascii="Arial" w:hAnsi="Arial" w:cs="Arial"/>
                <w:lang w:val="en-US"/>
              </w:rPr>
            </w:pPr>
          </w:p>
        </w:tc>
        <w:tc>
          <w:tcPr>
            <w:tcW w:w="992" w:type="dxa"/>
          </w:tcPr>
          <w:p w:rsidR="00311682" w:rsidRPr="009B61C5" w:rsidRDefault="00311682" w:rsidP="004E468C">
            <w:pPr>
              <w:rPr>
                <w:rFonts w:ascii="Arial" w:hAnsi="Arial" w:cs="Arial"/>
                <w:lang w:val="en-US"/>
              </w:rPr>
            </w:pPr>
            <w:r w:rsidRPr="009B61C5">
              <w:rPr>
                <w:rFonts w:ascii="Arial" w:hAnsi="Arial" w:cs="Arial"/>
                <w:lang w:val="en-US"/>
              </w:rPr>
              <w:t>2010</w:t>
            </w:r>
          </w:p>
        </w:tc>
        <w:tc>
          <w:tcPr>
            <w:tcW w:w="1134" w:type="dxa"/>
          </w:tcPr>
          <w:p w:rsidR="00311682" w:rsidRPr="009B61C5" w:rsidRDefault="00311682" w:rsidP="004E468C">
            <w:pPr>
              <w:rPr>
                <w:rFonts w:ascii="Arial" w:hAnsi="Arial" w:cs="Arial"/>
                <w:lang w:val="en-US"/>
              </w:rPr>
            </w:pPr>
            <w:r w:rsidRPr="009B61C5">
              <w:rPr>
                <w:rFonts w:ascii="Arial" w:hAnsi="Arial" w:cs="Arial"/>
                <w:lang w:val="en-US"/>
              </w:rPr>
              <w:t>2011</w:t>
            </w:r>
          </w:p>
        </w:tc>
        <w:tc>
          <w:tcPr>
            <w:tcW w:w="1134" w:type="dxa"/>
          </w:tcPr>
          <w:p w:rsidR="00311682" w:rsidRPr="009B61C5" w:rsidRDefault="00311682" w:rsidP="004E468C">
            <w:pPr>
              <w:rPr>
                <w:rFonts w:ascii="Arial" w:hAnsi="Arial" w:cs="Arial"/>
                <w:lang w:val="en-US"/>
              </w:rPr>
            </w:pPr>
            <w:r w:rsidRPr="009B61C5">
              <w:rPr>
                <w:rFonts w:ascii="Arial" w:hAnsi="Arial" w:cs="Arial"/>
                <w:lang w:val="en-US"/>
              </w:rPr>
              <w:t>2012</w:t>
            </w:r>
          </w:p>
        </w:tc>
        <w:tc>
          <w:tcPr>
            <w:tcW w:w="992" w:type="dxa"/>
          </w:tcPr>
          <w:p w:rsidR="00311682" w:rsidRPr="009B61C5" w:rsidRDefault="00311682" w:rsidP="004E468C">
            <w:pPr>
              <w:rPr>
                <w:rFonts w:ascii="Arial" w:hAnsi="Arial" w:cs="Arial"/>
                <w:lang w:val="en-US"/>
              </w:rPr>
            </w:pPr>
            <w:r w:rsidRPr="009B61C5">
              <w:rPr>
                <w:rFonts w:ascii="Arial" w:hAnsi="Arial" w:cs="Arial"/>
                <w:lang w:val="en-US"/>
              </w:rPr>
              <w:t>2013</w:t>
            </w:r>
          </w:p>
        </w:tc>
        <w:tc>
          <w:tcPr>
            <w:tcW w:w="1100" w:type="dxa"/>
          </w:tcPr>
          <w:p w:rsidR="00311682" w:rsidRPr="009B61C5" w:rsidRDefault="00311682" w:rsidP="004E468C">
            <w:pPr>
              <w:rPr>
                <w:rFonts w:ascii="Arial" w:hAnsi="Arial" w:cs="Arial"/>
                <w:lang w:val="en-US"/>
              </w:rPr>
            </w:pPr>
            <w:r w:rsidRPr="009B61C5">
              <w:rPr>
                <w:rFonts w:ascii="Arial" w:hAnsi="Arial" w:cs="Arial"/>
                <w:lang w:val="en-US"/>
              </w:rPr>
              <w:t>2014</w:t>
            </w:r>
          </w:p>
        </w:tc>
      </w:tr>
      <w:tr w:rsidR="00311682" w:rsidRPr="009B61C5" w:rsidTr="004E468C">
        <w:tc>
          <w:tcPr>
            <w:tcW w:w="3828" w:type="dxa"/>
          </w:tcPr>
          <w:p w:rsidR="00311682" w:rsidRPr="009B61C5" w:rsidRDefault="00311682" w:rsidP="004E468C">
            <w:pPr>
              <w:rPr>
                <w:rFonts w:ascii="Arial" w:hAnsi="Arial" w:cs="Arial"/>
                <w:lang w:val="en-US"/>
              </w:rPr>
            </w:pPr>
            <w:r w:rsidRPr="009B61C5">
              <w:rPr>
                <w:rFonts w:ascii="Arial" w:hAnsi="Arial" w:cs="Arial"/>
                <w:lang w:val="en-US"/>
              </w:rPr>
              <w:t>Fond forestier (</w:t>
            </w:r>
            <w:r>
              <w:rPr>
                <w:rFonts w:ascii="Arial" w:hAnsi="Arial" w:cs="Arial"/>
                <w:lang w:val="en-US"/>
              </w:rPr>
              <w:t xml:space="preserve">mii </w:t>
            </w:r>
            <w:r w:rsidRPr="009B61C5">
              <w:rPr>
                <w:rFonts w:ascii="Arial" w:hAnsi="Arial" w:cs="Arial"/>
                <w:lang w:val="en-US"/>
              </w:rPr>
              <w:t>ha)</w:t>
            </w:r>
          </w:p>
        </w:tc>
        <w:tc>
          <w:tcPr>
            <w:tcW w:w="992" w:type="dxa"/>
          </w:tcPr>
          <w:p w:rsidR="00311682" w:rsidRPr="003C0582" w:rsidRDefault="00311682" w:rsidP="004E468C">
            <w:pPr>
              <w:rPr>
                <w:rFonts w:ascii="Arial" w:eastAsia="Calibri" w:hAnsi="Arial" w:cs="Arial"/>
              </w:rPr>
            </w:pPr>
            <w:r w:rsidRPr="003C0582">
              <w:rPr>
                <w:rFonts w:ascii="Arial" w:eastAsia="Calibri" w:hAnsi="Arial" w:cs="Arial"/>
              </w:rPr>
              <w:t>27787</w:t>
            </w:r>
          </w:p>
        </w:tc>
        <w:tc>
          <w:tcPr>
            <w:tcW w:w="1134" w:type="dxa"/>
          </w:tcPr>
          <w:p w:rsidR="00311682" w:rsidRPr="003C0582" w:rsidRDefault="00311682" w:rsidP="004E468C">
            <w:pPr>
              <w:rPr>
                <w:rFonts w:ascii="Arial" w:eastAsia="Calibri" w:hAnsi="Arial" w:cs="Arial"/>
              </w:rPr>
            </w:pPr>
            <w:r w:rsidRPr="003C0582">
              <w:rPr>
                <w:rFonts w:ascii="Arial" w:eastAsia="Calibri" w:hAnsi="Arial" w:cs="Arial"/>
              </w:rPr>
              <w:t>27267</w:t>
            </w:r>
          </w:p>
        </w:tc>
        <w:tc>
          <w:tcPr>
            <w:tcW w:w="1134" w:type="dxa"/>
          </w:tcPr>
          <w:p w:rsidR="00311682" w:rsidRPr="003C0582" w:rsidRDefault="00311682" w:rsidP="004E468C">
            <w:pPr>
              <w:rPr>
                <w:rFonts w:ascii="Arial" w:eastAsia="Calibri" w:hAnsi="Arial" w:cs="Arial"/>
              </w:rPr>
            </w:pPr>
            <w:r w:rsidRPr="003C0582">
              <w:rPr>
                <w:rFonts w:ascii="Arial" w:eastAsia="Calibri" w:hAnsi="Arial" w:cs="Arial"/>
              </w:rPr>
              <w:t>27787</w:t>
            </w:r>
          </w:p>
        </w:tc>
        <w:tc>
          <w:tcPr>
            <w:tcW w:w="992" w:type="dxa"/>
          </w:tcPr>
          <w:p w:rsidR="00311682" w:rsidRPr="003C0582" w:rsidRDefault="00311682" w:rsidP="004E468C">
            <w:pPr>
              <w:rPr>
                <w:rFonts w:ascii="Arial" w:eastAsia="Calibri" w:hAnsi="Arial" w:cs="Arial"/>
              </w:rPr>
            </w:pPr>
            <w:r w:rsidRPr="003C0582">
              <w:rPr>
                <w:rFonts w:ascii="Arial" w:eastAsia="Calibri" w:hAnsi="Arial" w:cs="Arial"/>
              </w:rPr>
              <w:t>27835</w:t>
            </w:r>
          </w:p>
        </w:tc>
        <w:tc>
          <w:tcPr>
            <w:tcW w:w="1100" w:type="dxa"/>
          </w:tcPr>
          <w:p w:rsidR="00311682" w:rsidRPr="003C0582" w:rsidRDefault="00311682" w:rsidP="004E468C">
            <w:pPr>
              <w:rPr>
                <w:rFonts w:ascii="Arial" w:eastAsia="Calibri" w:hAnsi="Arial" w:cs="Arial"/>
              </w:rPr>
            </w:pPr>
            <w:r w:rsidRPr="003C0582">
              <w:rPr>
                <w:rFonts w:ascii="Arial" w:eastAsia="Calibri" w:hAnsi="Arial" w:cs="Arial"/>
              </w:rPr>
              <w:t>27414</w:t>
            </w:r>
          </w:p>
        </w:tc>
      </w:tr>
    </w:tbl>
    <w:p w:rsidR="00311682" w:rsidRDefault="00311682" w:rsidP="00311682">
      <w:pPr>
        <w:jc w:val="both"/>
        <w:rPr>
          <w:rFonts w:ascii="Arial" w:hAnsi="Arial" w:cs="Arial"/>
        </w:rPr>
      </w:pPr>
    </w:p>
    <w:p w:rsidR="00311682" w:rsidRDefault="00311682" w:rsidP="00311682">
      <w:pPr>
        <w:jc w:val="center"/>
        <w:rPr>
          <w:color w:val="00B050"/>
        </w:rPr>
      </w:pPr>
      <w:r>
        <w:rPr>
          <w:noProof/>
          <w:color w:val="00B050"/>
          <w:lang w:val="ro-RO" w:eastAsia="ro-RO"/>
        </w:rPr>
        <w:drawing>
          <wp:inline distT="0" distB="0" distL="0" distR="0">
            <wp:extent cx="4448175" cy="2019300"/>
            <wp:effectExtent l="19050" t="0" r="9525" b="0"/>
            <wp:docPr id="118"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94"/>
              </a:graphicData>
            </a:graphic>
          </wp:inline>
        </w:drawing>
      </w:r>
    </w:p>
    <w:p w:rsidR="00EB31BB" w:rsidRDefault="00EB31BB" w:rsidP="00311682">
      <w:pPr>
        <w:jc w:val="center"/>
        <w:rPr>
          <w:color w:val="00B050"/>
        </w:rPr>
      </w:pPr>
    </w:p>
    <w:p w:rsidR="00311682" w:rsidRDefault="00311682" w:rsidP="00311682">
      <w:pPr>
        <w:rPr>
          <w:rFonts w:ascii="Arial" w:hAnsi="Arial" w:cs="Arial"/>
          <w:lang w:val="en-US"/>
        </w:rPr>
      </w:pPr>
      <w:r>
        <w:rPr>
          <w:rFonts w:ascii="Arial" w:hAnsi="Arial" w:cs="Arial"/>
        </w:rPr>
        <w:t xml:space="preserve">Figura nr. </w:t>
      </w:r>
      <w:r w:rsidRPr="003D369C">
        <w:rPr>
          <w:rFonts w:ascii="Arial" w:hAnsi="Arial" w:cs="Arial"/>
        </w:rPr>
        <w:t xml:space="preserve">  </w:t>
      </w:r>
      <w:r w:rsidRPr="003D369C">
        <w:rPr>
          <w:rFonts w:ascii="Arial" w:hAnsi="Arial" w:cs="Arial"/>
          <w:b/>
          <w:lang w:val="en-US"/>
        </w:rPr>
        <w:t>VI.1.1. -</w:t>
      </w:r>
      <w:r>
        <w:rPr>
          <w:rFonts w:ascii="Arial" w:hAnsi="Arial" w:cs="Arial"/>
          <w:b/>
          <w:lang w:val="en-US"/>
        </w:rPr>
        <w:t xml:space="preserve"> 1</w:t>
      </w:r>
      <w:r w:rsidRPr="003D369C">
        <w:rPr>
          <w:rFonts w:ascii="Arial" w:hAnsi="Arial" w:cs="Arial"/>
          <w:b/>
          <w:lang w:val="en-US"/>
        </w:rPr>
        <w:t xml:space="preserve"> </w:t>
      </w:r>
      <w:r w:rsidRPr="009B61C5">
        <w:rPr>
          <w:rFonts w:ascii="Arial" w:hAnsi="Arial" w:cs="Arial"/>
          <w:lang w:val="en-US"/>
        </w:rPr>
        <w:t xml:space="preserve">Evoluţia fondului forestier în judeţul </w:t>
      </w:r>
      <w:r>
        <w:rPr>
          <w:rFonts w:ascii="Arial" w:hAnsi="Arial" w:cs="Arial"/>
          <w:lang w:val="en-US"/>
        </w:rPr>
        <w:t>Brăila</w:t>
      </w:r>
      <w:r w:rsidRPr="009B61C5">
        <w:rPr>
          <w:rFonts w:ascii="Arial" w:hAnsi="Arial" w:cs="Arial"/>
          <w:lang w:val="en-US"/>
        </w:rPr>
        <w:t xml:space="preserve">, în perioada anilor </w:t>
      </w:r>
      <w:r>
        <w:rPr>
          <w:rFonts w:ascii="Arial" w:hAnsi="Arial" w:cs="Arial"/>
          <w:lang w:val="en-US"/>
        </w:rPr>
        <w:t xml:space="preserve"> </w:t>
      </w:r>
      <w:r w:rsidRPr="009B61C5">
        <w:rPr>
          <w:rFonts w:ascii="Arial" w:hAnsi="Arial" w:cs="Arial"/>
          <w:lang w:val="en-US"/>
        </w:rPr>
        <w:t>2010-2014</w:t>
      </w:r>
    </w:p>
    <w:p w:rsidR="00311682" w:rsidRDefault="00311682" w:rsidP="00311682">
      <w:pPr>
        <w:pStyle w:val="Header"/>
        <w:spacing w:line="276" w:lineRule="auto"/>
        <w:jc w:val="both"/>
        <w:rPr>
          <w:rFonts w:ascii="Arial" w:hAnsi="Arial" w:cs="Arial"/>
          <w:sz w:val="24"/>
          <w:szCs w:val="24"/>
        </w:rPr>
      </w:pPr>
    </w:p>
    <w:p w:rsidR="00311682" w:rsidRPr="00424113" w:rsidRDefault="00311682" w:rsidP="00311682">
      <w:pPr>
        <w:pStyle w:val="Header"/>
        <w:jc w:val="both"/>
        <w:rPr>
          <w:rFonts w:ascii="Arial" w:hAnsi="Arial" w:cs="Arial"/>
          <w:b/>
          <w:color w:val="000000"/>
          <w:sz w:val="24"/>
          <w:szCs w:val="24"/>
        </w:rPr>
      </w:pPr>
      <w:r w:rsidRPr="00424113">
        <w:rPr>
          <w:rFonts w:ascii="Arial" w:hAnsi="Arial" w:cs="Arial"/>
          <w:sz w:val="24"/>
          <w:szCs w:val="24"/>
        </w:rPr>
        <w:t xml:space="preserve">Conform datelor furnizate de către Inspectoratul </w:t>
      </w:r>
      <w:r>
        <w:rPr>
          <w:rFonts w:ascii="Arial" w:hAnsi="Arial" w:cs="Arial"/>
          <w:sz w:val="24"/>
          <w:szCs w:val="24"/>
        </w:rPr>
        <w:t>Comisariatul  d</w:t>
      </w:r>
      <w:r w:rsidRPr="00424113">
        <w:rPr>
          <w:rFonts w:ascii="Arial" w:hAnsi="Arial" w:cs="Arial"/>
          <w:sz w:val="24"/>
          <w:szCs w:val="24"/>
        </w:rPr>
        <w:t xml:space="preserve">e  Regim  Silvic </w:t>
      </w:r>
      <w:r>
        <w:rPr>
          <w:rFonts w:ascii="Arial" w:hAnsi="Arial" w:cs="Arial"/>
          <w:sz w:val="24"/>
          <w:szCs w:val="24"/>
        </w:rPr>
        <w:t xml:space="preserve"> ş</w:t>
      </w:r>
      <w:r w:rsidRPr="00424113">
        <w:rPr>
          <w:rFonts w:ascii="Arial" w:hAnsi="Arial" w:cs="Arial"/>
          <w:sz w:val="24"/>
          <w:szCs w:val="24"/>
        </w:rPr>
        <w:t>i   Cinegetic Focşani suprafaţa fondului forestier al judeţului Brăila era în anul 2014 de 27414 ha</w:t>
      </w:r>
      <w:r>
        <w:rPr>
          <w:rFonts w:ascii="Arial" w:hAnsi="Arial" w:cs="Arial"/>
          <w:sz w:val="24"/>
          <w:szCs w:val="24"/>
        </w:rPr>
        <w:t xml:space="preserve"> </w:t>
      </w:r>
      <w:r w:rsidRPr="00424113">
        <w:rPr>
          <w:rFonts w:ascii="Arial" w:hAnsi="Arial" w:cs="Arial"/>
          <w:sz w:val="24"/>
          <w:szCs w:val="24"/>
        </w:rPr>
        <w:t xml:space="preserve">din care cea mai mare este proprietate de stat (24049ha). </w:t>
      </w:r>
    </w:p>
    <w:p w:rsidR="00311682" w:rsidRDefault="00311682" w:rsidP="00311682">
      <w:pPr>
        <w:jc w:val="both"/>
        <w:rPr>
          <w:rFonts w:ascii="Arial" w:hAnsi="Arial" w:cs="Arial"/>
        </w:rPr>
      </w:pPr>
      <w:r w:rsidRPr="00424113">
        <w:rPr>
          <w:rFonts w:ascii="Arial" w:hAnsi="Arial" w:cs="Arial"/>
        </w:rPr>
        <w:t>Repartizarea pe forme de proprietate a suprafeţelor din fondul forestier în perioada 2010-2014 este redată în tabelul următor:</w:t>
      </w:r>
    </w:p>
    <w:p w:rsidR="00311682" w:rsidRDefault="00311682" w:rsidP="00311682">
      <w:pPr>
        <w:jc w:val="both"/>
        <w:rPr>
          <w:rFonts w:ascii="Arial" w:hAnsi="Arial" w:cs="Arial"/>
        </w:rPr>
      </w:pPr>
    </w:p>
    <w:p w:rsidR="00311682" w:rsidRDefault="00311682" w:rsidP="00311682">
      <w:pPr>
        <w:jc w:val="both"/>
        <w:rPr>
          <w:rFonts w:ascii="Arial" w:hAnsi="Arial" w:cs="Arial"/>
        </w:rPr>
      </w:pPr>
      <w:r>
        <w:rPr>
          <w:rFonts w:ascii="Arial" w:hAnsi="Arial" w:cs="Arial"/>
          <w:lang w:val="en-US"/>
        </w:rPr>
        <w:t>Tabelul nr.</w:t>
      </w:r>
      <w:r w:rsidRPr="00FB4432">
        <w:rPr>
          <w:rFonts w:ascii="Arial" w:hAnsi="Arial" w:cs="Arial"/>
          <w:b/>
          <w:lang w:val="en-US"/>
        </w:rPr>
        <w:t xml:space="preserve"> </w:t>
      </w:r>
      <w:r w:rsidRPr="00906406">
        <w:rPr>
          <w:rFonts w:ascii="Arial" w:hAnsi="Arial" w:cs="Arial"/>
          <w:b/>
          <w:lang w:val="en-US"/>
        </w:rPr>
        <w:t>VI.1.1.</w:t>
      </w:r>
      <w:r>
        <w:rPr>
          <w:rFonts w:ascii="Arial" w:hAnsi="Arial" w:cs="Arial"/>
          <w:b/>
          <w:lang w:val="en-US"/>
        </w:rPr>
        <w:t xml:space="preserve"> -2</w:t>
      </w:r>
      <w:r w:rsidRPr="00906406">
        <w:rPr>
          <w:rFonts w:ascii="Arial" w:hAnsi="Arial" w:cs="Arial"/>
          <w:b/>
          <w:lang w:val="en-US"/>
        </w:rPr>
        <w:t xml:space="preserve"> </w:t>
      </w:r>
      <w:r w:rsidRPr="00D013DC">
        <w:rPr>
          <w:rFonts w:ascii="Arial" w:hAnsi="Arial" w:cs="Arial"/>
        </w:rPr>
        <w:t>Repartiția fondului forestier în judeţul Brăila, pe forme de proprietate, în perioada anilor 2010-2014</w:t>
      </w:r>
    </w:p>
    <w:p w:rsidR="00EB31BB" w:rsidRPr="00D013DC" w:rsidRDefault="00EB31BB" w:rsidP="00311682">
      <w:pPr>
        <w:jc w:val="both"/>
        <w:rPr>
          <w:rFonts w:ascii="Arial" w:hAnsi="Arial" w:cs="Arial"/>
        </w:rPr>
      </w:pPr>
    </w:p>
    <w:tbl>
      <w:tblPr>
        <w:tblW w:w="9278" w:type="dxa"/>
        <w:jc w:val="center"/>
        <w:tblInd w:w="94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4053"/>
        <w:gridCol w:w="927"/>
        <w:gridCol w:w="1057"/>
        <w:gridCol w:w="992"/>
        <w:gridCol w:w="993"/>
        <w:gridCol w:w="1256"/>
      </w:tblGrid>
      <w:tr w:rsidR="00311682" w:rsidRPr="00D013DC" w:rsidTr="004E468C">
        <w:trPr>
          <w:trHeight w:val="211"/>
          <w:jc w:val="center"/>
        </w:trPr>
        <w:tc>
          <w:tcPr>
            <w:tcW w:w="4053" w:type="dxa"/>
            <w:vMerge w:val="restart"/>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Forma de proprietate</w:t>
            </w:r>
          </w:p>
        </w:tc>
        <w:tc>
          <w:tcPr>
            <w:tcW w:w="5225" w:type="dxa"/>
            <w:gridSpan w:val="5"/>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Suprafeţe (ha) pe ani</w:t>
            </w:r>
          </w:p>
        </w:tc>
      </w:tr>
      <w:tr w:rsidR="00311682" w:rsidRPr="00D013DC" w:rsidTr="004E468C">
        <w:trPr>
          <w:trHeight w:val="211"/>
          <w:jc w:val="center"/>
        </w:trPr>
        <w:tc>
          <w:tcPr>
            <w:tcW w:w="4053" w:type="dxa"/>
            <w:vMerge/>
            <w:tcBorders>
              <w:top w:val="single" w:sz="4" w:space="0" w:color="auto"/>
              <w:left w:val="single" w:sz="4" w:space="0" w:color="auto"/>
              <w:bottom w:val="single" w:sz="4" w:space="0" w:color="auto"/>
              <w:right w:val="single" w:sz="4" w:space="0" w:color="auto"/>
            </w:tcBorders>
            <w:vAlign w:val="center"/>
            <w:hideMark/>
          </w:tcPr>
          <w:p w:rsidR="00311682" w:rsidRPr="00D013DC" w:rsidRDefault="00311682" w:rsidP="004E468C">
            <w:pPr>
              <w:jc w:val="both"/>
              <w:rPr>
                <w:rFonts w:ascii="Arial" w:hAnsi="Arial" w:cs="Arial"/>
                <w:bCs/>
              </w:rPr>
            </w:pPr>
          </w:p>
        </w:tc>
        <w:tc>
          <w:tcPr>
            <w:tcW w:w="927"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2010</w:t>
            </w:r>
          </w:p>
        </w:tc>
        <w:tc>
          <w:tcPr>
            <w:tcW w:w="1057"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2011</w:t>
            </w:r>
          </w:p>
        </w:tc>
        <w:tc>
          <w:tcPr>
            <w:tcW w:w="992"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2012</w:t>
            </w:r>
          </w:p>
        </w:tc>
        <w:tc>
          <w:tcPr>
            <w:tcW w:w="99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2013</w:t>
            </w:r>
          </w:p>
        </w:tc>
        <w:tc>
          <w:tcPr>
            <w:tcW w:w="1256"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bCs/>
              </w:rPr>
              <w:t>2014</w:t>
            </w:r>
          </w:p>
        </w:tc>
      </w:tr>
      <w:tr w:rsidR="00311682" w:rsidRPr="00D013DC" w:rsidTr="004E468C">
        <w:trPr>
          <w:trHeight w:val="211"/>
          <w:jc w:val="center"/>
        </w:trPr>
        <w:tc>
          <w:tcPr>
            <w:tcW w:w="405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bCs/>
              </w:rPr>
            </w:pPr>
            <w:r w:rsidRPr="00D013DC">
              <w:rPr>
                <w:rFonts w:ascii="Arial" w:hAnsi="Arial" w:cs="Arial"/>
              </w:rPr>
              <w:t xml:space="preserve">Proprietate de stat </w:t>
            </w:r>
          </w:p>
        </w:tc>
        <w:tc>
          <w:tcPr>
            <w:tcW w:w="92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bCs/>
              </w:rPr>
            </w:pPr>
            <w:r w:rsidRPr="007335C0">
              <w:rPr>
                <w:rFonts w:ascii="Arial" w:hAnsi="Arial" w:cs="Arial"/>
                <w:bCs/>
              </w:rPr>
              <w:t>24030</w:t>
            </w:r>
          </w:p>
        </w:tc>
        <w:tc>
          <w:tcPr>
            <w:tcW w:w="105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bCs/>
              </w:rPr>
            </w:pPr>
            <w:r w:rsidRPr="007335C0">
              <w:rPr>
                <w:rFonts w:ascii="Arial" w:hAnsi="Arial" w:cs="Arial"/>
                <w:bCs/>
              </w:rPr>
              <w:t>24226</w:t>
            </w:r>
          </w:p>
        </w:tc>
        <w:tc>
          <w:tcPr>
            <w:tcW w:w="992"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bCs/>
              </w:rPr>
            </w:pPr>
            <w:r w:rsidRPr="007335C0">
              <w:rPr>
                <w:rFonts w:ascii="Arial" w:hAnsi="Arial" w:cs="Arial"/>
                <w:bCs/>
              </w:rPr>
              <w:t>24075</w:t>
            </w:r>
          </w:p>
        </w:tc>
        <w:tc>
          <w:tcPr>
            <w:tcW w:w="993"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bCs/>
              </w:rPr>
            </w:pPr>
            <w:r w:rsidRPr="007335C0">
              <w:rPr>
                <w:rFonts w:ascii="Arial" w:hAnsi="Arial" w:cs="Arial"/>
                <w:bCs/>
              </w:rPr>
              <w:t>24048</w:t>
            </w:r>
          </w:p>
        </w:tc>
        <w:tc>
          <w:tcPr>
            <w:tcW w:w="1256"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bCs/>
              </w:rPr>
            </w:pPr>
            <w:r w:rsidRPr="007335C0">
              <w:rPr>
                <w:rFonts w:ascii="Arial" w:hAnsi="Arial" w:cs="Arial"/>
                <w:bCs/>
              </w:rPr>
              <w:t>24049</w:t>
            </w:r>
          </w:p>
        </w:tc>
      </w:tr>
      <w:tr w:rsidR="00311682" w:rsidRPr="00D013DC" w:rsidTr="004E468C">
        <w:trPr>
          <w:trHeight w:val="398"/>
          <w:jc w:val="center"/>
        </w:trPr>
        <w:tc>
          <w:tcPr>
            <w:tcW w:w="405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rPr>
            </w:pPr>
            <w:r w:rsidRPr="00D013DC">
              <w:rPr>
                <w:rFonts w:ascii="Arial" w:hAnsi="Arial" w:cs="Arial"/>
              </w:rPr>
              <w:t>Proprietate publică a UAT</w:t>
            </w:r>
          </w:p>
        </w:tc>
        <w:tc>
          <w:tcPr>
            <w:tcW w:w="92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228</w:t>
            </w:r>
          </w:p>
        </w:tc>
        <w:tc>
          <w:tcPr>
            <w:tcW w:w="105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253</w:t>
            </w:r>
          </w:p>
        </w:tc>
        <w:tc>
          <w:tcPr>
            <w:tcW w:w="992"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382</w:t>
            </w:r>
          </w:p>
        </w:tc>
        <w:tc>
          <w:tcPr>
            <w:tcW w:w="993"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449</w:t>
            </w:r>
          </w:p>
        </w:tc>
        <w:tc>
          <w:tcPr>
            <w:tcW w:w="1256"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449</w:t>
            </w:r>
          </w:p>
        </w:tc>
      </w:tr>
      <w:tr w:rsidR="00311682" w:rsidRPr="00D013DC" w:rsidTr="004E468C">
        <w:trPr>
          <w:trHeight w:val="284"/>
          <w:jc w:val="center"/>
        </w:trPr>
        <w:tc>
          <w:tcPr>
            <w:tcW w:w="405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rPr>
            </w:pPr>
            <w:r w:rsidRPr="00D013DC">
              <w:rPr>
                <w:rFonts w:ascii="Arial" w:hAnsi="Arial" w:cs="Arial"/>
              </w:rPr>
              <w:t>Proprietate privată a persoanelor juridice</w:t>
            </w:r>
          </w:p>
        </w:tc>
        <w:tc>
          <w:tcPr>
            <w:tcW w:w="92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1935</w:t>
            </w:r>
          </w:p>
        </w:tc>
        <w:tc>
          <w:tcPr>
            <w:tcW w:w="105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935</w:t>
            </w:r>
          </w:p>
        </w:tc>
        <w:tc>
          <w:tcPr>
            <w:tcW w:w="992"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1395</w:t>
            </w:r>
          </w:p>
        </w:tc>
        <w:tc>
          <w:tcPr>
            <w:tcW w:w="993"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1520</w:t>
            </w:r>
          </w:p>
        </w:tc>
        <w:tc>
          <w:tcPr>
            <w:tcW w:w="1256"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1520</w:t>
            </w:r>
          </w:p>
        </w:tc>
      </w:tr>
      <w:tr w:rsidR="00311682" w:rsidRPr="00D013DC" w:rsidTr="004E468C">
        <w:trPr>
          <w:trHeight w:val="284"/>
          <w:jc w:val="center"/>
        </w:trPr>
        <w:tc>
          <w:tcPr>
            <w:tcW w:w="405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lang w:val="it-IT"/>
              </w:rPr>
            </w:pPr>
            <w:r w:rsidRPr="00D013DC">
              <w:rPr>
                <w:rFonts w:ascii="Arial" w:hAnsi="Arial" w:cs="Arial"/>
                <w:lang w:val="it-IT"/>
              </w:rPr>
              <w:t xml:space="preserve">Proprietate privată a persoanelor </w:t>
            </w:r>
            <w:r w:rsidRPr="00D013DC">
              <w:rPr>
                <w:rFonts w:ascii="Arial" w:hAnsi="Arial" w:cs="Arial"/>
                <w:lang w:val="it-IT"/>
              </w:rPr>
              <w:lastRenderedPageBreak/>
              <w:t>fizice</w:t>
            </w:r>
          </w:p>
        </w:tc>
        <w:tc>
          <w:tcPr>
            <w:tcW w:w="92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lastRenderedPageBreak/>
              <w:t>2594</w:t>
            </w:r>
          </w:p>
        </w:tc>
        <w:tc>
          <w:tcPr>
            <w:tcW w:w="105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1853</w:t>
            </w:r>
          </w:p>
        </w:tc>
        <w:tc>
          <w:tcPr>
            <w:tcW w:w="992"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1938</w:t>
            </w:r>
          </w:p>
        </w:tc>
        <w:tc>
          <w:tcPr>
            <w:tcW w:w="993"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1818</w:t>
            </w:r>
          </w:p>
        </w:tc>
        <w:tc>
          <w:tcPr>
            <w:tcW w:w="1256"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1396</w:t>
            </w:r>
          </w:p>
        </w:tc>
      </w:tr>
      <w:tr w:rsidR="00311682" w:rsidRPr="00D013DC" w:rsidTr="004E468C">
        <w:trPr>
          <w:trHeight w:val="284"/>
          <w:jc w:val="center"/>
        </w:trPr>
        <w:tc>
          <w:tcPr>
            <w:tcW w:w="405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rPr>
            </w:pPr>
            <w:r w:rsidRPr="00D013DC">
              <w:rPr>
                <w:rFonts w:ascii="Arial" w:hAnsi="Arial" w:cs="Arial"/>
              </w:rPr>
              <w:lastRenderedPageBreak/>
              <w:t>Total</w:t>
            </w:r>
          </w:p>
        </w:tc>
        <w:tc>
          <w:tcPr>
            <w:tcW w:w="92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27787</w:t>
            </w:r>
          </w:p>
        </w:tc>
        <w:tc>
          <w:tcPr>
            <w:tcW w:w="105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27267</w:t>
            </w:r>
          </w:p>
        </w:tc>
        <w:tc>
          <w:tcPr>
            <w:tcW w:w="992"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27787</w:t>
            </w:r>
          </w:p>
        </w:tc>
        <w:tc>
          <w:tcPr>
            <w:tcW w:w="993"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27835</w:t>
            </w:r>
          </w:p>
        </w:tc>
        <w:tc>
          <w:tcPr>
            <w:tcW w:w="1256"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27414</w:t>
            </w:r>
          </w:p>
        </w:tc>
      </w:tr>
      <w:tr w:rsidR="00311682" w:rsidRPr="00D013DC" w:rsidTr="004E468C">
        <w:trPr>
          <w:trHeight w:val="284"/>
          <w:jc w:val="center"/>
        </w:trPr>
        <w:tc>
          <w:tcPr>
            <w:tcW w:w="4053" w:type="dxa"/>
            <w:tcBorders>
              <w:top w:val="single" w:sz="4" w:space="0" w:color="auto"/>
              <w:left w:val="single" w:sz="4" w:space="0" w:color="auto"/>
              <w:bottom w:val="single" w:sz="4" w:space="0" w:color="auto"/>
              <w:right w:val="single" w:sz="4" w:space="0" w:color="auto"/>
            </w:tcBorders>
            <w:hideMark/>
          </w:tcPr>
          <w:p w:rsidR="00311682" w:rsidRPr="00D013DC" w:rsidRDefault="00311682" w:rsidP="004E468C">
            <w:pPr>
              <w:tabs>
                <w:tab w:val="left" w:pos="4860"/>
              </w:tabs>
              <w:jc w:val="both"/>
              <w:rPr>
                <w:rFonts w:ascii="Arial" w:hAnsi="Arial" w:cs="Arial"/>
              </w:rPr>
            </w:pPr>
            <w:r w:rsidRPr="00D013DC">
              <w:rPr>
                <w:rFonts w:ascii="Arial" w:hAnsi="Arial" w:cs="Arial"/>
              </w:rPr>
              <w:t>% din suprafaţa judeţului</w:t>
            </w:r>
          </w:p>
        </w:tc>
        <w:tc>
          <w:tcPr>
            <w:tcW w:w="92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17,14</w:t>
            </w:r>
          </w:p>
        </w:tc>
        <w:tc>
          <w:tcPr>
            <w:tcW w:w="1057"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17,47</w:t>
            </w:r>
          </w:p>
        </w:tc>
        <w:tc>
          <w:tcPr>
            <w:tcW w:w="992"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17,14</w:t>
            </w:r>
          </w:p>
        </w:tc>
        <w:tc>
          <w:tcPr>
            <w:tcW w:w="993"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17,11</w:t>
            </w:r>
          </w:p>
        </w:tc>
        <w:tc>
          <w:tcPr>
            <w:tcW w:w="1256" w:type="dxa"/>
            <w:tcBorders>
              <w:top w:val="single" w:sz="4" w:space="0" w:color="auto"/>
              <w:left w:val="single" w:sz="4" w:space="0" w:color="auto"/>
              <w:bottom w:val="single" w:sz="4" w:space="0" w:color="auto"/>
              <w:right w:val="single" w:sz="4" w:space="0" w:color="auto"/>
            </w:tcBorders>
            <w:hideMark/>
          </w:tcPr>
          <w:p w:rsidR="00311682" w:rsidRPr="007335C0" w:rsidRDefault="00311682" w:rsidP="004E468C">
            <w:pPr>
              <w:tabs>
                <w:tab w:val="left" w:pos="4860"/>
              </w:tabs>
              <w:rPr>
                <w:rFonts w:ascii="Arial" w:hAnsi="Arial" w:cs="Arial"/>
              </w:rPr>
            </w:pPr>
            <w:r w:rsidRPr="007335C0">
              <w:rPr>
                <w:rFonts w:ascii="Arial" w:hAnsi="Arial" w:cs="Arial"/>
              </w:rPr>
              <w:t>17,38</w:t>
            </w:r>
          </w:p>
        </w:tc>
      </w:tr>
    </w:tbl>
    <w:p w:rsidR="00311682" w:rsidRPr="009B61C5" w:rsidRDefault="00311682" w:rsidP="00311682">
      <w:pPr>
        <w:rPr>
          <w:rFonts w:ascii="Arial" w:hAnsi="Arial" w:cs="Arial"/>
          <w:lang w:val="en-US"/>
        </w:rPr>
      </w:pPr>
    </w:p>
    <w:p w:rsidR="00311682" w:rsidRDefault="00311682" w:rsidP="00311682">
      <w:pPr>
        <w:rPr>
          <w:rFonts w:ascii="Arial" w:hAnsi="Arial" w:cs="Arial"/>
          <w:lang w:val="en-US"/>
        </w:rPr>
      </w:pPr>
    </w:p>
    <w:p w:rsidR="00311682"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906406">
        <w:rPr>
          <w:rFonts w:ascii="Arial" w:hAnsi="Arial" w:cs="Arial"/>
          <w:b/>
          <w:lang w:val="en-US"/>
        </w:rPr>
        <w:t>VI.1.1.</w:t>
      </w:r>
      <w:r>
        <w:rPr>
          <w:rFonts w:ascii="Arial" w:hAnsi="Arial" w:cs="Arial"/>
          <w:b/>
          <w:lang w:val="en-US"/>
        </w:rPr>
        <w:t xml:space="preserve"> -3</w:t>
      </w:r>
      <w:r w:rsidRPr="00906406">
        <w:rPr>
          <w:rFonts w:ascii="Arial" w:hAnsi="Arial" w:cs="Arial"/>
          <w:b/>
          <w:lang w:val="en-US"/>
        </w:rPr>
        <w:t xml:space="preserve"> </w:t>
      </w:r>
      <w:r>
        <w:rPr>
          <w:rFonts w:ascii="Arial" w:hAnsi="Arial" w:cs="Arial"/>
          <w:lang w:val="en-US"/>
        </w:rPr>
        <w:t xml:space="preserve">  </w:t>
      </w:r>
      <w:r w:rsidRPr="009B61C5">
        <w:rPr>
          <w:rFonts w:ascii="Arial" w:hAnsi="Arial" w:cs="Arial"/>
          <w:lang w:val="en-US"/>
        </w:rPr>
        <w:t xml:space="preserve">Evoluţia fondului forestier în judeţul </w:t>
      </w:r>
      <w:r>
        <w:rPr>
          <w:rFonts w:ascii="Arial" w:hAnsi="Arial" w:cs="Arial"/>
          <w:lang w:val="en-US"/>
        </w:rPr>
        <w:t>Brăila</w:t>
      </w:r>
      <w:r w:rsidRPr="009B61C5">
        <w:rPr>
          <w:rFonts w:ascii="Arial" w:hAnsi="Arial" w:cs="Arial"/>
          <w:lang w:val="en-US"/>
        </w:rPr>
        <w:t xml:space="preserve">, în perioada anilor </w:t>
      </w:r>
      <w:r>
        <w:rPr>
          <w:rFonts w:ascii="Arial" w:hAnsi="Arial" w:cs="Arial"/>
          <w:lang w:val="en-US"/>
        </w:rPr>
        <w:t xml:space="preserve"> </w:t>
      </w:r>
      <w:r w:rsidRPr="009B61C5">
        <w:rPr>
          <w:rFonts w:ascii="Arial" w:hAnsi="Arial" w:cs="Arial"/>
          <w:lang w:val="en-US"/>
        </w:rPr>
        <w:t>2010-2014</w:t>
      </w:r>
    </w:p>
    <w:p w:rsidR="00311682" w:rsidRPr="009B61C5" w:rsidRDefault="00311682" w:rsidP="00311682">
      <w:pPr>
        <w:rPr>
          <w:rFonts w:ascii="Arial" w:hAnsi="Arial" w:cs="Arial"/>
          <w:lang w:val="en-US"/>
        </w:rPr>
      </w:pPr>
    </w:p>
    <w:tbl>
      <w:tblPr>
        <w:tblStyle w:val="TableGrid"/>
        <w:tblW w:w="0" w:type="auto"/>
        <w:jc w:val="center"/>
        <w:tblLook w:val="04A0"/>
      </w:tblPr>
      <w:tblGrid>
        <w:gridCol w:w="3936"/>
        <w:gridCol w:w="1017"/>
        <w:gridCol w:w="1134"/>
        <w:gridCol w:w="1134"/>
        <w:gridCol w:w="1017"/>
        <w:gridCol w:w="1100"/>
      </w:tblGrid>
      <w:tr w:rsidR="00311682" w:rsidRPr="009B61C5" w:rsidTr="004E468C">
        <w:trPr>
          <w:jc w:val="center"/>
        </w:trPr>
        <w:tc>
          <w:tcPr>
            <w:tcW w:w="3936" w:type="dxa"/>
          </w:tcPr>
          <w:p w:rsidR="00311682" w:rsidRPr="009B61C5" w:rsidRDefault="00311682" w:rsidP="004E468C">
            <w:pPr>
              <w:rPr>
                <w:rFonts w:ascii="Arial" w:hAnsi="Arial" w:cs="Arial"/>
                <w:lang w:val="en-US"/>
              </w:rPr>
            </w:pPr>
          </w:p>
        </w:tc>
        <w:tc>
          <w:tcPr>
            <w:tcW w:w="1017" w:type="dxa"/>
          </w:tcPr>
          <w:p w:rsidR="00311682" w:rsidRPr="009B61C5" w:rsidRDefault="00311682" w:rsidP="004E468C">
            <w:pPr>
              <w:rPr>
                <w:rFonts w:ascii="Arial" w:hAnsi="Arial" w:cs="Arial"/>
                <w:lang w:val="en-US"/>
              </w:rPr>
            </w:pPr>
            <w:r w:rsidRPr="009B61C5">
              <w:rPr>
                <w:rFonts w:ascii="Arial" w:hAnsi="Arial" w:cs="Arial"/>
                <w:lang w:val="en-US"/>
              </w:rPr>
              <w:t>2010</w:t>
            </w:r>
          </w:p>
        </w:tc>
        <w:tc>
          <w:tcPr>
            <w:tcW w:w="1134" w:type="dxa"/>
          </w:tcPr>
          <w:p w:rsidR="00311682" w:rsidRPr="009B61C5" w:rsidRDefault="00311682" w:rsidP="004E468C">
            <w:pPr>
              <w:rPr>
                <w:rFonts w:ascii="Arial" w:hAnsi="Arial" w:cs="Arial"/>
                <w:lang w:val="en-US"/>
              </w:rPr>
            </w:pPr>
            <w:r w:rsidRPr="009B61C5">
              <w:rPr>
                <w:rFonts w:ascii="Arial" w:hAnsi="Arial" w:cs="Arial"/>
                <w:lang w:val="en-US"/>
              </w:rPr>
              <w:t>2011</w:t>
            </w:r>
          </w:p>
        </w:tc>
        <w:tc>
          <w:tcPr>
            <w:tcW w:w="1134" w:type="dxa"/>
          </w:tcPr>
          <w:p w:rsidR="00311682" w:rsidRPr="009B61C5" w:rsidRDefault="00311682" w:rsidP="004E468C">
            <w:pPr>
              <w:rPr>
                <w:rFonts w:ascii="Arial" w:hAnsi="Arial" w:cs="Arial"/>
                <w:lang w:val="en-US"/>
              </w:rPr>
            </w:pPr>
            <w:r w:rsidRPr="009B61C5">
              <w:rPr>
                <w:rFonts w:ascii="Arial" w:hAnsi="Arial" w:cs="Arial"/>
                <w:lang w:val="en-US"/>
              </w:rPr>
              <w:t>2012</w:t>
            </w:r>
          </w:p>
        </w:tc>
        <w:tc>
          <w:tcPr>
            <w:tcW w:w="1017" w:type="dxa"/>
          </w:tcPr>
          <w:p w:rsidR="00311682" w:rsidRPr="009B61C5" w:rsidRDefault="00311682" w:rsidP="004E468C">
            <w:pPr>
              <w:rPr>
                <w:rFonts w:ascii="Arial" w:hAnsi="Arial" w:cs="Arial"/>
                <w:lang w:val="en-US"/>
              </w:rPr>
            </w:pPr>
            <w:r w:rsidRPr="009B61C5">
              <w:rPr>
                <w:rFonts w:ascii="Arial" w:hAnsi="Arial" w:cs="Arial"/>
                <w:lang w:val="en-US"/>
              </w:rPr>
              <w:t>2013</w:t>
            </w:r>
          </w:p>
        </w:tc>
        <w:tc>
          <w:tcPr>
            <w:tcW w:w="1100" w:type="dxa"/>
          </w:tcPr>
          <w:p w:rsidR="00311682" w:rsidRPr="009B61C5" w:rsidRDefault="00311682" w:rsidP="004E468C">
            <w:pPr>
              <w:rPr>
                <w:rFonts w:ascii="Arial" w:hAnsi="Arial" w:cs="Arial"/>
                <w:lang w:val="en-US"/>
              </w:rPr>
            </w:pPr>
            <w:r w:rsidRPr="009B61C5">
              <w:rPr>
                <w:rFonts w:ascii="Arial" w:hAnsi="Arial" w:cs="Arial"/>
                <w:lang w:val="en-US"/>
              </w:rPr>
              <w:t>2014</w:t>
            </w:r>
          </w:p>
        </w:tc>
      </w:tr>
      <w:tr w:rsidR="00311682" w:rsidRPr="009B61C5" w:rsidTr="004E468C">
        <w:trPr>
          <w:jc w:val="center"/>
        </w:trPr>
        <w:tc>
          <w:tcPr>
            <w:tcW w:w="3936" w:type="dxa"/>
          </w:tcPr>
          <w:p w:rsidR="00311682" w:rsidRPr="009B61C5" w:rsidRDefault="00311682" w:rsidP="004E468C">
            <w:pPr>
              <w:rPr>
                <w:rFonts w:ascii="Arial" w:hAnsi="Arial" w:cs="Arial"/>
                <w:lang w:val="en-US"/>
              </w:rPr>
            </w:pPr>
            <w:r w:rsidRPr="009B61C5">
              <w:rPr>
                <w:rFonts w:ascii="Arial" w:hAnsi="Arial" w:cs="Arial"/>
                <w:lang w:val="en-US"/>
              </w:rPr>
              <w:t>Fond forestier/populaţie ( ha/loc)</w:t>
            </w:r>
          </w:p>
        </w:tc>
        <w:tc>
          <w:tcPr>
            <w:tcW w:w="1017" w:type="dxa"/>
          </w:tcPr>
          <w:p w:rsidR="00311682" w:rsidRPr="001E77CC" w:rsidRDefault="00311682" w:rsidP="004E468C">
            <w:pPr>
              <w:rPr>
                <w:rFonts w:ascii="Arial" w:hAnsi="Arial" w:cs="Arial"/>
                <w:lang w:val="en-US"/>
              </w:rPr>
            </w:pPr>
            <w:r w:rsidRPr="001E77CC">
              <w:rPr>
                <w:rFonts w:ascii="Arial" w:hAnsi="Arial" w:cs="Arial"/>
                <w:lang w:val="en-US"/>
              </w:rPr>
              <w:t>0,0</w:t>
            </w:r>
            <w:r>
              <w:rPr>
                <w:rFonts w:ascii="Arial" w:hAnsi="Arial" w:cs="Arial"/>
                <w:lang w:val="en-US"/>
              </w:rPr>
              <w:t>74</w:t>
            </w:r>
          </w:p>
        </w:tc>
        <w:tc>
          <w:tcPr>
            <w:tcW w:w="1134" w:type="dxa"/>
          </w:tcPr>
          <w:p w:rsidR="00311682" w:rsidRPr="001E77CC" w:rsidRDefault="00311682" w:rsidP="004E468C">
            <w:pPr>
              <w:rPr>
                <w:rFonts w:ascii="Arial" w:hAnsi="Arial" w:cs="Arial"/>
                <w:lang w:val="en-US"/>
              </w:rPr>
            </w:pPr>
            <w:r w:rsidRPr="001E77CC">
              <w:rPr>
                <w:rFonts w:ascii="Arial" w:hAnsi="Arial" w:cs="Arial"/>
                <w:lang w:val="en-US"/>
              </w:rPr>
              <w:t>0,0</w:t>
            </w:r>
            <w:r>
              <w:rPr>
                <w:rFonts w:ascii="Arial" w:hAnsi="Arial" w:cs="Arial"/>
                <w:lang w:val="en-US"/>
              </w:rPr>
              <w:t>73</w:t>
            </w:r>
          </w:p>
        </w:tc>
        <w:tc>
          <w:tcPr>
            <w:tcW w:w="1134" w:type="dxa"/>
          </w:tcPr>
          <w:p w:rsidR="00311682" w:rsidRPr="001E77CC" w:rsidRDefault="00311682" w:rsidP="004E468C">
            <w:pPr>
              <w:rPr>
                <w:rFonts w:ascii="Arial" w:hAnsi="Arial" w:cs="Arial"/>
                <w:lang w:val="en-US"/>
              </w:rPr>
            </w:pPr>
            <w:r w:rsidRPr="001E77CC">
              <w:rPr>
                <w:rFonts w:ascii="Arial" w:hAnsi="Arial" w:cs="Arial"/>
                <w:lang w:val="en-US"/>
              </w:rPr>
              <w:t>0,0</w:t>
            </w:r>
            <w:r>
              <w:rPr>
                <w:rFonts w:ascii="Arial" w:hAnsi="Arial" w:cs="Arial"/>
                <w:lang w:val="en-US"/>
              </w:rPr>
              <w:t>74</w:t>
            </w:r>
          </w:p>
        </w:tc>
        <w:tc>
          <w:tcPr>
            <w:tcW w:w="1017" w:type="dxa"/>
          </w:tcPr>
          <w:p w:rsidR="00311682" w:rsidRPr="001E77CC" w:rsidRDefault="00311682" w:rsidP="004E468C">
            <w:pPr>
              <w:rPr>
                <w:rFonts w:ascii="Arial" w:hAnsi="Arial" w:cs="Arial"/>
                <w:lang w:val="en-US"/>
              </w:rPr>
            </w:pPr>
            <w:r w:rsidRPr="001E77CC">
              <w:rPr>
                <w:rFonts w:ascii="Arial" w:hAnsi="Arial" w:cs="Arial"/>
                <w:lang w:val="en-US"/>
              </w:rPr>
              <w:t>0,0</w:t>
            </w:r>
            <w:r>
              <w:rPr>
                <w:rFonts w:ascii="Arial" w:hAnsi="Arial" w:cs="Arial"/>
                <w:lang w:val="en-US"/>
              </w:rPr>
              <w:t>74</w:t>
            </w:r>
          </w:p>
        </w:tc>
        <w:tc>
          <w:tcPr>
            <w:tcW w:w="1100" w:type="dxa"/>
          </w:tcPr>
          <w:p w:rsidR="00311682" w:rsidRPr="009B61C5" w:rsidRDefault="00311682" w:rsidP="004E468C">
            <w:pPr>
              <w:rPr>
                <w:rFonts w:ascii="Arial" w:hAnsi="Arial" w:cs="Arial"/>
                <w:lang w:val="en-US"/>
              </w:rPr>
            </w:pPr>
            <w:r>
              <w:rPr>
                <w:rFonts w:ascii="Arial" w:hAnsi="Arial" w:cs="Arial"/>
                <w:lang w:val="en-US"/>
              </w:rPr>
              <w:t>0,073</w:t>
            </w:r>
          </w:p>
        </w:tc>
      </w:tr>
    </w:tbl>
    <w:p w:rsidR="00311682" w:rsidRDefault="00311682" w:rsidP="00311682">
      <w:pPr>
        <w:pStyle w:val="Default"/>
        <w:jc w:val="both"/>
        <w:rPr>
          <w:color w:val="00B050"/>
        </w:rPr>
      </w:pPr>
    </w:p>
    <w:p w:rsidR="00311682" w:rsidRDefault="00311682" w:rsidP="00311682">
      <w:pPr>
        <w:pStyle w:val="Default"/>
        <w:jc w:val="center"/>
        <w:rPr>
          <w:color w:val="auto"/>
        </w:rPr>
      </w:pPr>
      <w:r>
        <w:rPr>
          <w:noProof/>
          <w:color w:val="auto"/>
          <w:lang w:val="ro-RO" w:eastAsia="ro-RO"/>
        </w:rPr>
        <w:drawing>
          <wp:inline distT="0" distB="0" distL="0" distR="0">
            <wp:extent cx="4286250" cy="2247900"/>
            <wp:effectExtent l="19050" t="0" r="19050" b="0"/>
            <wp:docPr id="11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95"/>
              </a:graphicData>
            </a:graphic>
          </wp:inline>
        </w:drawing>
      </w:r>
    </w:p>
    <w:p w:rsidR="00311682" w:rsidRDefault="00311682" w:rsidP="00311682">
      <w:pPr>
        <w:rPr>
          <w:rFonts w:ascii="Arial" w:hAnsi="Arial" w:cs="Arial"/>
        </w:rPr>
      </w:pPr>
    </w:p>
    <w:p w:rsidR="00311682" w:rsidRPr="003D369C" w:rsidRDefault="00311682" w:rsidP="00311682">
      <w:pPr>
        <w:rPr>
          <w:rFonts w:ascii="Arial" w:hAnsi="Arial" w:cs="Arial"/>
          <w:lang w:val="en-US"/>
        </w:rPr>
      </w:pPr>
      <w:r>
        <w:rPr>
          <w:rFonts w:ascii="Arial" w:hAnsi="Arial" w:cs="Arial"/>
        </w:rPr>
        <w:t xml:space="preserve">Figura nr. </w:t>
      </w:r>
      <w:r w:rsidRPr="003D369C">
        <w:rPr>
          <w:rFonts w:ascii="Arial" w:hAnsi="Arial" w:cs="Arial"/>
        </w:rPr>
        <w:t xml:space="preserve">  </w:t>
      </w:r>
      <w:r w:rsidRPr="003D369C">
        <w:rPr>
          <w:rFonts w:ascii="Arial" w:hAnsi="Arial" w:cs="Arial"/>
          <w:b/>
          <w:lang w:val="en-US"/>
        </w:rPr>
        <w:t>VI.1.1. -</w:t>
      </w:r>
      <w:r>
        <w:rPr>
          <w:rFonts w:ascii="Arial" w:hAnsi="Arial" w:cs="Arial"/>
          <w:b/>
          <w:lang w:val="en-US"/>
        </w:rPr>
        <w:t xml:space="preserve"> 2 </w:t>
      </w:r>
      <w:r w:rsidRPr="003D369C">
        <w:rPr>
          <w:rFonts w:ascii="Arial" w:hAnsi="Arial" w:cs="Arial"/>
          <w:b/>
          <w:lang w:val="en-US"/>
        </w:rPr>
        <w:t xml:space="preserve"> </w:t>
      </w:r>
      <w:r w:rsidRPr="003D369C">
        <w:rPr>
          <w:rFonts w:ascii="Arial" w:hAnsi="Arial" w:cs="Arial"/>
          <w:lang w:val="en-US"/>
        </w:rPr>
        <w:t xml:space="preserve">Evoluţia fondului forestier </w:t>
      </w:r>
      <w:r>
        <w:rPr>
          <w:rFonts w:ascii="Arial" w:hAnsi="Arial" w:cs="Arial"/>
          <w:lang w:val="en-US"/>
        </w:rPr>
        <w:t xml:space="preserve">(ha/loc) </w:t>
      </w:r>
      <w:r w:rsidRPr="003D369C">
        <w:rPr>
          <w:rFonts w:ascii="Arial" w:hAnsi="Arial" w:cs="Arial"/>
          <w:lang w:val="en-US"/>
        </w:rPr>
        <w:t>în judeţul Brăila, în perioada anilor  2010-2014</w:t>
      </w:r>
    </w:p>
    <w:p w:rsidR="00311682" w:rsidRDefault="00311682" w:rsidP="00311682">
      <w:pPr>
        <w:pStyle w:val="Default"/>
        <w:jc w:val="both"/>
        <w:rPr>
          <w:color w:val="auto"/>
        </w:rPr>
      </w:pPr>
    </w:p>
    <w:p w:rsidR="00311682" w:rsidRPr="00582F8E" w:rsidRDefault="00311682" w:rsidP="00311682">
      <w:pPr>
        <w:pStyle w:val="Default"/>
        <w:jc w:val="both"/>
        <w:rPr>
          <w:rFonts w:ascii="Arial" w:hAnsi="Arial" w:cs="Arial"/>
          <w:color w:val="auto"/>
        </w:rPr>
      </w:pPr>
      <w:r w:rsidRPr="00582F8E">
        <w:rPr>
          <w:rFonts w:ascii="Arial" w:hAnsi="Arial" w:cs="Arial"/>
        </w:rPr>
        <w:t>Raportul dintre creşterea şi tăierea arborilor arată sustenabilitatea producţiei de masă lemnoasă în timp, cât şi disponibilitatea actuală a masei lemnoase şi potenţialul acesteia. Pentru o dezvoltare durabilă, tăierile anuale nu trebuie să depăşească creşterea anuală netă. Creşterea fondului forestier este o indicaţie a maturizării pădurilor. Raportul dintre creştere şi tăieri în pădurile de exploataţie este cel mai bun indicator pentru potenţialul producţiei de masă lemnoasă şi pentru starea biodiversităţii, a sănătăţii şi funcţiilor pădurilor.</w:t>
      </w:r>
    </w:p>
    <w:p w:rsidR="00311682" w:rsidRPr="00582F8E" w:rsidRDefault="00311682" w:rsidP="00311682">
      <w:pPr>
        <w:pStyle w:val="Default"/>
        <w:jc w:val="both"/>
        <w:rPr>
          <w:rFonts w:ascii="Arial" w:hAnsi="Arial" w:cs="Arial"/>
          <w:color w:val="auto"/>
        </w:rPr>
      </w:pPr>
    </w:p>
    <w:p w:rsidR="00311682" w:rsidRPr="00582F8E" w:rsidRDefault="00311682" w:rsidP="00311682">
      <w:pPr>
        <w:pStyle w:val="Default"/>
        <w:jc w:val="both"/>
        <w:rPr>
          <w:rFonts w:ascii="Arial" w:hAnsi="Arial" w:cs="Arial"/>
          <w:color w:val="auto"/>
        </w:rPr>
      </w:pPr>
      <w:r w:rsidRPr="00582F8E">
        <w:rPr>
          <w:rFonts w:ascii="Arial" w:hAnsi="Arial" w:cs="Arial"/>
        </w:rPr>
        <w:t>Tabelul nr.</w:t>
      </w:r>
      <w:r w:rsidRPr="00582F8E">
        <w:rPr>
          <w:rFonts w:ascii="Arial" w:hAnsi="Arial" w:cs="Arial"/>
          <w:b/>
        </w:rPr>
        <w:t xml:space="preserve"> VI.1.1. -4 </w:t>
      </w:r>
      <w:r w:rsidRPr="00582F8E">
        <w:rPr>
          <w:rFonts w:ascii="Arial" w:hAnsi="Arial" w:cs="Arial"/>
          <w:color w:val="auto"/>
        </w:rPr>
        <w:t xml:space="preserve">Evoluţia creşterii anuale a fondului forestier comparativ cu tăierea masei lemnoase, în judeţul Brăila, în perioada anilor 2010-2014 </w:t>
      </w:r>
    </w:p>
    <w:p w:rsidR="00311682" w:rsidRPr="00272472" w:rsidRDefault="00311682" w:rsidP="00311682">
      <w:pPr>
        <w:pStyle w:val="Default"/>
        <w:jc w:val="both"/>
        <w:rPr>
          <w:color w:val="auto"/>
        </w:rPr>
      </w:pPr>
    </w:p>
    <w:tbl>
      <w:tblPr>
        <w:tblStyle w:val="TableGrid"/>
        <w:tblW w:w="0" w:type="auto"/>
        <w:jc w:val="center"/>
        <w:tblLook w:val="04A0"/>
      </w:tblPr>
      <w:tblGrid>
        <w:gridCol w:w="3936"/>
        <w:gridCol w:w="992"/>
        <w:gridCol w:w="1134"/>
        <w:gridCol w:w="1134"/>
        <w:gridCol w:w="992"/>
        <w:gridCol w:w="1100"/>
      </w:tblGrid>
      <w:tr w:rsidR="00311682" w:rsidRPr="00E90977" w:rsidTr="004E468C">
        <w:trPr>
          <w:jc w:val="center"/>
        </w:trPr>
        <w:tc>
          <w:tcPr>
            <w:tcW w:w="3936" w:type="dxa"/>
          </w:tcPr>
          <w:p w:rsidR="00311682" w:rsidRPr="00E90977" w:rsidRDefault="00311682" w:rsidP="004E468C">
            <w:pPr>
              <w:jc w:val="both"/>
              <w:rPr>
                <w:color w:val="00B050"/>
              </w:rPr>
            </w:pPr>
          </w:p>
        </w:tc>
        <w:tc>
          <w:tcPr>
            <w:tcW w:w="992" w:type="dxa"/>
          </w:tcPr>
          <w:p w:rsidR="00311682" w:rsidRPr="00272472" w:rsidRDefault="00311682" w:rsidP="004E468C">
            <w:pPr>
              <w:jc w:val="both"/>
              <w:rPr>
                <w:rFonts w:ascii="Arial" w:hAnsi="Arial" w:cs="Arial"/>
              </w:rPr>
            </w:pPr>
            <w:r w:rsidRPr="00272472">
              <w:rPr>
                <w:rFonts w:ascii="Arial" w:hAnsi="Arial" w:cs="Arial"/>
              </w:rPr>
              <w:t>2010</w:t>
            </w:r>
          </w:p>
        </w:tc>
        <w:tc>
          <w:tcPr>
            <w:tcW w:w="1134" w:type="dxa"/>
          </w:tcPr>
          <w:p w:rsidR="00311682" w:rsidRPr="00272472" w:rsidRDefault="00311682" w:rsidP="004E468C">
            <w:pPr>
              <w:jc w:val="both"/>
              <w:rPr>
                <w:rFonts w:ascii="Arial" w:hAnsi="Arial" w:cs="Arial"/>
              </w:rPr>
            </w:pPr>
            <w:r w:rsidRPr="00272472">
              <w:rPr>
                <w:rFonts w:ascii="Arial" w:hAnsi="Arial" w:cs="Arial"/>
              </w:rPr>
              <w:t>2011</w:t>
            </w:r>
          </w:p>
        </w:tc>
        <w:tc>
          <w:tcPr>
            <w:tcW w:w="1134" w:type="dxa"/>
          </w:tcPr>
          <w:p w:rsidR="00311682" w:rsidRPr="00272472" w:rsidRDefault="00311682" w:rsidP="004E468C">
            <w:pPr>
              <w:jc w:val="both"/>
              <w:rPr>
                <w:rFonts w:ascii="Arial" w:hAnsi="Arial" w:cs="Arial"/>
              </w:rPr>
            </w:pPr>
            <w:r w:rsidRPr="00272472">
              <w:rPr>
                <w:rFonts w:ascii="Arial" w:hAnsi="Arial" w:cs="Arial"/>
              </w:rPr>
              <w:t>2012</w:t>
            </w:r>
          </w:p>
        </w:tc>
        <w:tc>
          <w:tcPr>
            <w:tcW w:w="992" w:type="dxa"/>
          </w:tcPr>
          <w:p w:rsidR="00311682" w:rsidRPr="00272472" w:rsidRDefault="00311682" w:rsidP="004E468C">
            <w:pPr>
              <w:jc w:val="both"/>
              <w:rPr>
                <w:rFonts w:ascii="Arial" w:hAnsi="Arial" w:cs="Arial"/>
              </w:rPr>
            </w:pPr>
            <w:r w:rsidRPr="00272472">
              <w:rPr>
                <w:rFonts w:ascii="Arial" w:hAnsi="Arial" w:cs="Arial"/>
              </w:rPr>
              <w:t>2013</w:t>
            </w:r>
          </w:p>
        </w:tc>
        <w:tc>
          <w:tcPr>
            <w:tcW w:w="1100" w:type="dxa"/>
          </w:tcPr>
          <w:p w:rsidR="00311682" w:rsidRPr="00272472" w:rsidRDefault="00311682" w:rsidP="004E468C">
            <w:pPr>
              <w:jc w:val="both"/>
              <w:rPr>
                <w:rFonts w:ascii="Arial" w:hAnsi="Arial" w:cs="Arial"/>
              </w:rPr>
            </w:pPr>
            <w:r w:rsidRPr="00272472">
              <w:rPr>
                <w:rFonts w:ascii="Arial" w:hAnsi="Arial" w:cs="Arial"/>
              </w:rPr>
              <w:t>2014</w:t>
            </w:r>
          </w:p>
        </w:tc>
      </w:tr>
      <w:tr w:rsidR="00311682" w:rsidRPr="00E90977" w:rsidTr="004E468C">
        <w:trPr>
          <w:jc w:val="center"/>
        </w:trPr>
        <w:tc>
          <w:tcPr>
            <w:tcW w:w="3936" w:type="dxa"/>
          </w:tcPr>
          <w:p w:rsidR="00311682" w:rsidRPr="00272472" w:rsidRDefault="00311682" w:rsidP="004E468C">
            <w:pPr>
              <w:jc w:val="both"/>
              <w:rPr>
                <w:rFonts w:ascii="Arial" w:hAnsi="Arial" w:cs="Arial"/>
              </w:rPr>
            </w:pPr>
            <w:r w:rsidRPr="00272472">
              <w:rPr>
                <w:rFonts w:ascii="Arial" w:hAnsi="Arial" w:cs="Arial"/>
              </w:rPr>
              <w:t>Creşterea anuală a fondului forestier  (m</w:t>
            </w:r>
            <w:r w:rsidRPr="00272472">
              <w:rPr>
                <w:rFonts w:ascii="Arial" w:hAnsi="Arial" w:cs="Arial"/>
                <w:vertAlign w:val="superscript"/>
              </w:rPr>
              <w:t>3</w:t>
            </w:r>
            <w:r w:rsidRPr="00272472">
              <w:rPr>
                <w:rFonts w:ascii="Arial" w:hAnsi="Arial" w:cs="Arial"/>
              </w:rPr>
              <w:t>/ha/an)</w:t>
            </w:r>
          </w:p>
          <w:p w:rsidR="00311682" w:rsidRPr="00272472" w:rsidRDefault="00311682" w:rsidP="004E468C">
            <w:pPr>
              <w:jc w:val="both"/>
              <w:rPr>
                <w:rFonts w:ascii="Arial" w:hAnsi="Arial" w:cs="Arial"/>
              </w:rPr>
            </w:pPr>
            <w:r w:rsidRPr="00272472">
              <w:rPr>
                <w:rFonts w:ascii="Arial" w:hAnsi="Arial" w:cs="Arial"/>
              </w:rPr>
              <w:t>suprafaţa x creşterea medie anuală (0-2 m3/ha/an pt păduri naturale; 2-18 m3/ha/an pt plantaţii de pădure)</w:t>
            </w:r>
          </w:p>
        </w:tc>
        <w:tc>
          <w:tcPr>
            <w:tcW w:w="992" w:type="dxa"/>
          </w:tcPr>
          <w:p w:rsidR="00311682" w:rsidRPr="007335C0" w:rsidRDefault="00311682" w:rsidP="004E468C">
            <w:pPr>
              <w:jc w:val="both"/>
              <w:rPr>
                <w:rFonts w:ascii="Arial" w:hAnsi="Arial" w:cs="Arial"/>
              </w:rPr>
            </w:pPr>
            <w:r w:rsidRPr="007335C0">
              <w:rPr>
                <w:rFonts w:ascii="Arial" w:hAnsi="Arial" w:cs="Arial"/>
              </w:rPr>
              <w:t>5,5</w:t>
            </w:r>
          </w:p>
        </w:tc>
        <w:tc>
          <w:tcPr>
            <w:tcW w:w="1134" w:type="dxa"/>
          </w:tcPr>
          <w:p w:rsidR="00311682" w:rsidRPr="007335C0" w:rsidRDefault="00311682" w:rsidP="004E468C">
            <w:pPr>
              <w:jc w:val="both"/>
              <w:rPr>
                <w:rFonts w:ascii="Arial" w:hAnsi="Arial" w:cs="Arial"/>
              </w:rPr>
            </w:pPr>
            <w:r w:rsidRPr="007335C0">
              <w:rPr>
                <w:rFonts w:ascii="Arial" w:hAnsi="Arial" w:cs="Arial"/>
              </w:rPr>
              <w:t>5,5</w:t>
            </w:r>
          </w:p>
        </w:tc>
        <w:tc>
          <w:tcPr>
            <w:tcW w:w="1134" w:type="dxa"/>
          </w:tcPr>
          <w:p w:rsidR="00311682" w:rsidRPr="007335C0" w:rsidRDefault="00311682" w:rsidP="004E468C">
            <w:pPr>
              <w:jc w:val="both"/>
              <w:rPr>
                <w:rFonts w:ascii="Arial" w:hAnsi="Arial" w:cs="Arial"/>
              </w:rPr>
            </w:pPr>
            <w:r w:rsidRPr="007335C0">
              <w:rPr>
                <w:rFonts w:ascii="Arial" w:hAnsi="Arial" w:cs="Arial"/>
              </w:rPr>
              <w:t>5,5</w:t>
            </w:r>
          </w:p>
        </w:tc>
        <w:tc>
          <w:tcPr>
            <w:tcW w:w="992" w:type="dxa"/>
          </w:tcPr>
          <w:p w:rsidR="00311682" w:rsidRPr="007335C0" w:rsidRDefault="00311682" w:rsidP="004E468C">
            <w:pPr>
              <w:jc w:val="both"/>
              <w:rPr>
                <w:rFonts w:ascii="Arial" w:hAnsi="Arial" w:cs="Arial"/>
              </w:rPr>
            </w:pPr>
            <w:r w:rsidRPr="007335C0">
              <w:rPr>
                <w:rFonts w:ascii="Arial" w:hAnsi="Arial" w:cs="Arial"/>
              </w:rPr>
              <w:t>5,5</w:t>
            </w:r>
          </w:p>
        </w:tc>
        <w:tc>
          <w:tcPr>
            <w:tcW w:w="1100" w:type="dxa"/>
          </w:tcPr>
          <w:p w:rsidR="00311682" w:rsidRPr="007335C0" w:rsidRDefault="00311682" w:rsidP="004E468C">
            <w:pPr>
              <w:jc w:val="both"/>
              <w:rPr>
                <w:rFonts w:ascii="Arial" w:hAnsi="Arial" w:cs="Arial"/>
              </w:rPr>
            </w:pPr>
            <w:r w:rsidRPr="007335C0">
              <w:rPr>
                <w:rFonts w:ascii="Arial" w:hAnsi="Arial" w:cs="Arial"/>
              </w:rPr>
              <w:t>5,5</w:t>
            </w:r>
          </w:p>
        </w:tc>
      </w:tr>
      <w:tr w:rsidR="00311682" w:rsidRPr="00E90977" w:rsidTr="004E468C">
        <w:trPr>
          <w:jc w:val="center"/>
        </w:trPr>
        <w:tc>
          <w:tcPr>
            <w:tcW w:w="3936" w:type="dxa"/>
          </w:tcPr>
          <w:p w:rsidR="00311682" w:rsidRPr="00272472" w:rsidRDefault="00311682" w:rsidP="004E468C">
            <w:pPr>
              <w:jc w:val="both"/>
              <w:rPr>
                <w:rFonts w:ascii="Arial" w:hAnsi="Arial" w:cs="Arial"/>
              </w:rPr>
            </w:pPr>
            <w:r w:rsidRPr="00272472">
              <w:rPr>
                <w:rFonts w:ascii="Arial" w:hAnsi="Arial" w:cs="Arial"/>
              </w:rPr>
              <w:t>Tăieri - cantitatea de masă lemnoasă recoltată anual (m</w:t>
            </w:r>
            <w:r w:rsidRPr="00272472">
              <w:rPr>
                <w:rFonts w:ascii="Arial" w:hAnsi="Arial" w:cs="Arial"/>
                <w:vertAlign w:val="superscript"/>
              </w:rPr>
              <w:t>3</w:t>
            </w:r>
            <w:r w:rsidRPr="00272472">
              <w:rPr>
                <w:rFonts w:ascii="Arial" w:hAnsi="Arial" w:cs="Arial"/>
              </w:rPr>
              <w:t xml:space="preserve">/ha/an) </w:t>
            </w:r>
          </w:p>
          <w:p w:rsidR="00311682" w:rsidRPr="00272472" w:rsidRDefault="00311682" w:rsidP="004E468C">
            <w:pPr>
              <w:jc w:val="both"/>
              <w:rPr>
                <w:rFonts w:ascii="Arial" w:hAnsi="Arial" w:cs="Arial"/>
              </w:rPr>
            </w:pPr>
            <w:r w:rsidRPr="00272472">
              <w:rPr>
                <w:rFonts w:ascii="Arial" w:hAnsi="Arial" w:cs="Arial"/>
              </w:rPr>
              <w:t>(cuprinde tăieri pentru industrie, pentru alte utilizări, reziduuri de la rărire şi curăţare)</w:t>
            </w:r>
          </w:p>
        </w:tc>
        <w:tc>
          <w:tcPr>
            <w:tcW w:w="992" w:type="dxa"/>
          </w:tcPr>
          <w:p w:rsidR="00311682" w:rsidRPr="006B1750" w:rsidRDefault="00311682" w:rsidP="004E468C">
            <w:pPr>
              <w:jc w:val="both"/>
              <w:rPr>
                <w:rFonts w:ascii="Arial" w:hAnsi="Arial" w:cs="Arial"/>
              </w:rPr>
            </w:pPr>
            <w:r w:rsidRPr="006B1750">
              <w:rPr>
                <w:rFonts w:ascii="Arial" w:hAnsi="Arial" w:cs="Arial"/>
              </w:rPr>
              <w:t>5,2</w:t>
            </w:r>
          </w:p>
        </w:tc>
        <w:tc>
          <w:tcPr>
            <w:tcW w:w="1134" w:type="dxa"/>
          </w:tcPr>
          <w:p w:rsidR="00311682" w:rsidRPr="006B1750" w:rsidRDefault="00311682" w:rsidP="004E468C">
            <w:pPr>
              <w:jc w:val="both"/>
              <w:rPr>
                <w:rFonts w:ascii="Arial" w:hAnsi="Arial" w:cs="Arial"/>
              </w:rPr>
            </w:pPr>
            <w:r w:rsidRPr="006B1750">
              <w:rPr>
                <w:rFonts w:ascii="Arial" w:hAnsi="Arial" w:cs="Arial"/>
              </w:rPr>
              <w:t>5,0</w:t>
            </w:r>
          </w:p>
        </w:tc>
        <w:tc>
          <w:tcPr>
            <w:tcW w:w="1134" w:type="dxa"/>
          </w:tcPr>
          <w:p w:rsidR="00311682" w:rsidRPr="006B1750" w:rsidRDefault="00311682" w:rsidP="004E468C">
            <w:pPr>
              <w:jc w:val="both"/>
              <w:rPr>
                <w:rFonts w:ascii="Arial" w:hAnsi="Arial" w:cs="Arial"/>
              </w:rPr>
            </w:pPr>
            <w:r w:rsidRPr="006B1750">
              <w:rPr>
                <w:rFonts w:ascii="Arial" w:hAnsi="Arial" w:cs="Arial"/>
              </w:rPr>
              <w:t>5,4</w:t>
            </w:r>
          </w:p>
        </w:tc>
        <w:tc>
          <w:tcPr>
            <w:tcW w:w="992" w:type="dxa"/>
          </w:tcPr>
          <w:p w:rsidR="00311682" w:rsidRPr="006B1750" w:rsidRDefault="00311682" w:rsidP="004E468C">
            <w:pPr>
              <w:jc w:val="both"/>
              <w:rPr>
                <w:rFonts w:ascii="Arial" w:hAnsi="Arial" w:cs="Arial"/>
              </w:rPr>
            </w:pPr>
            <w:r w:rsidRPr="006B1750">
              <w:rPr>
                <w:rFonts w:ascii="Arial" w:hAnsi="Arial" w:cs="Arial"/>
              </w:rPr>
              <w:t>5,2</w:t>
            </w:r>
          </w:p>
        </w:tc>
        <w:tc>
          <w:tcPr>
            <w:tcW w:w="1100" w:type="dxa"/>
          </w:tcPr>
          <w:p w:rsidR="00311682" w:rsidRPr="006B1750" w:rsidRDefault="00311682" w:rsidP="004E468C">
            <w:pPr>
              <w:jc w:val="both"/>
              <w:rPr>
                <w:rFonts w:ascii="Arial" w:hAnsi="Arial" w:cs="Arial"/>
              </w:rPr>
            </w:pPr>
            <w:r w:rsidRPr="006B1750">
              <w:rPr>
                <w:rFonts w:ascii="Arial" w:hAnsi="Arial" w:cs="Arial"/>
              </w:rPr>
              <w:t>5,5</w:t>
            </w:r>
          </w:p>
        </w:tc>
      </w:tr>
    </w:tbl>
    <w:p w:rsidR="00311682" w:rsidRDefault="00311682" w:rsidP="00311682">
      <w:pPr>
        <w:rPr>
          <w:rFonts w:ascii="Arial" w:hAnsi="Arial" w:cs="Arial"/>
          <w:lang w:val="en-US"/>
        </w:rPr>
      </w:pPr>
    </w:p>
    <w:p w:rsidR="00311682" w:rsidRDefault="00311682" w:rsidP="00311682">
      <w:pPr>
        <w:jc w:val="center"/>
        <w:rPr>
          <w:rFonts w:ascii="Arial" w:hAnsi="Arial" w:cs="Arial"/>
          <w:lang w:val="en-US"/>
        </w:rPr>
      </w:pPr>
      <w:r>
        <w:rPr>
          <w:rFonts w:ascii="Arial" w:hAnsi="Arial" w:cs="Arial"/>
          <w:noProof/>
          <w:lang w:val="ro-RO" w:eastAsia="ro-RO"/>
        </w:rPr>
        <w:lastRenderedPageBreak/>
        <w:drawing>
          <wp:inline distT="0" distB="0" distL="0" distR="0">
            <wp:extent cx="5553075" cy="2543175"/>
            <wp:effectExtent l="19050" t="0" r="9525" b="0"/>
            <wp:docPr id="120"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96"/>
              </a:graphicData>
            </a:graphic>
          </wp:inline>
        </w:drawing>
      </w:r>
    </w:p>
    <w:p w:rsidR="00311682" w:rsidRPr="00385BA6" w:rsidRDefault="00311682" w:rsidP="00311682">
      <w:pPr>
        <w:jc w:val="center"/>
        <w:rPr>
          <w:rFonts w:ascii="Arial" w:hAnsi="Arial" w:cs="Arial"/>
          <w:lang w:val="en-US"/>
        </w:rPr>
      </w:pPr>
      <w:r>
        <w:rPr>
          <w:rFonts w:ascii="Arial" w:hAnsi="Arial" w:cs="Arial"/>
        </w:rPr>
        <w:t xml:space="preserve">Figura nr. </w:t>
      </w:r>
      <w:r w:rsidRPr="003D369C">
        <w:rPr>
          <w:rFonts w:ascii="Arial" w:hAnsi="Arial" w:cs="Arial"/>
        </w:rPr>
        <w:t xml:space="preserve">  </w:t>
      </w:r>
      <w:r w:rsidRPr="003D369C">
        <w:rPr>
          <w:rFonts w:ascii="Arial" w:hAnsi="Arial" w:cs="Arial"/>
          <w:b/>
          <w:lang w:val="en-US"/>
        </w:rPr>
        <w:t>VI.1.1. -</w:t>
      </w:r>
      <w:r>
        <w:rPr>
          <w:rFonts w:ascii="Arial" w:hAnsi="Arial" w:cs="Arial"/>
          <w:b/>
          <w:lang w:val="en-US"/>
        </w:rPr>
        <w:t xml:space="preserve"> </w:t>
      </w:r>
      <w:r w:rsidRPr="003D369C">
        <w:rPr>
          <w:rFonts w:ascii="Arial" w:hAnsi="Arial" w:cs="Arial"/>
          <w:b/>
          <w:lang w:val="en-US"/>
        </w:rPr>
        <w:t>3</w:t>
      </w:r>
      <w:r>
        <w:rPr>
          <w:rFonts w:ascii="Arial" w:hAnsi="Arial" w:cs="Arial"/>
          <w:b/>
          <w:lang w:val="en-US"/>
        </w:rPr>
        <w:t xml:space="preserve"> </w:t>
      </w:r>
      <w:r w:rsidRPr="003D369C">
        <w:rPr>
          <w:rFonts w:ascii="Arial" w:hAnsi="Arial" w:cs="Arial"/>
          <w:b/>
          <w:lang w:val="en-US"/>
        </w:rPr>
        <w:t xml:space="preserve"> </w:t>
      </w:r>
      <w:r w:rsidRPr="00385BA6">
        <w:rPr>
          <w:rFonts w:ascii="Arial" w:hAnsi="Arial" w:cs="Arial"/>
        </w:rPr>
        <w:t>Evoluţia creşterii anuale a fondului forestier comparativ cu tăierea masei lemnoase</w:t>
      </w:r>
    </w:p>
    <w:p w:rsidR="00311682" w:rsidRDefault="00311682" w:rsidP="00311682">
      <w:pPr>
        <w:jc w:val="both"/>
        <w:rPr>
          <w:rFonts w:ascii="Arial" w:hAnsi="Arial" w:cs="Arial"/>
          <w:lang w:val="en-US"/>
        </w:rPr>
      </w:pPr>
    </w:p>
    <w:p w:rsidR="00311682" w:rsidRPr="00272472" w:rsidRDefault="00311682" w:rsidP="00311682">
      <w:pPr>
        <w:jc w:val="both"/>
        <w:rPr>
          <w:rFonts w:ascii="Arial" w:hAnsi="Arial" w:cs="Arial"/>
        </w:rPr>
      </w:pPr>
      <w:r>
        <w:rPr>
          <w:rFonts w:ascii="Arial" w:hAnsi="Arial" w:cs="Arial"/>
          <w:lang w:val="en-US"/>
        </w:rPr>
        <w:t>Tabelul nr.</w:t>
      </w:r>
      <w:r w:rsidRPr="00FB4432">
        <w:rPr>
          <w:rFonts w:ascii="Arial" w:hAnsi="Arial" w:cs="Arial"/>
          <w:b/>
          <w:lang w:val="en-US"/>
        </w:rPr>
        <w:t xml:space="preserve"> </w:t>
      </w:r>
      <w:r w:rsidRPr="00906406">
        <w:rPr>
          <w:rFonts w:ascii="Arial" w:hAnsi="Arial" w:cs="Arial"/>
          <w:b/>
          <w:lang w:val="en-US"/>
        </w:rPr>
        <w:t>VI.1.1.</w:t>
      </w:r>
      <w:r>
        <w:rPr>
          <w:rFonts w:ascii="Arial" w:hAnsi="Arial" w:cs="Arial"/>
          <w:b/>
          <w:lang w:val="en-US"/>
        </w:rPr>
        <w:t xml:space="preserve"> -5</w:t>
      </w:r>
      <w:r w:rsidRPr="00906406">
        <w:rPr>
          <w:rFonts w:ascii="Arial" w:hAnsi="Arial" w:cs="Arial"/>
          <w:b/>
          <w:lang w:val="en-US"/>
        </w:rPr>
        <w:t xml:space="preserve"> </w:t>
      </w:r>
      <w:r w:rsidRPr="00272472">
        <w:rPr>
          <w:rFonts w:ascii="Arial" w:hAnsi="Arial" w:cs="Arial"/>
        </w:rPr>
        <w:t xml:space="preserve">Masa lemnoasă pusă în circuitul economic </w:t>
      </w:r>
      <w:r>
        <w:rPr>
          <w:rFonts w:ascii="Arial" w:hAnsi="Arial" w:cs="Arial"/>
        </w:rPr>
        <w:t>în funcţie de tipul produselor şi esenţă</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912"/>
        <w:gridCol w:w="1276"/>
        <w:gridCol w:w="1134"/>
        <w:gridCol w:w="3000"/>
      </w:tblGrid>
      <w:tr w:rsidR="00311682" w:rsidRPr="00272472" w:rsidTr="004E468C">
        <w:trPr>
          <w:jc w:val="center"/>
        </w:trPr>
        <w:tc>
          <w:tcPr>
            <w:tcW w:w="3912" w:type="dxa"/>
            <w:vMerge w:val="restart"/>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Tipul produselor</w:t>
            </w:r>
          </w:p>
        </w:tc>
        <w:tc>
          <w:tcPr>
            <w:tcW w:w="5410" w:type="dxa"/>
            <w:gridSpan w:val="3"/>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Esenţa (mii mc)</w:t>
            </w:r>
          </w:p>
        </w:tc>
      </w:tr>
      <w:tr w:rsidR="00311682" w:rsidRPr="00272472" w:rsidTr="004E468C">
        <w:trPr>
          <w:jc w:val="center"/>
        </w:trPr>
        <w:tc>
          <w:tcPr>
            <w:tcW w:w="3912" w:type="dxa"/>
            <w:vMerge/>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72472" w:rsidRDefault="00311682" w:rsidP="004E468C">
            <w:pPr>
              <w:jc w:val="both"/>
              <w:rPr>
                <w:rFonts w:ascii="Arial" w:hAnsi="Arial" w:cs="Arial"/>
              </w:rPr>
            </w:pPr>
          </w:p>
        </w:tc>
        <w:tc>
          <w:tcPr>
            <w:tcW w:w="1276"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Plop</w:t>
            </w:r>
          </w:p>
        </w:tc>
        <w:tc>
          <w:tcPr>
            <w:tcW w:w="1134"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Salcie</w:t>
            </w:r>
          </w:p>
        </w:tc>
        <w:tc>
          <w:tcPr>
            <w:tcW w:w="3000"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Alte esenţe</w:t>
            </w:r>
          </w:p>
        </w:tc>
      </w:tr>
      <w:tr w:rsidR="00311682" w:rsidRPr="00272472" w:rsidTr="004E468C">
        <w:trPr>
          <w:jc w:val="center"/>
        </w:trPr>
        <w:tc>
          <w:tcPr>
            <w:tcW w:w="3912"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Principale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20,0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26,7</w:t>
            </w:r>
          </w:p>
        </w:tc>
        <w:tc>
          <w:tcPr>
            <w:tcW w:w="3000"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0,1</w:t>
            </w:r>
          </w:p>
        </w:tc>
      </w:tr>
      <w:tr w:rsidR="00311682" w:rsidRPr="00272472" w:rsidTr="004E468C">
        <w:trPr>
          <w:jc w:val="center"/>
        </w:trPr>
        <w:tc>
          <w:tcPr>
            <w:tcW w:w="3912"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Secundare</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2,0</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0,9</w:t>
            </w:r>
          </w:p>
        </w:tc>
        <w:tc>
          <w:tcPr>
            <w:tcW w:w="3000"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0,1</w:t>
            </w:r>
          </w:p>
        </w:tc>
      </w:tr>
      <w:tr w:rsidR="00311682" w:rsidRPr="00272472" w:rsidTr="004E468C">
        <w:trPr>
          <w:jc w:val="center"/>
        </w:trPr>
        <w:tc>
          <w:tcPr>
            <w:tcW w:w="3912"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Accidentale</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0,1</w:t>
            </w:r>
          </w:p>
        </w:tc>
        <w:tc>
          <w:tcPr>
            <w:tcW w:w="3000"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w:t>
            </w:r>
          </w:p>
        </w:tc>
      </w:tr>
      <w:tr w:rsidR="00311682" w:rsidRPr="00272472" w:rsidTr="004E468C">
        <w:trPr>
          <w:jc w:val="center"/>
        </w:trPr>
        <w:tc>
          <w:tcPr>
            <w:tcW w:w="3912"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sidRPr="00272472">
              <w:rPr>
                <w:rFonts w:ascii="Arial" w:hAnsi="Arial" w:cs="Arial"/>
              </w:rPr>
              <w:t>Total</w:t>
            </w:r>
          </w:p>
        </w:tc>
        <w:tc>
          <w:tcPr>
            <w:tcW w:w="1276"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22,2</w:t>
            </w:r>
          </w:p>
        </w:tc>
        <w:tc>
          <w:tcPr>
            <w:tcW w:w="1134"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27,7</w:t>
            </w:r>
          </w:p>
        </w:tc>
        <w:tc>
          <w:tcPr>
            <w:tcW w:w="3000" w:type="dxa"/>
            <w:tcBorders>
              <w:top w:val="single" w:sz="4" w:space="0" w:color="auto"/>
              <w:left w:val="single" w:sz="4" w:space="0" w:color="auto"/>
              <w:bottom w:val="single" w:sz="4" w:space="0" w:color="auto"/>
              <w:right w:val="single" w:sz="4" w:space="0" w:color="auto"/>
            </w:tcBorders>
            <w:vAlign w:val="center"/>
            <w:hideMark/>
          </w:tcPr>
          <w:p w:rsidR="00311682" w:rsidRPr="00272472" w:rsidRDefault="00311682" w:rsidP="004E468C">
            <w:pPr>
              <w:tabs>
                <w:tab w:val="left" w:pos="4860"/>
              </w:tabs>
              <w:jc w:val="both"/>
              <w:rPr>
                <w:rFonts w:ascii="Arial" w:hAnsi="Arial" w:cs="Arial"/>
              </w:rPr>
            </w:pPr>
            <w:r>
              <w:rPr>
                <w:rFonts w:ascii="Arial" w:hAnsi="Arial" w:cs="Arial"/>
              </w:rPr>
              <w:t>0,2</w:t>
            </w:r>
          </w:p>
        </w:tc>
      </w:tr>
    </w:tbl>
    <w:p w:rsidR="00311682" w:rsidRDefault="00311682" w:rsidP="00311682">
      <w:pPr>
        <w:jc w:val="both"/>
        <w:rPr>
          <w:color w:val="00B050"/>
        </w:rPr>
      </w:pPr>
    </w:p>
    <w:p w:rsidR="00311682" w:rsidRDefault="00311682" w:rsidP="00311682">
      <w:pPr>
        <w:jc w:val="center"/>
        <w:rPr>
          <w:color w:val="00B050"/>
        </w:rPr>
      </w:pPr>
      <w:r>
        <w:rPr>
          <w:noProof/>
          <w:color w:val="00B050"/>
          <w:lang w:val="ro-RO" w:eastAsia="ro-RO"/>
        </w:rPr>
        <w:drawing>
          <wp:inline distT="0" distB="0" distL="0" distR="0">
            <wp:extent cx="4848225" cy="2495550"/>
            <wp:effectExtent l="19050" t="0" r="9525" b="0"/>
            <wp:docPr id="12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97"/>
              </a:graphicData>
            </a:graphic>
          </wp:inline>
        </w:drawing>
      </w:r>
    </w:p>
    <w:p w:rsidR="00311682" w:rsidRPr="005E3E55" w:rsidRDefault="00311682" w:rsidP="00311682">
      <w:pPr>
        <w:jc w:val="both"/>
        <w:rPr>
          <w:color w:val="00B050"/>
        </w:rPr>
      </w:pPr>
      <w:r>
        <w:rPr>
          <w:rFonts w:ascii="Arial" w:hAnsi="Arial" w:cs="Arial"/>
        </w:rPr>
        <w:t xml:space="preserve">               Figura nr. </w:t>
      </w:r>
      <w:r w:rsidRPr="003D369C">
        <w:rPr>
          <w:rFonts w:ascii="Arial" w:hAnsi="Arial" w:cs="Arial"/>
        </w:rPr>
        <w:t xml:space="preserve">  </w:t>
      </w:r>
      <w:r w:rsidRPr="003D369C">
        <w:rPr>
          <w:rFonts w:ascii="Arial" w:hAnsi="Arial" w:cs="Arial"/>
          <w:b/>
          <w:lang w:val="en-US"/>
        </w:rPr>
        <w:t>VI.1.1.</w:t>
      </w:r>
      <w:r>
        <w:rPr>
          <w:rFonts w:ascii="Arial" w:hAnsi="Arial" w:cs="Arial"/>
          <w:b/>
          <w:lang w:val="en-US"/>
        </w:rPr>
        <w:t xml:space="preserve"> - 4    Masa lemnoasă pusă în circuitul economic</w:t>
      </w:r>
    </w:p>
    <w:p w:rsidR="00311682" w:rsidRDefault="00311682" w:rsidP="00311682">
      <w:pPr>
        <w:jc w:val="both"/>
        <w:rPr>
          <w:rFonts w:ascii="Arial" w:hAnsi="Arial" w:cs="Arial"/>
          <w:lang w:val="en-US"/>
        </w:rPr>
      </w:pPr>
    </w:p>
    <w:p w:rsidR="00311682" w:rsidRPr="00272472" w:rsidRDefault="00311682" w:rsidP="00311682">
      <w:pPr>
        <w:jc w:val="both"/>
        <w:rPr>
          <w:rFonts w:ascii="Arial" w:hAnsi="Arial" w:cs="Arial"/>
        </w:rPr>
      </w:pPr>
      <w:r>
        <w:rPr>
          <w:rFonts w:ascii="Arial" w:hAnsi="Arial" w:cs="Arial"/>
          <w:lang w:val="en-US"/>
        </w:rPr>
        <w:t>Tabelul nr.</w:t>
      </w:r>
      <w:r w:rsidRPr="00FB4432">
        <w:rPr>
          <w:rFonts w:ascii="Arial" w:hAnsi="Arial" w:cs="Arial"/>
          <w:b/>
          <w:lang w:val="en-US"/>
        </w:rPr>
        <w:t xml:space="preserve"> </w:t>
      </w:r>
      <w:r w:rsidRPr="00906406">
        <w:rPr>
          <w:rFonts w:ascii="Arial" w:hAnsi="Arial" w:cs="Arial"/>
          <w:b/>
          <w:lang w:val="en-US"/>
        </w:rPr>
        <w:t>VI.1.1.</w:t>
      </w:r>
      <w:r>
        <w:rPr>
          <w:rFonts w:ascii="Arial" w:hAnsi="Arial" w:cs="Arial"/>
          <w:b/>
          <w:lang w:val="en-US"/>
        </w:rPr>
        <w:t xml:space="preserve"> -6</w:t>
      </w:r>
      <w:r w:rsidRPr="00906406">
        <w:rPr>
          <w:rFonts w:ascii="Arial" w:hAnsi="Arial" w:cs="Arial"/>
          <w:b/>
          <w:lang w:val="en-US"/>
        </w:rPr>
        <w:t xml:space="preserve"> </w:t>
      </w:r>
      <w:r>
        <w:rPr>
          <w:rFonts w:ascii="Arial" w:hAnsi="Arial" w:cs="Arial"/>
          <w:lang w:val="en-US"/>
        </w:rPr>
        <w:t xml:space="preserve"> </w:t>
      </w:r>
      <w:r w:rsidRPr="00272472">
        <w:rPr>
          <w:rFonts w:ascii="Arial" w:hAnsi="Arial" w:cs="Arial"/>
        </w:rPr>
        <w:t>Ponderea compoziţiei fondului forestier  în judeţul Brăila în perioada anilor  2010-2014</w:t>
      </w:r>
    </w:p>
    <w:tbl>
      <w:tblPr>
        <w:tblStyle w:val="TableGrid"/>
        <w:tblW w:w="0" w:type="auto"/>
        <w:tblInd w:w="250" w:type="dxa"/>
        <w:tblLook w:val="04A0"/>
      </w:tblPr>
      <w:tblGrid>
        <w:gridCol w:w="3686"/>
        <w:gridCol w:w="992"/>
        <w:gridCol w:w="1134"/>
        <w:gridCol w:w="1134"/>
        <w:gridCol w:w="992"/>
        <w:gridCol w:w="1276"/>
      </w:tblGrid>
      <w:tr w:rsidR="00311682" w:rsidRPr="00272472" w:rsidTr="004E468C">
        <w:tc>
          <w:tcPr>
            <w:tcW w:w="3686" w:type="dxa"/>
          </w:tcPr>
          <w:p w:rsidR="00311682" w:rsidRPr="00272472" w:rsidRDefault="00311682" w:rsidP="004E468C">
            <w:pPr>
              <w:jc w:val="both"/>
              <w:rPr>
                <w:rFonts w:ascii="Arial" w:hAnsi="Arial" w:cs="Arial"/>
              </w:rPr>
            </w:pPr>
          </w:p>
        </w:tc>
        <w:tc>
          <w:tcPr>
            <w:tcW w:w="992" w:type="dxa"/>
          </w:tcPr>
          <w:p w:rsidR="00311682" w:rsidRPr="00272472" w:rsidRDefault="00311682" w:rsidP="004E468C">
            <w:pPr>
              <w:jc w:val="both"/>
              <w:rPr>
                <w:rFonts w:ascii="Arial" w:hAnsi="Arial" w:cs="Arial"/>
              </w:rPr>
            </w:pPr>
            <w:r w:rsidRPr="00272472">
              <w:rPr>
                <w:rFonts w:ascii="Arial" w:hAnsi="Arial" w:cs="Arial"/>
              </w:rPr>
              <w:t>2010</w:t>
            </w:r>
          </w:p>
        </w:tc>
        <w:tc>
          <w:tcPr>
            <w:tcW w:w="1134" w:type="dxa"/>
          </w:tcPr>
          <w:p w:rsidR="00311682" w:rsidRPr="00272472" w:rsidRDefault="00311682" w:rsidP="004E468C">
            <w:pPr>
              <w:jc w:val="both"/>
              <w:rPr>
                <w:rFonts w:ascii="Arial" w:hAnsi="Arial" w:cs="Arial"/>
              </w:rPr>
            </w:pPr>
            <w:r w:rsidRPr="00272472">
              <w:rPr>
                <w:rFonts w:ascii="Arial" w:hAnsi="Arial" w:cs="Arial"/>
              </w:rPr>
              <w:t>2011</w:t>
            </w:r>
          </w:p>
        </w:tc>
        <w:tc>
          <w:tcPr>
            <w:tcW w:w="1134" w:type="dxa"/>
          </w:tcPr>
          <w:p w:rsidR="00311682" w:rsidRPr="00272472" w:rsidRDefault="00311682" w:rsidP="004E468C">
            <w:pPr>
              <w:jc w:val="both"/>
              <w:rPr>
                <w:rFonts w:ascii="Arial" w:hAnsi="Arial" w:cs="Arial"/>
              </w:rPr>
            </w:pPr>
            <w:r w:rsidRPr="00272472">
              <w:rPr>
                <w:rFonts w:ascii="Arial" w:hAnsi="Arial" w:cs="Arial"/>
              </w:rPr>
              <w:t>2012</w:t>
            </w:r>
          </w:p>
        </w:tc>
        <w:tc>
          <w:tcPr>
            <w:tcW w:w="992" w:type="dxa"/>
          </w:tcPr>
          <w:p w:rsidR="00311682" w:rsidRPr="00272472" w:rsidRDefault="00311682" w:rsidP="004E468C">
            <w:pPr>
              <w:jc w:val="both"/>
              <w:rPr>
                <w:rFonts w:ascii="Arial" w:hAnsi="Arial" w:cs="Arial"/>
              </w:rPr>
            </w:pPr>
            <w:r w:rsidRPr="00272472">
              <w:rPr>
                <w:rFonts w:ascii="Arial" w:hAnsi="Arial" w:cs="Arial"/>
              </w:rPr>
              <w:t>2013</w:t>
            </w:r>
          </w:p>
        </w:tc>
        <w:tc>
          <w:tcPr>
            <w:tcW w:w="1276" w:type="dxa"/>
          </w:tcPr>
          <w:p w:rsidR="00311682" w:rsidRPr="00272472" w:rsidRDefault="00311682" w:rsidP="004E468C">
            <w:pPr>
              <w:jc w:val="both"/>
              <w:rPr>
                <w:rFonts w:ascii="Arial" w:hAnsi="Arial" w:cs="Arial"/>
              </w:rPr>
            </w:pPr>
            <w:r w:rsidRPr="00272472">
              <w:rPr>
                <w:rFonts w:ascii="Arial" w:hAnsi="Arial" w:cs="Arial"/>
              </w:rPr>
              <w:t>2014</w:t>
            </w:r>
          </w:p>
        </w:tc>
      </w:tr>
      <w:tr w:rsidR="00311682" w:rsidRPr="00272472" w:rsidTr="004E468C">
        <w:tc>
          <w:tcPr>
            <w:tcW w:w="3686" w:type="dxa"/>
          </w:tcPr>
          <w:p w:rsidR="00311682" w:rsidRPr="00272472" w:rsidRDefault="00311682" w:rsidP="004E468C">
            <w:pPr>
              <w:jc w:val="both"/>
              <w:rPr>
                <w:rFonts w:ascii="Arial" w:hAnsi="Arial" w:cs="Arial"/>
              </w:rPr>
            </w:pPr>
            <w:r w:rsidRPr="00272472">
              <w:rPr>
                <w:rFonts w:ascii="Arial" w:hAnsi="Arial" w:cs="Arial"/>
              </w:rPr>
              <w:t>Păduri de foioase(%)</w:t>
            </w:r>
          </w:p>
        </w:tc>
        <w:tc>
          <w:tcPr>
            <w:tcW w:w="992" w:type="dxa"/>
          </w:tcPr>
          <w:p w:rsidR="00311682" w:rsidRPr="00272472" w:rsidRDefault="00311682" w:rsidP="004E468C">
            <w:pPr>
              <w:jc w:val="both"/>
              <w:rPr>
                <w:rFonts w:ascii="Arial" w:hAnsi="Arial" w:cs="Arial"/>
              </w:rPr>
            </w:pPr>
            <w:r>
              <w:rPr>
                <w:rFonts w:ascii="Arial" w:hAnsi="Arial" w:cs="Arial"/>
              </w:rPr>
              <w:t>98,0</w:t>
            </w:r>
          </w:p>
        </w:tc>
        <w:tc>
          <w:tcPr>
            <w:tcW w:w="1134" w:type="dxa"/>
          </w:tcPr>
          <w:p w:rsidR="00311682" w:rsidRDefault="00311682" w:rsidP="004E468C">
            <w:r w:rsidRPr="00575298">
              <w:rPr>
                <w:rFonts w:ascii="Arial" w:hAnsi="Arial" w:cs="Arial"/>
              </w:rPr>
              <w:t>98,0</w:t>
            </w:r>
          </w:p>
        </w:tc>
        <w:tc>
          <w:tcPr>
            <w:tcW w:w="1134" w:type="dxa"/>
          </w:tcPr>
          <w:p w:rsidR="00311682" w:rsidRDefault="00311682" w:rsidP="004E468C">
            <w:r w:rsidRPr="00575298">
              <w:rPr>
                <w:rFonts w:ascii="Arial" w:hAnsi="Arial" w:cs="Arial"/>
              </w:rPr>
              <w:t>98,0</w:t>
            </w:r>
          </w:p>
        </w:tc>
        <w:tc>
          <w:tcPr>
            <w:tcW w:w="992" w:type="dxa"/>
          </w:tcPr>
          <w:p w:rsidR="00311682" w:rsidRDefault="00311682" w:rsidP="004E468C">
            <w:r w:rsidRPr="00575298">
              <w:rPr>
                <w:rFonts w:ascii="Arial" w:hAnsi="Arial" w:cs="Arial"/>
              </w:rPr>
              <w:t>98,0</w:t>
            </w:r>
          </w:p>
        </w:tc>
        <w:tc>
          <w:tcPr>
            <w:tcW w:w="1276" w:type="dxa"/>
          </w:tcPr>
          <w:p w:rsidR="00311682" w:rsidRDefault="00311682" w:rsidP="004E468C">
            <w:r w:rsidRPr="00575298">
              <w:rPr>
                <w:rFonts w:ascii="Arial" w:hAnsi="Arial" w:cs="Arial"/>
              </w:rPr>
              <w:t>98,0</w:t>
            </w:r>
          </w:p>
        </w:tc>
      </w:tr>
      <w:tr w:rsidR="00311682" w:rsidRPr="00272472" w:rsidTr="004E468C">
        <w:tc>
          <w:tcPr>
            <w:tcW w:w="3686" w:type="dxa"/>
          </w:tcPr>
          <w:p w:rsidR="00311682" w:rsidRPr="00272472" w:rsidRDefault="00311682" w:rsidP="004E468C">
            <w:pPr>
              <w:jc w:val="both"/>
              <w:rPr>
                <w:rFonts w:ascii="Arial" w:hAnsi="Arial" w:cs="Arial"/>
              </w:rPr>
            </w:pPr>
            <w:r w:rsidRPr="00272472">
              <w:rPr>
                <w:rFonts w:ascii="Arial" w:hAnsi="Arial" w:cs="Arial"/>
              </w:rPr>
              <w:t xml:space="preserve">Păduri de </w:t>
            </w:r>
            <w:r>
              <w:rPr>
                <w:rFonts w:ascii="Arial" w:hAnsi="Arial" w:cs="Arial"/>
              </w:rPr>
              <w:t>cvecinee</w:t>
            </w:r>
            <w:r w:rsidRPr="00272472">
              <w:rPr>
                <w:rFonts w:ascii="Arial" w:hAnsi="Arial" w:cs="Arial"/>
              </w:rPr>
              <w:t>(%)</w:t>
            </w:r>
          </w:p>
        </w:tc>
        <w:tc>
          <w:tcPr>
            <w:tcW w:w="992" w:type="dxa"/>
          </w:tcPr>
          <w:p w:rsidR="00311682" w:rsidRPr="00272472" w:rsidRDefault="00311682" w:rsidP="004E468C">
            <w:pPr>
              <w:jc w:val="both"/>
              <w:rPr>
                <w:rFonts w:ascii="Arial" w:hAnsi="Arial" w:cs="Arial"/>
              </w:rPr>
            </w:pPr>
            <w:r>
              <w:rPr>
                <w:rFonts w:ascii="Arial" w:hAnsi="Arial" w:cs="Arial"/>
              </w:rPr>
              <w:t>1,0</w:t>
            </w:r>
          </w:p>
        </w:tc>
        <w:tc>
          <w:tcPr>
            <w:tcW w:w="1134" w:type="dxa"/>
          </w:tcPr>
          <w:p w:rsidR="00311682" w:rsidRDefault="00311682" w:rsidP="004E468C">
            <w:r w:rsidRPr="009D1A3E">
              <w:rPr>
                <w:rFonts w:ascii="Arial" w:hAnsi="Arial" w:cs="Arial"/>
              </w:rPr>
              <w:t>1,0</w:t>
            </w:r>
          </w:p>
        </w:tc>
        <w:tc>
          <w:tcPr>
            <w:tcW w:w="1134" w:type="dxa"/>
          </w:tcPr>
          <w:p w:rsidR="00311682" w:rsidRDefault="00311682" w:rsidP="004E468C">
            <w:r w:rsidRPr="009D1A3E">
              <w:rPr>
                <w:rFonts w:ascii="Arial" w:hAnsi="Arial" w:cs="Arial"/>
              </w:rPr>
              <w:t>1,0</w:t>
            </w:r>
          </w:p>
        </w:tc>
        <w:tc>
          <w:tcPr>
            <w:tcW w:w="992" w:type="dxa"/>
          </w:tcPr>
          <w:p w:rsidR="00311682" w:rsidRDefault="00311682" w:rsidP="004E468C">
            <w:r w:rsidRPr="009D1A3E">
              <w:rPr>
                <w:rFonts w:ascii="Arial" w:hAnsi="Arial" w:cs="Arial"/>
              </w:rPr>
              <w:t>1,0</w:t>
            </w:r>
          </w:p>
        </w:tc>
        <w:tc>
          <w:tcPr>
            <w:tcW w:w="1276" w:type="dxa"/>
          </w:tcPr>
          <w:p w:rsidR="00311682" w:rsidRDefault="00311682" w:rsidP="004E468C">
            <w:r w:rsidRPr="009D1A3E">
              <w:rPr>
                <w:rFonts w:ascii="Arial" w:hAnsi="Arial" w:cs="Arial"/>
              </w:rPr>
              <w:t>1,0</w:t>
            </w:r>
          </w:p>
        </w:tc>
      </w:tr>
      <w:tr w:rsidR="00311682" w:rsidRPr="00272472" w:rsidTr="004E468C">
        <w:tc>
          <w:tcPr>
            <w:tcW w:w="3686" w:type="dxa"/>
          </w:tcPr>
          <w:p w:rsidR="00311682" w:rsidRPr="00272472" w:rsidRDefault="00311682" w:rsidP="004E468C">
            <w:pPr>
              <w:jc w:val="both"/>
              <w:rPr>
                <w:rFonts w:ascii="Arial" w:hAnsi="Arial" w:cs="Arial"/>
              </w:rPr>
            </w:pPr>
            <w:r w:rsidRPr="00272472">
              <w:rPr>
                <w:rFonts w:ascii="Arial" w:hAnsi="Arial" w:cs="Arial"/>
              </w:rPr>
              <w:t>Alte terenuri (%)</w:t>
            </w:r>
          </w:p>
        </w:tc>
        <w:tc>
          <w:tcPr>
            <w:tcW w:w="992" w:type="dxa"/>
          </w:tcPr>
          <w:p w:rsidR="00311682" w:rsidRPr="00272472" w:rsidRDefault="00311682" w:rsidP="004E468C">
            <w:pPr>
              <w:jc w:val="both"/>
              <w:rPr>
                <w:rFonts w:ascii="Arial" w:hAnsi="Arial" w:cs="Arial"/>
              </w:rPr>
            </w:pPr>
            <w:r>
              <w:rPr>
                <w:rFonts w:ascii="Arial" w:hAnsi="Arial" w:cs="Arial"/>
              </w:rPr>
              <w:t>1,0</w:t>
            </w:r>
          </w:p>
        </w:tc>
        <w:tc>
          <w:tcPr>
            <w:tcW w:w="1134" w:type="dxa"/>
          </w:tcPr>
          <w:p w:rsidR="00311682" w:rsidRDefault="00311682" w:rsidP="004E468C">
            <w:r w:rsidRPr="009D1A3E">
              <w:rPr>
                <w:rFonts w:ascii="Arial" w:hAnsi="Arial" w:cs="Arial"/>
              </w:rPr>
              <w:t>1,0</w:t>
            </w:r>
          </w:p>
        </w:tc>
        <w:tc>
          <w:tcPr>
            <w:tcW w:w="1134" w:type="dxa"/>
          </w:tcPr>
          <w:p w:rsidR="00311682" w:rsidRDefault="00311682" w:rsidP="004E468C">
            <w:r w:rsidRPr="009D1A3E">
              <w:rPr>
                <w:rFonts w:ascii="Arial" w:hAnsi="Arial" w:cs="Arial"/>
              </w:rPr>
              <w:t>1,0</w:t>
            </w:r>
          </w:p>
        </w:tc>
        <w:tc>
          <w:tcPr>
            <w:tcW w:w="992" w:type="dxa"/>
          </w:tcPr>
          <w:p w:rsidR="00311682" w:rsidRDefault="00311682" w:rsidP="004E468C">
            <w:r w:rsidRPr="009D1A3E">
              <w:rPr>
                <w:rFonts w:ascii="Arial" w:hAnsi="Arial" w:cs="Arial"/>
              </w:rPr>
              <w:t>1,0</w:t>
            </w:r>
          </w:p>
        </w:tc>
        <w:tc>
          <w:tcPr>
            <w:tcW w:w="1276" w:type="dxa"/>
          </w:tcPr>
          <w:p w:rsidR="00311682" w:rsidRDefault="00311682" w:rsidP="004E468C">
            <w:r w:rsidRPr="009D1A3E">
              <w:rPr>
                <w:rFonts w:ascii="Arial" w:hAnsi="Arial" w:cs="Arial"/>
              </w:rPr>
              <w:t>1,0</w:t>
            </w:r>
          </w:p>
        </w:tc>
      </w:tr>
    </w:tbl>
    <w:p w:rsidR="00311682" w:rsidRDefault="00311682" w:rsidP="00311682">
      <w:pPr>
        <w:pStyle w:val="Default"/>
      </w:pPr>
    </w:p>
    <w:p w:rsidR="00311682" w:rsidRPr="009B61C5" w:rsidRDefault="00311682" w:rsidP="00311682">
      <w:pPr>
        <w:jc w:val="center"/>
        <w:rPr>
          <w:rFonts w:ascii="Arial" w:hAnsi="Arial" w:cs="Arial"/>
          <w:lang w:val="en-US"/>
        </w:rPr>
      </w:pPr>
      <w:r>
        <w:rPr>
          <w:rFonts w:ascii="Arial" w:hAnsi="Arial" w:cs="Arial"/>
          <w:noProof/>
          <w:lang w:val="ro-RO" w:eastAsia="ro-RO"/>
        </w:rPr>
        <w:lastRenderedPageBreak/>
        <w:drawing>
          <wp:inline distT="0" distB="0" distL="0" distR="0">
            <wp:extent cx="4752975" cy="2695575"/>
            <wp:effectExtent l="19050" t="0" r="9525" b="0"/>
            <wp:docPr id="122" name="Chart 5"/>
            <wp:cNvGraphicFramePr/>
            <a:graphic xmlns:a="http://schemas.openxmlformats.org/drawingml/2006/main">
              <a:graphicData uri="http://schemas.openxmlformats.org/drawingml/2006/chart">
                <c:chart xmlns:c="http://schemas.openxmlformats.org/drawingml/2006/chart" xmlns:r="http://schemas.openxmlformats.org/officeDocument/2006/relationships" r:id="rId98"/>
              </a:graphicData>
            </a:graphic>
          </wp:inline>
        </w:drawing>
      </w:r>
    </w:p>
    <w:p w:rsidR="00311682" w:rsidRDefault="00311682" w:rsidP="00311682">
      <w:pPr>
        <w:pStyle w:val="Default"/>
        <w:jc w:val="center"/>
        <w:rPr>
          <w:b/>
        </w:rPr>
      </w:pPr>
      <w:r>
        <w:t xml:space="preserve">Figura nr. </w:t>
      </w:r>
      <w:r w:rsidRPr="003D369C">
        <w:rPr>
          <w:color w:val="auto"/>
        </w:rPr>
        <w:t xml:space="preserve"> </w:t>
      </w:r>
      <w:r w:rsidRPr="003D369C">
        <w:t xml:space="preserve"> </w:t>
      </w:r>
      <w:r w:rsidRPr="003D369C">
        <w:rPr>
          <w:b/>
        </w:rPr>
        <w:t>VI.1.1</w:t>
      </w:r>
      <w:r>
        <w:rPr>
          <w:b/>
        </w:rPr>
        <w:t xml:space="preserve">. -5 </w:t>
      </w:r>
      <w:r w:rsidRPr="00272472">
        <w:t>Ponderea compoziţiei fondului forestier</w:t>
      </w:r>
    </w:p>
    <w:p w:rsidR="00311682" w:rsidRPr="009B61C5" w:rsidRDefault="00311682" w:rsidP="00311682">
      <w:pPr>
        <w:pStyle w:val="Default"/>
        <w:jc w:val="center"/>
      </w:pPr>
    </w:p>
    <w:p w:rsidR="00311682" w:rsidRDefault="00311682" w:rsidP="00311682">
      <w:pPr>
        <w:rPr>
          <w:rFonts w:ascii="Arial" w:hAnsi="Arial" w:cs="Arial"/>
          <w:b/>
          <w:lang w:val="en-US"/>
        </w:rPr>
      </w:pPr>
    </w:p>
    <w:p w:rsidR="00311682" w:rsidRDefault="00311682" w:rsidP="00311682">
      <w:pPr>
        <w:rPr>
          <w:rFonts w:ascii="Arial" w:hAnsi="Arial" w:cs="Arial"/>
          <w:b/>
          <w:lang w:val="en-US"/>
        </w:rPr>
      </w:pPr>
      <w:r w:rsidRPr="00FF22B8">
        <w:rPr>
          <w:rFonts w:ascii="Arial" w:hAnsi="Arial" w:cs="Arial"/>
          <w:b/>
          <w:lang w:val="en-US"/>
        </w:rPr>
        <w:t>VI.1.2. Distribuţia pădurilor după principalele forme de relief</w:t>
      </w:r>
    </w:p>
    <w:p w:rsidR="00311682" w:rsidRDefault="00311682" w:rsidP="00311682">
      <w:pPr>
        <w:rPr>
          <w:rFonts w:ascii="Arial" w:hAnsi="Arial" w:cs="Arial"/>
          <w:b/>
          <w:lang w:val="en-US"/>
        </w:rPr>
      </w:pPr>
    </w:p>
    <w:p w:rsidR="00311682" w:rsidRDefault="00311682" w:rsidP="00311682">
      <w:pPr>
        <w:jc w:val="both"/>
        <w:rPr>
          <w:rFonts w:ascii="Arial" w:hAnsi="Arial" w:cs="Arial"/>
        </w:rPr>
      </w:pPr>
      <w:r w:rsidRPr="00D01BF4">
        <w:rPr>
          <w:rFonts w:ascii="Arial" w:hAnsi="Arial" w:cs="Arial"/>
        </w:rPr>
        <w:t>Judeţul Brăila este situat integral în zona de câmpie, în lunca inundabilă a fluviului Dunărea (reprezentând cca. 57 % din suprafaţa totală de fond forestier), în luncile râurilor interioare Buzău şi Siret (cca. 21% din suprafaţa totală de fond forestier) şi 10% pe terasă. Terenurile ocupate cu păduri sau destinate împăduririi, distribuite neuniform pe suprafaţa judeţului în trupuri izolate ocupă o suprafaţă redusă.Dacă în trupurile izolate şi pe terasă predomină esenţele tari (ulm, stejar, frasin, salcâm), pădurile din luncă sunt alcătuite din plop şi salcie.</w:t>
      </w:r>
    </w:p>
    <w:p w:rsidR="00311682" w:rsidRPr="00D01BF4" w:rsidRDefault="00311682" w:rsidP="00311682">
      <w:pPr>
        <w:jc w:val="both"/>
        <w:rPr>
          <w:rFonts w:ascii="Arial" w:hAnsi="Arial" w:cs="Arial"/>
        </w:rPr>
      </w:pPr>
    </w:p>
    <w:p w:rsidR="00311682" w:rsidRPr="009B61C5"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FF22B8">
        <w:rPr>
          <w:rFonts w:ascii="Arial" w:hAnsi="Arial" w:cs="Arial"/>
          <w:b/>
          <w:lang w:val="en-US"/>
        </w:rPr>
        <w:t xml:space="preserve">VI.1.2. </w:t>
      </w:r>
      <w:r>
        <w:rPr>
          <w:rFonts w:ascii="Arial" w:hAnsi="Arial" w:cs="Arial"/>
          <w:b/>
          <w:lang w:val="en-US"/>
        </w:rPr>
        <w:t>-1</w:t>
      </w:r>
      <w:r>
        <w:rPr>
          <w:rFonts w:ascii="Arial" w:hAnsi="Arial" w:cs="Arial"/>
          <w:lang w:val="en-US"/>
        </w:rPr>
        <w:t xml:space="preserve"> </w:t>
      </w:r>
      <w:r w:rsidRPr="009B61C5">
        <w:rPr>
          <w:rFonts w:ascii="Arial" w:hAnsi="Arial" w:cs="Arial"/>
          <w:lang w:val="en-US"/>
        </w:rPr>
        <w:t xml:space="preserve">Distribuţia pădurilor după principalele forme de relief </w:t>
      </w:r>
    </w:p>
    <w:tbl>
      <w:tblPr>
        <w:tblStyle w:val="TableGrid"/>
        <w:tblW w:w="0" w:type="auto"/>
        <w:tblLook w:val="04A0"/>
      </w:tblPr>
      <w:tblGrid>
        <w:gridCol w:w="4644"/>
        <w:gridCol w:w="4644"/>
      </w:tblGrid>
      <w:tr w:rsidR="00311682" w:rsidRPr="009B61C5" w:rsidTr="004E468C">
        <w:tc>
          <w:tcPr>
            <w:tcW w:w="4644" w:type="dxa"/>
          </w:tcPr>
          <w:p w:rsidR="00311682" w:rsidRPr="009B61C5" w:rsidRDefault="00311682" w:rsidP="004E468C">
            <w:pPr>
              <w:rPr>
                <w:rFonts w:ascii="Arial" w:hAnsi="Arial" w:cs="Arial"/>
                <w:lang w:val="en-US"/>
              </w:rPr>
            </w:pPr>
            <w:r w:rsidRPr="009B61C5">
              <w:rPr>
                <w:rFonts w:ascii="Arial" w:hAnsi="Arial" w:cs="Arial"/>
                <w:lang w:val="en-US"/>
              </w:rPr>
              <w:t>Principalele forme de relief</w:t>
            </w:r>
          </w:p>
        </w:tc>
        <w:tc>
          <w:tcPr>
            <w:tcW w:w="4644" w:type="dxa"/>
          </w:tcPr>
          <w:p w:rsidR="00311682" w:rsidRPr="009B61C5" w:rsidRDefault="00311682" w:rsidP="004E468C">
            <w:pPr>
              <w:rPr>
                <w:rFonts w:ascii="Arial" w:hAnsi="Arial" w:cs="Arial"/>
                <w:lang w:val="en-US"/>
              </w:rPr>
            </w:pPr>
            <w:r w:rsidRPr="009B61C5">
              <w:rPr>
                <w:rFonts w:ascii="Arial" w:hAnsi="Arial" w:cs="Arial"/>
                <w:lang w:val="en-US"/>
              </w:rPr>
              <w:t>Ponderea pădurilor după principalele forme de relief (%)</w:t>
            </w:r>
          </w:p>
        </w:tc>
      </w:tr>
      <w:tr w:rsidR="00311682" w:rsidRPr="009B61C5" w:rsidTr="004E468C">
        <w:tc>
          <w:tcPr>
            <w:tcW w:w="4644" w:type="dxa"/>
          </w:tcPr>
          <w:p w:rsidR="00311682" w:rsidRPr="00272472" w:rsidRDefault="00311682" w:rsidP="004E468C">
            <w:pPr>
              <w:rPr>
                <w:rFonts w:ascii="Arial" w:hAnsi="Arial" w:cs="Arial"/>
                <w:lang w:val="en-US"/>
              </w:rPr>
            </w:pPr>
            <w:r w:rsidRPr="00272472">
              <w:rPr>
                <w:rFonts w:ascii="Arial" w:hAnsi="Arial" w:cs="Arial"/>
                <w:lang w:val="en-US"/>
              </w:rPr>
              <w:t>Câmpie</w:t>
            </w:r>
          </w:p>
        </w:tc>
        <w:tc>
          <w:tcPr>
            <w:tcW w:w="4644" w:type="dxa"/>
          </w:tcPr>
          <w:p w:rsidR="00311682" w:rsidRPr="009B61C5" w:rsidRDefault="00311682" w:rsidP="004E468C">
            <w:pPr>
              <w:rPr>
                <w:rFonts w:ascii="Arial" w:hAnsi="Arial" w:cs="Arial"/>
                <w:lang w:val="en-US"/>
              </w:rPr>
            </w:pPr>
            <w:r>
              <w:rPr>
                <w:rFonts w:ascii="Arial" w:hAnsi="Arial" w:cs="Arial"/>
                <w:lang w:val="en-US"/>
              </w:rPr>
              <w:t>27414</w:t>
            </w:r>
          </w:p>
        </w:tc>
      </w:tr>
    </w:tbl>
    <w:p w:rsidR="00311682" w:rsidRPr="009B61C5" w:rsidRDefault="00311682" w:rsidP="00311682">
      <w:pPr>
        <w:rPr>
          <w:rFonts w:ascii="Arial" w:hAnsi="Arial" w:cs="Arial"/>
          <w:lang w:val="en-US"/>
        </w:rPr>
      </w:pPr>
    </w:p>
    <w:p w:rsidR="00311682" w:rsidRPr="009B61C5"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FF22B8">
        <w:rPr>
          <w:rFonts w:ascii="Arial" w:hAnsi="Arial" w:cs="Arial"/>
          <w:b/>
          <w:lang w:val="en-US"/>
        </w:rPr>
        <w:t xml:space="preserve">VI.1.2. </w:t>
      </w:r>
      <w:r>
        <w:rPr>
          <w:rFonts w:ascii="Arial" w:hAnsi="Arial" w:cs="Arial"/>
          <w:b/>
          <w:lang w:val="en-US"/>
        </w:rPr>
        <w:t>-2</w:t>
      </w:r>
      <w:r>
        <w:rPr>
          <w:rFonts w:ascii="Arial" w:hAnsi="Arial" w:cs="Arial"/>
          <w:lang w:val="en-US"/>
        </w:rPr>
        <w:t xml:space="preserve"> </w:t>
      </w:r>
      <w:r w:rsidRPr="009B61C5">
        <w:rPr>
          <w:rFonts w:ascii="Arial" w:hAnsi="Arial" w:cs="Arial"/>
          <w:lang w:val="en-US"/>
        </w:rPr>
        <w:t xml:space="preserve">Distribuţia pădurilor pe specii şi grupe de specii </w:t>
      </w:r>
    </w:p>
    <w:tbl>
      <w:tblPr>
        <w:tblStyle w:val="TableGrid"/>
        <w:tblW w:w="0" w:type="auto"/>
        <w:tblLook w:val="04A0"/>
      </w:tblPr>
      <w:tblGrid>
        <w:gridCol w:w="4644"/>
        <w:gridCol w:w="4644"/>
      </w:tblGrid>
      <w:tr w:rsidR="00311682" w:rsidRPr="009B61C5" w:rsidTr="004E468C">
        <w:tc>
          <w:tcPr>
            <w:tcW w:w="4644" w:type="dxa"/>
          </w:tcPr>
          <w:p w:rsidR="00311682" w:rsidRPr="009B61C5" w:rsidRDefault="00311682" w:rsidP="004E468C">
            <w:pPr>
              <w:rPr>
                <w:rFonts w:ascii="Arial" w:hAnsi="Arial" w:cs="Arial"/>
                <w:lang w:val="en-US"/>
              </w:rPr>
            </w:pPr>
            <w:r w:rsidRPr="009B61C5">
              <w:rPr>
                <w:rFonts w:ascii="Arial" w:hAnsi="Arial" w:cs="Arial"/>
                <w:lang w:val="en-US"/>
              </w:rPr>
              <w:t>Principalele tipuri</w:t>
            </w:r>
          </w:p>
        </w:tc>
        <w:tc>
          <w:tcPr>
            <w:tcW w:w="4644" w:type="dxa"/>
          </w:tcPr>
          <w:p w:rsidR="00311682" w:rsidRPr="009B61C5" w:rsidRDefault="00311682" w:rsidP="004E468C">
            <w:pPr>
              <w:rPr>
                <w:rFonts w:ascii="Arial" w:hAnsi="Arial" w:cs="Arial"/>
                <w:lang w:val="en-US"/>
              </w:rPr>
            </w:pPr>
            <w:r w:rsidRPr="009B61C5">
              <w:rPr>
                <w:rFonts w:ascii="Arial" w:hAnsi="Arial" w:cs="Arial"/>
                <w:lang w:val="en-US"/>
              </w:rPr>
              <w:t>Ponderea speciilor  (%)</w:t>
            </w:r>
          </w:p>
        </w:tc>
      </w:tr>
      <w:tr w:rsidR="00311682" w:rsidRPr="009B61C5" w:rsidTr="004E468C">
        <w:tc>
          <w:tcPr>
            <w:tcW w:w="4644" w:type="dxa"/>
          </w:tcPr>
          <w:p w:rsidR="00311682" w:rsidRPr="00272472" w:rsidRDefault="00311682" w:rsidP="004E468C">
            <w:pPr>
              <w:rPr>
                <w:rFonts w:ascii="Arial" w:hAnsi="Arial" w:cs="Arial"/>
                <w:lang w:val="en-US"/>
              </w:rPr>
            </w:pPr>
            <w:r w:rsidRPr="00272472">
              <w:rPr>
                <w:rFonts w:ascii="Arial" w:hAnsi="Arial" w:cs="Arial"/>
                <w:lang w:val="en-US"/>
              </w:rPr>
              <w:t>Fag</w:t>
            </w:r>
          </w:p>
        </w:tc>
        <w:tc>
          <w:tcPr>
            <w:tcW w:w="4644" w:type="dxa"/>
          </w:tcPr>
          <w:p w:rsidR="00311682" w:rsidRPr="009B61C5" w:rsidRDefault="00311682" w:rsidP="004E468C">
            <w:pPr>
              <w:rPr>
                <w:rFonts w:ascii="Arial" w:hAnsi="Arial" w:cs="Arial"/>
                <w:lang w:val="en-US"/>
              </w:rPr>
            </w:pPr>
            <w:r>
              <w:rPr>
                <w:rFonts w:ascii="Arial" w:hAnsi="Arial" w:cs="Arial"/>
                <w:lang w:val="en-US"/>
              </w:rPr>
              <w:t>0</w:t>
            </w:r>
          </w:p>
        </w:tc>
      </w:tr>
      <w:tr w:rsidR="00311682" w:rsidRPr="009B61C5" w:rsidTr="004E468C">
        <w:tc>
          <w:tcPr>
            <w:tcW w:w="4644" w:type="dxa"/>
          </w:tcPr>
          <w:p w:rsidR="00311682" w:rsidRPr="00272472" w:rsidRDefault="00311682" w:rsidP="004E468C">
            <w:pPr>
              <w:rPr>
                <w:rFonts w:ascii="Arial" w:hAnsi="Arial" w:cs="Arial"/>
                <w:lang w:val="en-US"/>
              </w:rPr>
            </w:pPr>
            <w:r w:rsidRPr="00272472">
              <w:rPr>
                <w:rFonts w:ascii="Arial" w:hAnsi="Arial" w:cs="Arial"/>
                <w:lang w:val="en-US"/>
              </w:rPr>
              <w:t>Stejar</w:t>
            </w:r>
          </w:p>
        </w:tc>
        <w:tc>
          <w:tcPr>
            <w:tcW w:w="4644" w:type="dxa"/>
          </w:tcPr>
          <w:p w:rsidR="00311682" w:rsidRPr="009B61C5" w:rsidRDefault="00311682" w:rsidP="004E468C">
            <w:pPr>
              <w:rPr>
                <w:rFonts w:ascii="Arial" w:hAnsi="Arial" w:cs="Arial"/>
                <w:lang w:val="en-US"/>
              </w:rPr>
            </w:pPr>
            <w:r>
              <w:rPr>
                <w:rFonts w:ascii="Arial" w:hAnsi="Arial" w:cs="Arial"/>
                <w:lang w:val="en-US"/>
              </w:rPr>
              <w:t>1,0</w:t>
            </w:r>
          </w:p>
        </w:tc>
      </w:tr>
      <w:tr w:rsidR="00311682" w:rsidRPr="009B61C5" w:rsidTr="004E468C">
        <w:tc>
          <w:tcPr>
            <w:tcW w:w="4644" w:type="dxa"/>
          </w:tcPr>
          <w:p w:rsidR="00311682" w:rsidRPr="00272472" w:rsidRDefault="00311682" w:rsidP="004E468C">
            <w:pPr>
              <w:rPr>
                <w:rFonts w:ascii="Arial" w:hAnsi="Arial" w:cs="Arial"/>
                <w:lang w:val="en-US"/>
              </w:rPr>
            </w:pPr>
            <w:r w:rsidRPr="00272472">
              <w:rPr>
                <w:rFonts w:ascii="Arial" w:hAnsi="Arial" w:cs="Arial"/>
                <w:lang w:val="en-US"/>
              </w:rPr>
              <w:t>Diverse tari</w:t>
            </w:r>
          </w:p>
        </w:tc>
        <w:tc>
          <w:tcPr>
            <w:tcW w:w="4644" w:type="dxa"/>
          </w:tcPr>
          <w:p w:rsidR="00311682" w:rsidRPr="009B61C5" w:rsidRDefault="00311682" w:rsidP="004E468C">
            <w:pPr>
              <w:rPr>
                <w:rFonts w:ascii="Arial" w:hAnsi="Arial" w:cs="Arial"/>
                <w:lang w:val="en-US"/>
              </w:rPr>
            </w:pPr>
            <w:r>
              <w:rPr>
                <w:rFonts w:ascii="Arial" w:hAnsi="Arial" w:cs="Arial"/>
                <w:lang w:val="en-US"/>
              </w:rPr>
              <w:t>12,0</w:t>
            </w:r>
          </w:p>
        </w:tc>
      </w:tr>
      <w:tr w:rsidR="00311682" w:rsidRPr="009B61C5" w:rsidTr="004E468C">
        <w:tc>
          <w:tcPr>
            <w:tcW w:w="4644" w:type="dxa"/>
          </w:tcPr>
          <w:p w:rsidR="00311682" w:rsidRPr="00272472" w:rsidRDefault="00311682" w:rsidP="004E468C">
            <w:pPr>
              <w:rPr>
                <w:rFonts w:ascii="Arial" w:hAnsi="Arial" w:cs="Arial"/>
                <w:lang w:val="en-US"/>
              </w:rPr>
            </w:pPr>
            <w:r w:rsidRPr="00272472">
              <w:rPr>
                <w:rFonts w:ascii="Arial" w:hAnsi="Arial" w:cs="Arial"/>
                <w:lang w:val="en-US"/>
              </w:rPr>
              <w:t>Diverse moi</w:t>
            </w:r>
          </w:p>
        </w:tc>
        <w:tc>
          <w:tcPr>
            <w:tcW w:w="4644" w:type="dxa"/>
          </w:tcPr>
          <w:p w:rsidR="00311682" w:rsidRPr="009B61C5" w:rsidRDefault="00311682" w:rsidP="004E468C">
            <w:pPr>
              <w:rPr>
                <w:rFonts w:ascii="Arial" w:hAnsi="Arial" w:cs="Arial"/>
                <w:lang w:val="en-US"/>
              </w:rPr>
            </w:pPr>
            <w:r>
              <w:rPr>
                <w:rFonts w:ascii="Arial" w:hAnsi="Arial" w:cs="Arial"/>
                <w:lang w:val="en-US"/>
              </w:rPr>
              <w:t>87,0</w:t>
            </w:r>
          </w:p>
        </w:tc>
      </w:tr>
    </w:tbl>
    <w:p w:rsidR="00311682" w:rsidRDefault="00311682" w:rsidP="00311682">
      <w:pPr>
        <w:rPr>
          <w:rFonts w:ascii="Arial" w:hAnsi="Arial" w:cs="Arial"/>
          <w:lang w:val="en-US"/>
        </w:rPr>
      </w:pPr>
    </w:p>
    <w:p w:rsidR="00311682" w:rsidRPr="009B61C5"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FF22B8">
        <w:rPr>
          <w:rFonts w:ascii="Arial" w:hAnsi="Arial" w:cs="Arial"/>
          <w:b/>
          <w:lang w:val="en-US"/>
        </w:rPr>
        <w:t xml:space="preserve">VI.1.2. </w:t>
      </w:r>
      <w:r>
        <w:rPr>
          <w:rFonts w:ascii="Arial" w:hAnsi="Arial" w:cs="Arial"/>
          <w:b/>
          <w:lang w:val="en-US"/>
        </w:rPr>
        <w:t>-1</w:t>
      </w:r>
      <w:r>
        <w:rPr>
          <w:rFonts w:ascii="Arial" w:hAnsi="Arial" w:cs="Arial"/>
          <w:lang w:val="en-US"/>
        </w:rPr>
        <w:t xml:space="preserve"> </w:t>
      </w:r>
      <w:r w:rsidRPr="009B61C5">
        <w:rPr>
          <w:rFonts w:ascii="Arial" w:hAnsi="Arial" w:cs="Arial"/>
          <w:lang w:val="en-US"/>
        </w:rPr>
        <w:t>Distribuţia pădurilor, grupe de specii, după principalele forme de relief (ha)</w:t>
      </w:r>
    </w:p>
    <w:tbl>
      <w:tblPr>
        <w:tblStyle w:val="TableGrid"/>
        <w:tblW w:w="0" w:type="auto"/>
        <w:tblLook w:val="04A0"/>
      </w:tblPr>
      <w:tblGrid>
        <w:gridCol w:w="1548"/>
        <w:gridCol w:w="1548"/>
        <w:gridCol w:w="1548"/>
        <w:gridCol w:w="1548"/>
        <w:gridCol w:w="1565"/>
        <w:gridCol w:w="1565"/>
      </w:tblGrid>
      <w:tr w:rsidR="00311682" w:rsidRPr="009B61C5" w:rsidTr="004E468C">
        <w:tc>
          <w:tcPr>
            <w:tcW w:w="1548" w:type="dxa"/>
          </w:tcPr>
          <w:p w:rsidR="00311682" w:rsidRPr="009B61C5" w:rsidRDefault="00311682" w:rsidP="004E468C">
            <w:pPr>
              <w:rPr>
                <w:rFonts w:ascii="Arial" w:hAnsi="Arial" w:cs="Arial"/>
                <w:lang w:val="en-US"/>
              </w:rPr>
            </w:pPr>
          </w:p>
        </w:tc>
        <w:tc>
          <w:tcPr>
            <w:tcW w:w="1548" w:type="dxa"/>
          </w:tcPr>
          <w:p w:rsidR="00311682" w:rsidRPr="009B61C5" w:rsidRDefault="00311682" w:rsidP="004E468C">
            <w:pPr>
              <w:rPr>
                <w:rFonts w:ascii="Arial" w:hAnsi="Arial" w:cs="Arial"/>
                <w:lang w:val="en-US"/>
              </w:rPr>
            </w:pPr>
            <w:r w:rsidRPr="009B61C5">
              <w:rPr>
                <w:rFonts w:ascii="Arial" w:hAnsi="Arial" w:cs="Arial"/>
                <w:lang w:val="en-US"/>
              </w:rPr>
              <w:t>Răşinoase</w:t>
            </w:r>
          </w:p>
        </w:tc>
        <w:tc>
          <w:tcPr>
            <w:tcW w:w="1548" w:type="dxa"/>
          </w:tcPr>
          <w:p w:rsidR="00311682" w:rsidRPr="009B61C5" w:rsidRDefault="00311682" w:rsidP="004E468C">
            <w:pPr>
              <w:rPr>
                <w:rFonts w:ascii="Arial" w:hAnsi="Arial" w:cs="Arial"/>
                <w:lang w:val="en-US"/>
              </w:rPr>
            </w:pPr>
            <w:r w:rsidRPr="009B61C5">
              <w:rPr>
                <w:rFonts w:ascii="Arial" w:hAnsi="Arial" w:cs="Arial"/>
                <w:lang w:val="en-US"/>
              </w:rPr>
              <w:t>Fag</w:t>
            </w:r>
          </w:p>
        </w:tc>
        <w:tc>
          <w:tcPr>
            <w:tcW w:w="1548" w:type="dxa"/>
          </w:tcPr>
          <w:p w:rsidR="00311682" w:rsidRPr="009B61C5" w:rsidRDefault="00311682" w:rsidP="004E468C">
            <w:pPr>
              <w:rPr>
                <w:rFonts w:ascii="Arial" w:hAnsi="Arial" w:cs="Arial"/>
                <w:lang w:val="en-US"/>
              </w:rPr>
            </w:pPr>
            <w:r w:rsidRPr="009B61C5">
              <w:rPr>
                <w:rFonts w:ascii="Arial" w:hAnsi="Arial" w:cs="Arial"/>
                <w:lang w:val="en-US"/>
              </w:rPr>
              <w:t>Cvercinee</w:t>
            </w:r>
          </w:p>
        </w:tc>
        <w:tc>
          <w:tcPr>
            <w:tcW w:w="1565" w:type="dxa"/>
          </w:tcPr>
          <w:p w:rsidR="00311682" w:rsidRPr="009B61C5" w:rsidRDefault="00311682" w:rsidP="004E468C">
            <w:pPr>
              <w:rPr>
                <w:rFonts w:ascii="Arial" w:hAnsi="Arial" w:cs="Arial"/>
                <w:lang w:val="en-US"/>
              </w:rPr>
            </w:pPr>
            <w:r w:rsidRPr="009B61C5">
              <w:rPr>
                <w:rFonts w:ascii="Arial" w:hAnsi="Arial" w:cs="Arial"/>
                <w:lang w:val="en-US"/>
              </w:rPr>
              <w:t>Foioase tari</w:t>
            </w:r>
          </w:p>
        </w:tc>
        <w:tc>
          <w:tcPr>
            <w:tcW w:w="1565" w:type="dxa"/>
          </w:tcPr>
          <w:p w:rsidR="00311682" w:rsidRPr="009B61C5" w:rsidRDefault="00311682" w:rsidP="004E468C">
            <w:pPr>
              <w:rPr>
                <w:rFonts w:ascii="Arial" w:hAnsi="Arial" w:cs="Arial"/>
                <w:lang w:val="en-US"/>
              </w:rPr>
            </w:pPr>
            <w:r>
              <w:rPr>
                <w:rFonts w:ascii="Arial" w:hAnsi="Arial" w:cs="Arial"/>
                <w:lang w:val="en-US"/>
              </w:rPr>
              <w:t>Foioase moi</w:t>
            </w:r>
          </w:p>
        </w:tc>
      </w:tr>
      <w:tr w:rsidR="00311682" w:rsidRPr="009B61C5" w:rsidTr="004E468C">
        <w:tc>
          <w:tcPr>
            <w:tcW w:w="1548" w:type="dxa"/>
          </w:tcPr>
          <w:p w:rsidR="00311682" w:rsidRPr="00272472" w:rsidRDefault="00311682" w:rsidP="004E468C">
            <w:pPr>
              <w:rPr>
                <w:rFonts w:ascii="Arial" w:hAnsi="Arial" w:cs="Arial"/>
                <w:lang w:val="en-US"/>
              </w:rPr>
            </w:pPr>
            <w:r w:rsidRPr="00272472">
              <w:rPr>
                <w:rFonts w:ascii="Arial" w:hAnsi="Arial" w:cs="Arial"/>
                <w:lang w:val="en-US"/>
              </w:rPr>
              <w:t>Câmpie</w:t>
            </w:r>
          </w:p>
        </w:tc>
        <w:tc>
          <w:tcPr>
            <w:tcW w:w="1548" w:type="dxa"/>
          </w:tcPr>
          <w:p w:rsidR="00311682" w:rsidRPr="009B61C5" w:rsidRDefault="00311682" w:rsidP="004E468C">
            <w:pPr>
              <w:rPr>
                <w:rFonts w:ascii="Arial" w:hAnsi="Arial" w:cs="Arial"/>
                <w:lang w:val="en-US"/>
              </w:rPr>
            </w:pPr>
            <w:r>
              <w:rPr>
                <w:rFonts w:ascii="Arial" w:hAnsi="Arial" w:cs="Arial"/>
                <w:lang w:val="en-US"/>
              </w:rPr>
              <w:t>0</w:t>
            </w:r>
          </w:p>
        </w:tc>
        <w:tc>
          <w:tcPr>
            <w:tcW w:w="1548" w:type="dxa"/>
          </w:tcPr>
          <w:p w:rsidR="00311682" w:rsidRPr="009B61C5" w:rsidRDefault="00311682" w:rsidP="004E468C">
            <w:pPr>
              <w:rPr>
                <w:rFonts w:ascii="Arial" w:hAnsi="Arial" w:cs="Arial"/>
                <w:lang w:val="en-US"/>
              </w:rPr>
            </w:pPr>
            <w:r>
              <w:rPr>
                <w:rFonts w:ascii="Arial" w:hAnsi="Arial" w:cs="Arial"/>
                <w:lang w:val="en-US"/>
              </w:rPr>
              <w:t>0</w:t>
            </w:r>
          </w:p>
        </w:tc>
        <w:tc>
          <w:tcPr>
            <w:tcW w:w="1548" w:type="dxa"/>
          </w:tcPr>
          <w:p w:rsidR="00311682" w:rsidRPr="009B61C5" w:rsidRDefault="00311682" w:rsidP="004E468C">
            <w:pPr>
              <w:rPr>
                <w:rFonts w:ascii="Arial" w:hAnsi="Arial" w:cs="Arial"/>
                <w:lang w:val="en-US"/>
              </w:rPr>
            </w:pPr>
            <w:r>
              <w:rPr>
                <w:rFonts w:ascii="Arial" w:hAnsi="Arial" w:cs="Arial"/>
                <w:lang w:val="en-US"/>
              </w:rPr>
              <w:t>2304</w:t>
            </w:r>
          </w:p>
        </w:tc>
        <w:tc>
          <w:tcPr>
            <w:tcW w:w="1565" w:type="dxa"/>
          </w:tcPr>
          <w:p w:rsidR="00311682" w:rsidRPr="009B61C5" w:rsidRDefault="00311682" w:rsidP="004E468C">
            <w:pPr>
              <w:rPr>
                <w:rFonts w:ascii="Arial" w:hAnsi="Arial" w:cs="Arial"/>
                <w:lang w:val="en-US"/>
              </w:rPr>
            </w:pPr>
            <w:r>
              <w:rPr>
                <w:rFonts w:ascii="Arial" w:hAnsi="Arial" w:cs="Arial"/>
                <w:lang w:val="en-US"/>
              </w:rPr>
              <w:t>20724</w:t>
            </w:r>
          </w:p>
        </w:tc>
        <w:tc>
          <w:tcPr>
            <w:tcW w:w="1565" w:type="dxa"/>
          </w:tcPr>
          <w:p w:rsidR="00311682" w:rsidRPr="009B61C5" w:rsidRDefault="00311682" w:rsidP="004E468C">
            <w:pPr>
              <w:rPr>
                <w:rFonts w:ascii="Arial" w:hAnsi="Arial" w:cs="Arial"/>
                <w:lang w:val="en-US"/>
              </w:rPr>
            </w:pPr>
            <w:r>
              <w:rPr>
                <w:rFonts w:ascii="Arial" w:hAnsi="Arial" w:cs="Arial"/>
                <w:lang w:val="en-US"/>
              </w:rPr>
              <w:t>800</w:t>
            </w:r>
          </w:p>
        </w:tc>
      </w:tr>
    </w:tbl>
    <w:p w:rsidR="00311682" w:rsidRDefault="00311682" w:rsidP="00311682">
      <w:pPr>
        <w:tabs>
          <w:tab w:val="left" w:pos="0"/>
          <w:tab w:val="left" w:pos="2268"/>
          <w:tab w:val="left" w:leader="dot" w:pos="8640"/>
        </w:tabs>
        <w:contextualSpacing/>
        <w:jc w:val="both"/>
      </w:pPr>
    </w:p>
    <w:p w:rsidR="00311682" w:rsidRDefault="00311682" w:rsidP="00311682">
      <w:pPr>
        <w:tabs>
          <w:tab w:val="left" w:pos="0"/>
          <w:tab w:val="left" w:pos="2268"/>
          <w:tab w:val="left" w:leader="dot" w:pos="8640"/>
        </w:tabs>
        <w:contextualSpacing/>
        <w:jc w:val="both"/>
        <w:rPr>
          <w:rFonts w:ascii="Arial" w:hAnsi="Arial" w:cs="Arial"/>
        </w:rPr>
      </w:pPr>
      <w:r w:rsidRPr="002F7D73">
        <w:rPr>
          <w:rFonts w:ascii="Arial" w:hAnsi="Arial" w:cs="Arial"/>
        </w:rPr>
        <w:t>Funcţia economică a pădurilor</w:t>
      </w:r>
    </w:p>
    <w:p w:rsidR="00311682" w:rsidRPr="002C1D60" w:rsidRDefault="00311682" w:rsidP="00311682">
      <w:pPr>
        <w:pStyle w:val="ListParagraph"/>
        <w:tabs>
          <w:tab w:val="left" w:pos="0"/>
          <w:tab w:val="left" w:pos="2268"/>
          <w:tab w:val="left" w:leader="dot" w:pos="8640"/>
        </w:tabs>
        <w:ind w:left="0"/>
        <w:jc w:val="both"/>
        <w:rPr>
          <w:rFonts w:ascii="Arial" w:eastAsia="SimSun" w:hAnsi="Arial" w:cs="Arial"/>
          <w:lang w:eastAsia="en-US"/>
        </w:rPr>
      </w:pPr>
      <w:r w:rsidRPr="002C1D60">
        <w:rPr>
          <w:rFonts w:ascii="Arial" w:eastAsia="SimSun" w:hAnsi="Arial" w:cs="Arial"/>
          <w:lang w:eastAsia="en-US"/>
        </w:rPr>
        <w:t xml:space="preserve">Pădurea îndeplineşte multiplele funcţii: ecologice, economice şi sociale, este un bun de interes naţional, care condiţionează diverse domenii de activitate, de la protecţia mediului, până la cele legate de valorificarea resurselor naturale. </w:t>
      </w:r>
    </w:p>
    <w:p w:rsidR="00311682" w:rsidRPr="00D01BF4" w:rsidRDefault="00311682" w:rsidP="00311682">
      <w:pPr>
        <w:pStyle w:val="ListParagraph"/>
        <w:tabs>
          <w:tab w:val="left" w:pos="0"/>
          <w:tab w:val="left" w:pos="2268"/>
          <w:tab w:val="left" w:leader="dot" w:pos="8640"/>
        </w:tabs>
        <w:ind w:left="0"/>
        <w:jc w:val="both"/>
        <w:rPr>
          <w:rFonts w:ascii="Arial" w:eastAsia="SimSun" w:hAnsi="Arial" w:cs="Arial"/>
          <w:lang w:eastAsia="en-US"/>
        </w:rPr>
      </w:pPr>
      <w:r w:rsidRPr="002C1D60">
        <w:rPr>
          <w:rFonts w:ascii="Arial" w:eastAsia="SimSun" w:hAnsi="Arial" w:cs="Arial"/>
          <w:lang w:eastAsia="en-US"/>
        </w:rPr>
        <w:t xml:space="preserve">Lemnul constituie principalul produs valorificabil al pădurilor. Acesta este, deopotrivă, materie primă în industria de prelucrare şi industria materialelor de </w:t>
      </w:r>
      <w:r w:rsidRPr="00D01BF4">
        <w:rPr>
          <w:rFonts w:ascii="Arial" w:eastAsia="SimSun" w:hAnsi="Arial" w:cs="Arial"/>
          <w:lang w:eastAsia="en-US"/>
        </w:rPr>
        <w:t>construcţii, cât şi combustibil.</w:t>
      </w:r>
    </w:p>
    <w:p w:rsidR="00311682" w:rsidRPr="002F7D73" w:rsidRDefault="00311682" w:rsidP="00311682">
      <w:pPr>
        <w:jc w:val="both"/>
        <w:rPr>
          <w:rFonts w:ascii="Arial" w:hAnsi="Arial" w:cs="Arial"/>
        </w:rPr>
      </w:pPr>
      <w:r w:rsidRPr="00D01BF4">
        <w:rPr>
          <w:rFonts w:ascii="Arial" w:hAnsi="Arial" w:cs="Arial"/>
        </w:rPr>
        <w:lastRenderedPageBreak/>
        <w:t>Cea mai mare suprafaţă a pădurilor din judeţul Brăila se încadrează în grupa a II –a funcţională, (1010,47 ha) având rol de producţie şi protecţie şi doar 482 ha (zona Insula Mică a Brăilei) au rol exclusiv de protecţie, încadrându-se în grupa a I-a de protecţie.</w:t>
      </w:r>
    </w:p>
    <w:p w:rsidR="00311682" w:rsidRDefault="00311682" w:rsidP="00311682">
      <w:pPr>
        <w:jc w:val="both"/>
        <w:rPr>
          <w:rFonts w:ascii="Arial" w:hAnsi="Arial" w:cs="Arial"/>
          <w:lang w:val="en-US"/>
        </w:rPr>
      </w:pPr>
    </w:p>
    <w:p w:rsidR="00311682" w:rsidRDefault="00311682" w:rsidP="00311682">
      <w:pPr>
        <w:jc w:val="both"/>
        <w:rPr>
          <w:rFonts w:ascii="Arial" w:hAnsi="Arial" w:cs="Arial"/>
        </w:rPr>
      </w:pPr>
      <w:r>
        <w:rPr>
          <w:rFonts w:ascii="Arial" w:hAnsi="Arial" w:cs="Arial"/>
          <w:lang w:val="en-US"/>
        </w:rPr>
        <w:t>Tabelul nr.</w:t>
      </w:r>
      <w:r w:rsidRPr="00FB4432">
        <w:rPr>
          <w:rFonts w:ascii="Arial" w:hAnsi="Arial" w:cs="Arial"/>
          <w:b/>
          <w:lang w:val="en-US"/>
        </w:rPr>
        <w:t xml:space="preserve"> </w:t>
      </w:r>
      <w:r w:rsidRPr="00FF22B8">
        <w:rPr>
          <w:rFonts w:ascii="Arial" w:hAnsi="Arial" w:cs="Arial"/>
          <w:b/>
          <w:lang w:val="en-US"/>
        </w:rPr>
        <w:t xml:space="preserve">VI.1.2. </w:t>
      </w:r>
      <w:r>
        <w:rPr>
          <w:rFonts w:ascii="Arial" w:hAnsi="Arial" w:cs="Arial"/>
          <w:b/>
          <w:lang w:val="en-US"/>
        </w:rPr>
        <w:t>-2</w:t>
      </w:r>
      <w:r>
        <w:rPr>
          <w:rFonts w:ascii="Arial" w:hAnsi="Arial" w:cs="Arial"/>
          <w:lang w:val="en-US"/>
        </w:rPr>
        <w:t xml:space="preserve"> </w:t>
      </w:r>
      <w:r w:rsidRPr="002F7D73">
        <w:rPr>
          <w:rFonts w:ascii="Arial" w:hAnsi="Arial" w:cs="Arial"/>
        </w:rPr>
        <w:t xml:space="preserve">Distribuţia pădurilor pe tipuri funcţionale </w:t>
      </w:r>
    </w:p>
    <w:tbl>
      <w:tblPr>
        <w:tblStyle w:val="TableGrid"/>
        <w:tblW w:w="0" w:type="auto"/>
        <w:tblLook w:val="04A0"/>
      </w:tblPr>
      <w:tblGrid>
        <w:gridCol w:w="4811"/>
        <w:gridCol w:w="4511"/>
      </w:tblGrid>
      <w:tr w:rsidR="00311682" w:rsidTr="004E468C">
        <w:tc>
          <w:tcPr>
            <w:tcW w:w="4811" w:type="dxa"/>
          </w:tcPr>
          <w:p w:rsidR="00311682" w:rsidRPr="00FB6B27" w:rsidRDefault="00311682" w:rsidP="004E468C">
            <w:pPr>
              <w:jc w:val="center"/>
              <w:rPr>
                <w:rFonts w:ascii="Arial" w:eastAsia="Calibri" w:hAnsi="Arial" w:cs="Arial"/>
                <w:b/>
              </w:rPr>
            </w:pPr>
            <w:r w:rsidRPr="00FB6B27">
              <w:rPr>
                <w:rFonts w:ascii="Arial" w:eastAsia="Calibri" w:hAnsi="Arial" w:cs="Arial"/>
                <w:b/>
              </w:rPr>
              <w:t xml:space="preserve">Tipuri functionale </w:t>
            </w:r>
          </w:p>
        </w:tc>
        <w:tc>
          <w:tcPr>
            <w:tcW w:w="4511" w:type="dxa"/>
          </w:tcPr>
          <w:p w:rsidR="00311682" w:rsidRPr="00FB6B27" w:rsidRDefault="00311682" w:rsidP="004E468C">
            <w:pPr>
              <w:jc w:val="center"/>
              <w:rPr>
                <w:rFonts w:ascii="Arial" w:eastAsia="Calibri" w:hAnsi="Arial" w:cs="Arial"/>
                <w:b/>
              </w:rPr>
            </w:pPr>
            <w:r w:rsidRPr="00FB6B27">
              <w:rPr>
                <w:rFonts w:ascii="Arial" w:eastAsia="Calibri" w:hAnsi="Arial" w:cs="Arial"/>
                <w:b/>
              </w:rPr>
              <w:t>Suprafata (ha)</w:t>
            </w:r>
          </w:p>
        </w:tc>
      </w:tr>
      <w:tr w:rsidR="00311682" w:rsidTr="004E468C">
        <w:tc>
          <w:tcPr>
            <w:tcW w:w="4811" w:type="dxa"/>
          </w:tcPr>
          <w:p w:rsidR="00311682" w:rsidRPr="00FB6B27" w:rsidRDefault="00311682" w:rsidP="004E468C">
            <w:pPr>
              <w:rPr>
                <w:rFonts w:ascii="Arial" w:eastAsia="Calibri" w:hAnsi="Arial" w:cs="Arial"/>
              </w:rPr>
            </w:pPr>
            <w:r w:rsidRPr="00FB6B27">
              <w:rPr>
                <w:rFonts w:ascii="Arial" w:eastAsia="Calibri" w:hAnsi="Arial" w:cs="Arial"/>
              </w:rPr>
              <w:t>T1 - protectie</w:t>
            </w:r>
          </w:p>
        </w:tc>
        <w:tc>
          <w:tcPr>
            <w:tcW w:w="4511" w:type="dxa"/>
          </w:tcPr>
          <w:p w:rsidR="00311682" w:rsidRPr="00FB6B27" w:rsidRDefault="00311682" w:rsidP="004E468C">
            <w:pPr>
              <w:jc w:val="center"/>
              <w:rPr>
                <w:rFonts w:ascii="Arial" w:eastAsia="Calibri" w:hAnsi="Arial" w:cs="Arial"/>
              </w:rPr>
            </w:pPr>
            <w:r w:rsidRPr="00FB6B27">
              <w:rPr>
                <w:rFonts w:ascii="Arial" w:eastAsia="Calibri" w:hAnsi="Arial" w:cs="Arial"/>
              </w:rPr>
              <w:t>482</w:t>
            </w:r>
          </w:p>
        </w:tc>
      </w:tr>
      <w:tr w:rsidR="00311682" w:rsidTr="004E468C">
        <w:tc>
          <w:tcPr>
            <w:tcW w:w="4811" w:type="dxa"/>
          </w:tcPr>
          <w:p w:rsidR="00311682" w:rsidRPr="00FB6B27" w:rsidRDefault="00311682" w:rsidP="004E468C">
            <w:pPr>
              <w:rPr>
                <w:rFonts w:ascii="Arial" w:eastAsia="Calibri" w:hAnsi="Arial" w:cs="Arial"/>
              </w:rPr>
            </w:pPr>
            <w:r w:rsidRPr="00FB6B27">
              <w:rPr>
                <w:rFonts w:ascii="Arial" w:eastAsia="Calibri" w:hAnsi="Arial" w:cs="Arial"/>
              </w:rPr>
              <w:t>T2- productie si protectie</w:t>
            </w:r>
          </w:p>
        </w:tc>
        <w:tc>
          <w:tcPr>
            <w:tcW w:w="4511" w:type="dxa"/>
          </w:tcPr>
          <w:p w:rsidR="00311682" w:rsidRPr="00FB6B27" w:rsidRDefault="00311682" w:rsidP="004E468C">
            <w:pPr>
              <w:jc w:val="center"/>
              <w:rPr>
                <w:rFonts w:ascii="Arial" w:eastAsia="Calibri" w:hAnsi="Arial" w:cs="Arial"/>
              </w:rPr>
            </w:pPr>
            <w:r w:rsidRPr="00FB6B27">
              <w:rPr>
                <w:rFonts w:ascii="Arial" w:eastAsia="Calibri" w:hAnsi="Arial" w:cs="Arial"/>
              </w:rPr>
              <w:t>1010,47</w:t>
            </w:r>
          </w:p>
        </w:tc>
      </w:tr>
    </w:tbl>
    <w:p w:rsidR="00311682" w:rsidRPr="002F7D73" w:rsidRDefault="00311682" w:rsidP="00311682">
      <w:pPr>
        <w:jc w:val="both"/>
        <w:rPr>
          <w:rFonts w:ascii="Arial" w:hAnsi="Arial" w:cs="Arial"/>
          <w:b/>
        </w:rPr>
      </w:pPr>
    </w:p>
    <w:p w:rsidR="00311682" w:rsidRDefault="00311682" w:rsidP="00311682">
      <w:pPr>
        <w:tabs>
          <w:tab w:val="left" w:pos="0"/>
          <w:tab w:val="left" w:pos="2268"/>
          <w:tab w:val="left" w:leader="dot" w:pos="8640"/>
        </w:tabs>
        <w:contextualSpacing/>
        <w:jc w:val="both"/>
        <w:rPr>
          <w:rFonts w:ascii="Arial" w:hAnsi="Arial" w:cs="Arial"/>
          <w:lang w:val="it-IT"/>
        </w:rPr>
      </w:pPr>
      <w:r>
        <w:rPr>
          <w:rFonts w:ascii="Arial" w:hAnsi="Arial" w:cs="Arial"/>
          <w:lang w:val="en-US"/>
        </w:rPr>
        <w:t>Tabelul nr.</w:t>
      </w:r>
      <w:r w:rsidRPr="00FB4432">
        <w:rPr>
          <w:rFonts w:ascii="Arial" w:hAnsi="Arial" w:cs="Arial"/>
          <w:b/>
          <w:lang w:val="en-US"/>
        </w:rPr>
        <w:t xml:space="preserve"> </w:t>
      </w:r>
      <w:r w:rsidRPr="00FF22B8">
        <w:rPr>
          <w:rFonts w:ascii="Arial" w:hAnsi="Arial" w:cs="Arial"/>
          <w:b/>
          <w:lang w:val="en-US"/>
        </w:rPr>
        <w:t xml:space="preserve">VI.1.2. </w:t>
      </w:r>
      <w:r>
        <w:rPr>
          <w:rFonts w:ascii="Arial" w:hAnsi="Arial" w:cs="Arial"/>
          <w:b/>
          <w:lang w:val="en-US"/>
        </w:rPr>
        <w:t>-3</w:t>
      </w:r>
      <w:r>
        <w:rPr>
          <w:rFonts w:ascii="Arial" w:hAnsi="Arial" w:cs="Arial"/>
          <w:lang w:val="en-US"/>
        </w:rPr>
        <w:t xml:space="preserve"> </w:t>
      </w:r>
      <w:r w:rsidRPr="002F7D73">
        <w:rPr>
          <w:rFonts w:ascii="Arial" w:hAnsi="Arial" w:cs="Arial"/>
          <w:lang w:val="it-IT"/>
        </w:rPr>
        <w:t>Păduri cu funcţii speciale de protecţie</w:t>
      </w:r>
    </w:p>
    <w:p w:rsidR="00311682" w:rsidRPr="002F7D73" w:rsidRDefault="00311682" w:rsidP="00311682">
      <w:pPr>
        <w:tabs>
          <w:tab w:val="left" w:pos="0"/>
          <w:tab w:val="left" w:pos="2268"/>
          <w:tab w:val="left" w:leader="dot" w:pos="8640"/>
        </w:tabs>
        <w:contextualSpacing/>
        <w:jc w:val="both"/>
        <w:rPr>
          <w:rFonts w:ascii="Arial" w:hAnsi="Arial" w:cs="Arial"/>
        </w:rPr>
      </w:pP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845"/>
        <w:gridCol w:w="4405"/>
        <w:gridCol w:w="4072"/>
      </w:tblGrid>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11682" w:rsidRPr="002F7D73" w:rsidRDefault="00311682" w:rsidP="004E468C">
            <w:pPr>
              <w:jc w:val="both"/>
              <w:rPr>
                <w:rFonts w:ascii="Arial" w:hAnsi="Arial" w:cs="Arial"/>
              </w:rPr>
            </w:pPr>
            <w:r w:rsidRPr="002F7D73">
              <w:rPr>
                <w:rFonts w:ascii="Arial" w:hAnsi="Arial" w:cs="Arial"/>
              </w:rPr>
              <w:t>Nr. crt.</w:t>
            </w:r>
          </w:p>
        </w:tc>
        <w:tc>
          <w:tcPr>
            <w:tcW w:w="4405" w:type="dxa"/>
            <w:tcBorders>
              <w:top w:val="single" w:sz="4" w:space="0" w:color="auto"/>
              <w:left w:val="single" w:sz="4" w:space="0" w:color="auto"/>
              <w:bottom w:val="single" w:sz="4" w:space="0" w:color="auto"/>
              <w:right w:val="single" w:sz="4" w:space="0" w:color="auto"/>
            </w:tcBorders>
            <w:shd w:val="clear" w:color="auto" w:fill="FFFFFF" w:themeFill="background1"/>
            <w:hideMark/>
          </w:tcPr>
          <w:p w:rsidR="00311682" w:rsidRPr="002F7D73" w:rsidRDefault="00311682" w:rsidP="004E468C">
            <w:pPr>
              <w:jc w:val="both"/>
              <w:rPr>
                <w:rFonts w:ascii="Arial" w:hAnsi="Arial" w:cs="Arial"/>
              </w:rPr>
            </w:pPr>
            <w:r w:rsidRPr="002F7D73">
              <w:rPr>
                <w:rFonts w:ascii="Arial" w:hAnsi="Arial" w:cs="Arial"/>
              </w:rPr>
              <w:t>Tipul de pădure</w:t>
            </w:r>
          </w:p>
        </w:tc>
        <w:tc>
          <w:tcPr>
            <w:tcW w:w="4072" w:type="dxa"/>
            <w:tcBorders>
              <w:top w:val="single" w:sz="4" w:space="0" w:color="auto"/>
              <w:left w:val="single" w:sz="4" w:space="0" w:color="auto"/>
              <w:bottom w:val="single" w:sz="4" w:space="0" w:color="auto"/>
              <w:right w:val="single" w:sz="4" w:space="0" w:color="auto"/>
            </w:tcBorders>
            <w:shd w:val="clear" w:color="auto" w:fill="FFFFFF" w:themeFill="background1"/>
            <w:vAlign w:val="center"/>
            <w:hideMark/>
          </w:tcPr>
          <w:p w:rsidR="00311682" w:rsidRPr="002F7D73" w:rsidRDefault="00311682" w:rsidP="004E468C">
            <w:pPr>
              <w:jc w:val="both"/>
              <w:rPr>
                <w:rFonts w:ascii="Arial" w:hAnsi="Arial" w:cs="Arial"/>
              </w:rPr>
            </w:pPr>
            <w:r w:rsidRPr="002F7D73">
              <w:rPr>
                <w:rFonts w:ascii="Arial" w:hAnsi="Arial" w:cs="Arial"/>
              </w:rPr>
              <w:t>Suprafaţa</w:t>
            </w:r>
            <w:r>
              <w:rPr>
                <w:rFonts w:ascii="Arial" w:hAnsi="Arial" w:cs="Arial"/>
              </w:rPr>
              <w:t xml:space="preserve"> </w:t>
            </w:r>
            <w:r w:rsidRPr="002F7D73">
              <w:rPr>
                <w:rFonts w:ascii="Arial" w:hAnsi="Arial" w:cs="Arial"/>
              </w:rPr>
              <w:t>(ha)</w:t>
            </w:r>
          </w:p>
          <w:p w:rsidR="00311682" w:rsidRPr="002F7D73" w:rsidRDefault="00311682" w:rsidP="004E468C">
            <w:pPr>
              <w:jc w:val="both"/>
              <w:rPr>
                <w:rFonts w:ascii="Arial" w:hAnsi="Arial" w:cs="Arial"/>
              </w:rPr>
            </w:pPr>
          </w:p>
        </w:tc>
      </w:tr>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vAlign w:val="center"/>
          </w:tcPr>
          <w:p w:rsidR="00311682" w:rsidRPr="002F7D73" w:rsidRDefault="00311682" w:rsidP="00882FB1">
            <w:pPr>
              <w:numPr>
                <w:ilvl w:val="0"/>
                <w:numId w:val="62"/>
              </w:numPr>
              <w:jc w:val="both"/>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311682" w:rsidRPr="002F7D73" w:rsidRDefault="00311682" w:rsidP="004E468C">
            <w:pPr>
              <w:jc w:val="both"/>
              <w:rPr>
                <w:rFonts w:ascii="Arial" w:hAnsi="Arial" w:cs="Arial"/>
              </w:rPr>
            </w:pPr>
            <w:r w:rsidRPr="002F7D73">
              <w:rPr>
                <w:rFonts w:ascii="Arial" w:hAnsi="Arial" w:cs="Arial"/>
              </w:rPr>
              <w:t>De protecţie a apelor</w:t>
            </w:r>
          </w:p>
        </w:tc>
        <w:tc>
          <w:tcPr>
            <w:tcW w:w="4072" w:type="dxa"/>
            <w:tcBorders>
              <w:top w:val="single" w:sz="4" w:space="0" w:color="auto"/>
              <w:left w:val="single" w:sz="4" w:space="0" w:color="auto"/>
              <w:bottom w:val="single" w:sz="4" w:space="0" w:color="auto"/>
              <w:right w:val="single" w:sz="4" w:space="0" w:color="auto"/>
            </w:tcBorders>
            <w:vAlign w:val="center"/>
            <w:hideMark/>
          </w:tcPr>
          <w:p w:rsidR="00311682" w:rsidRPr="002F7D73" w:rsidRDefault="00311682" w:rsidP="004E468C">
            <w:pPr>
              <w:jc w:val="both"/>
              <w:rPr>
                <w:rFonts w:ascii="Arial" w:hAnsi="Arial" w:cs="Arial"/>
              </w:rPr>
            </w:pPr>
            <w:r>
              <w:rPr>
                <w:rFonts w:ascii="Arial" w:hAnsi="Arial" w:cs="Arial"/>
              </w:rPr>
              <w:t>14300</w:t>
            </w:r>
          </w:p>
        </w:tc>
      </w:tr>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vAlign w:val="center"/>
          </w:tcPr>
          <w:p w:rsidR="00311682" w:rsidRPr="002F7D73" w:rsidRDefault="00311682" w:rsidP="00882FB1">
            <w:pPr>
              <w:numPr>
                <w:ilvl w:val="0"/>
                <w:numId w:val="62"/>
              </w:numPr>
              <w:jc w:val="both"/>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311682" w:rsidRPr="002F7D73" w:rsidRDefault="00311682" w:rsidP="004E468C">
            <w:pPr>
              <w:jc w:val="both"/>
              <w:rPr>
                <w:rFonts w:ascii="Arial" w:hAnsi="Arial" w:cs="Arial"/>
                <w:lang w:val="pt-BR"/>
              </w:rPr>
            </w:pPr>
            <w:r w:rsidRPr="002F7D73">
              <w:rPr>
                <w:rFonts w:ascii="Arial" w:hAnsi="Arial" w:cs="Arial"/>
                <w:lang w:val="pt-BR"/>
              </w:rPr>
              <w:t>De protecţie a terenurilor degradate</w:t>
            </w:r>
          </w:p>
        </w:tc>
        <w:tc>
          <w:tcPr>
            <w:tcW w:w="4072" w:type="dxa"/>
            <w:tcBorders>
              <w:top w:val="single" w:sz="4" w:space="0" w:color="auto"/>
              <w:left w:val="single" w:sz="4" w:space="0" w:color="auto"/>
              <w:bottom w:val="single" w:sz="4" w:space="0" w:color="auto"/>
              <w:right w:val="single" w:sz="4" w:space="0" w:color="auto"/>
            </w:tcBorders>
            <w:vAlign w:val="center"/>
            <w:hideMark/>
          </w:tcPr>
          <w:p w:rsidR="00311682" w:rsidRPr="002F7D73" w:rsidRDefault="00311682" w:rsidP="004E468C">
            <w:pPr>
              <w:jc w:val="both"/>
              <w:rPr>
                <w:rFonts w:ascii="Arial" w:hAnsi="Arial" w:cs="Arial"/>
              </w:rPr>
            </w:pPr>
            <w:r>
              <w:rPr>
                <w:rFonts w:ascii="Arial" w:hAnsi="Arial" w:cs="Arial"/>
              </w:rPr>
              <w:t>360</w:t>
            </w:r>
          </w:p>
        </w:tc>
      </w:tr>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vAlign w:val="center"/>
          </w:tcPr>
          <w:p w:rsidR="00311682" w:rsidRPr="002F7D73" w:rsidRDefault="00311682" w:rsidP="00882FB1">
            <w:pPr>
              <w:numPr>
                <w:ilvl w:val="0"/>
                <w:numId w:val="62"/>
              </w:numPr>
              <w:jc w:val="both"/>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311682" w:rsidRPr="002F7D73" w:rsidRDefault="00311682" w:rsidP="004E468C">
            <w:pPr>
              <w:jc w:val="both"/>
              <w:rPr>
                <w:rFonts w:ascii="Arial" w:hAnsi="Arial" w:cs="Arial"/>
                <w:lang w:val="pt-BR"/>
              </w:rPr>
            </w:pPr>
            <w:r w:rsidRPr="002F7D73">
              <w:rPr>
                <w:rFonts w:ascii="Arial" w:hAnsi="Arial" w:cs="Arial"/>
                <w:lang w:val="pt-BR"/>
              </w:rPr>
              <w:t>De protecţie contra factorilor climatici</w:t>
            </w:r>
          </w:p>
        </w:tc>
        <w:tc>
          <w:tcPr>
            <w:tcW w:w="4072" w:type="dxa"/>
            <w:tcBorders>
              <w:top w:val="single" w:sz="4" w:space="0" w:color="auto"/>
              <w:left w:val="single" w:sz="4" w:space="0" w:color="auto"/>
              <w:bottom w:val="single" w:sz="4" w:space="0" w:color="auto"/>
              <w:right w:val="single" w:sz="4" w:space="0" w:color="auto"/>
            </w:tcBorders>
            <w:vAlign w:val="center"/>
            <w:hideMark/>
          </w:tcPr>
          <w:p w:rsidR="00311682" w:rsidRPr="002F7D73" w:rsidRDefault="00311682" w:rsidP="004E468C">
            <w:pPr>
              <w:jc w:val="both"/>
              <w:rPr>
                <w:rFonts w:ascii="Arial" w:hAnsi="Arial" w:cs="Arial"/>
              </w:rPr>
            </w:pPr>
            <w:r>
              <w:rPr>
                <w:rFonts w:ascii="Arial" w:hAnsi="Arial" w:cs="Arial"/>
              </w:rPr>
              <w:t>0</w:t>
            </w:r>
          </w:p>
        </w:tc>
      </w:tr>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vAlign w:val="center"/>
          </w:tcPr>
          <w:p w:rsidR="00311682" w:rsidRPr="002F7D73" w:rsidRDefault="00311682" w:rsidP="00882FB1">
            <w:pPr>
              <w:numPr>
                <w:ilvl w:val="0"/>
                <w:numId w:val="62"/>
              </w:numPr>
              <w:jc w:val="both"/>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311682" w:rsidRPr="002F7D73" w:rsidRDefault="00311682" w:rsidP="004E468C">
            <w:pPr>
              <w:jc w:val="both"/>
              <w:rPr>
                <w:rFonts w:ascii="Arial" w:hAnsi="Arial" w:cs="Arial"/>
              </w:rPr>
            </w:pPr>
            <w:r w:rsidRPr="002F7D73">
              <w:rPr>
                <w:rFonts w:ascii="Arial" w:hAnsi="Arial" w:cs="Arial"/>
              </w:rPr>
              <w:t>Pentru recreere</w:t>
            </w:r>
          </w:p>
        </w:tc>
        <w:tc>
          <w:tcPr>
            <w:tcW w:w="4072" w:type="dxa"/>
            <w:tcBorders>
              <w:top w:val="single" w:sz="4" w:space="0" w:color="auto"/>
              <w:left w:val="single" w:sz="4" w:space="0" w:color="auto"/>
              <w:bottom w:val="single" w:sz="4" w:space="0" w:color="auto"/>
              <w:right w:val="single" w:sz="4" w:space="0" w:color="auto"/>
            </w:tcBorders>
            <w:vAlign w:val="center"/>
            <w:hideMark/>
          </w:tcPr>
          <w:p w:rsidR="00311682" w:rsidRPr="002F7D73" w:rsidRDefault="00311682" w:rsidP="004E468C">
            <w:pPr>
              <w:jc w:val="both"/>
              <w:rPr>
                <w:rFonts w:ascii="Arial" w:hAnsi="Arial" w:cs="Arial"/>
              </w:rPr>
            </w:pPr>
            <w:r>
              <w:rPr>
                <w:rFonts w:ascii="Arial" w:hAnsi="Arial" w:cs="Arial"/>
              </w:rPr>
              <w:t>145</w:t>
            </w:r>
          </w:p>
        </w:tc>
      </w:tr>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vAlign w:val="center"/>
          </w:tcPr>
          <w:p w:rsidR="00311682" w:rsidRPr="002F7D73" w:rsidRDefault="00311682" w:rsidP="00882FB1">
            <w:pPr>
              <w:numPr>
                <w:ilvl w:val="0"/>
                <w:numId w:val="62"/>
              </w:numPr>
              <w:jc w:val="both"/>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311682" w:rsidRPr="002F7D73" w:rsidRDefault="00311682" w:rsidP="004E468C">
            <w:pPr>
              <w:jc w:val="both"/>
              <w:rPr>
                <w:rFonts w:ascii="Arial" w:hAnsi="Arial" w:cs="Arial"/>
              </w:rPr>
            </w:pPr>
            <w:r w:rsidRPr="002F7D73">
              <w:rPr>
                <w:rFonts w:ascii="Arial" w:hAnsi="Arial" w:cs="Arial"/>
              </w:rPr>
              <w:t>Rezervaţii seminţe</w:t>
            </w:r>
          </w:p>
        </w:tc>
        <w:tc>
          <w:tcPr>
            <w:tcW w:w="4072" w:type="dxa"/>
            <w:tcBorders>
              <w:top w:val="single" w:sz="4" w:space="0" w:color="auto"/>
              <w:left w:val="single" w:sz="4" w:space="0" w:color="auto"/>
              <w:bottom w:val="single" w:sz="4" w:space="0" w:color="auto"/>
              <w:right w:val="single" w:sz="4" w:space="0" w:color="auto"/>
            </w:tcBorders>
            <w:vAlign w:val="center"/>
            <w:hideMark/>
          </w:tcPr>
          <w:p w:rsidR="00311682" w:rsidRPr="002F7D73" w:rsidRDefault="00311682" w:rsidP="004E468C">
            <w:pPr>
              <w:jc w:val="both"/>
              <w:rPr>
                <w:rFonts w:ascii="Arial" w:hAnsi="Arial" w:cs="Arial"/>
              </w:rPr>
            </w:pPr>
            <w:r>
              <w:rPr>
                <w:rFonts w:ascii="Arial" w:hAnsi="Arial" w:cs="Arial"/>
              </w:rPr>
              <w:t>24</w:t>
            </w:r>
          </w:p>
        </w:tc>
      </w:tr>
      <w:tr w:rsidR="00311682" w:rsidRPr="002F7D73" w:rsidTr="004E468C">
        <w:trPr>
          <w:jc w:val="center"/>
        </w:trPr>
        <w:tc>
          <w:tcPr>
            <w:tcW w:w="845" w:type="dxa"/>
            <w:tcBorders>
              <w:top w:val="single" w:sz="4" w:space="0" w:color="auto"/>
              <w:left w:val="single" w:sz="4" w:space="0" w:color="auto"/>
              <w:bottom w:val="single" w:sz="4" w:space="0" w:color="auto"/>
              <w:right w:val="single" w:sz="4" w:space="0" w:color="auto"/>
            </w:tcBorders>
            <w:vAlign w:val="center"/>
          </w:tcPr>
          <w:p w:rsidR="00311682" w:rsidRPr="002F7D73" w:rsidRDefault="00311682" w:rsidP="00882FB1">
            <w:pPr>
              <w:numPr>
                <w:ilvl w:val="0"/>
                <w:numId w:val="62"/>
              </w:numPr>
              <w:jc w:val="both"/>
              <w:rPr>
                <w:rFonts w:ascii="Arial" w:hAnsi="Arial" w:cs="Arial"/>
              </w:rPr>
            </w:pPr>
          </w:p>
        </w:tc>
        <w:tc>
          <w:tcPr>
            <w:tcW w:w="4405" w:type="dxa"/>
            <w:tcBorders>
              <w:top w:val="single" w:sz="4" w:space="0" w:color="auto"/>
              <w:left w:val="single" w:sz="4" w:space="0" w:color="auto"/>
              <w:bottom w:val="single" w:sz="4" w:space="0" w:color="auto"/>
              <w:right w:val="single" w:sz="4" w:space="0" w:color="auto"/>
            </w:tcBorders>
            <w:hideMark/>
          </w:tcPr>
          <w:p w:rsidR="00311682" w:rsidRPr="002F7D73" w:rsidRDefault="00311682" w:rsidP="004E468C">
            <w:pPr>
              <w:jc w:val="both"/>
              <w:rPr>
                <w:rFonts w:ascii="Arial" w:hAnsi="Arial" w:cs="Arial"/>
                <w:lang w:val="it-IT"/>
              </w:rPr>
            </w:pPr>
            <w:r w:rsidRPr="002F7D73">
              <w:rPr>
                <w:rFonts w:ascii="Arial" w:hAnsi="Arial" w:cs="Arial"/>
                <w:lang w:val="it-IT"/>
              </w:rPr>
              <w:t>Destinate ocrotirii unor specii de faună</w:t>
            </w:r>
          </w:p>
        </w:tc>
        <w:tc>
          <w:tcPr>
            <w:tcW w:w="4072" w:type="dxa"/>
            <w:tcBorders>
              <w:top w:val="single" w:sz="4" w:space="0" w:color="auto"/>
              <w:left w:val="single" w:sz="4" w:space="0" w:color="auto"/>
              <w:bottom w:val="single" w:sz="4" w:space="0" w:color="auto"/>
              <w:right w:val="single" w:sz="4" w:space="0" w:color="auto"/>
            </w:tcBorders>
            <w:vAlign w:val="center"/>
            <w:hideMark/>
          </w:tcPr>
          <w:p w:rsidR="00311682" w:rsidRPr="002F7D73" w:rsidRDefault="00311682" w:rsidP="004E468C">
            <w:pPr>
              <w:jc w:val="both"/>
              <w:rPr>
                <w:rFonts w:ascii="Arial" w:hAnsi="Arial" w:cs="Arial"/>
              </w:rPr>
            </w:pPr>
            <w:r>
              <w:rPr>
                <w:rFonts w:ascii="Arial" w:hAnsi="Arial" w:cs="Arial"/>
              </w:rPr>
              <w:t>19700</w:t>
            </w:r>
          </w:p>
        </w:tc>
      </w:tr>
    </w:tbl>
    <w:p w:rsidR="00311682" w:rsidRDefault="00311682" w:rsidP="00311682">
      <w:pPr>
        <w:rPr>
          <w:rFonts w:ascii="Arial" w:hAnsi="Arial" w:cs="Arial"/>
          <w:lang w:val="en-US"/>
        </w:rPr>
      </w:pPr>
    </w:p>
    <w:p w:rsidR="00311682" w:rsidRPr="009B61C5" w:rsidRDefault="00311682" w:rsidP="00311682">
      <w:pPr>
        <w:jc w:val="center"/>
        <w:rPr>
          <w:rFonts w:ascii="Arial" w:hAnsi="Arial" w:cs="Arial"/>
          <w:lang w:val="en-US"/>
        </w:rPr>
      </w:pPr>
      <w:r>
        <w:rPr>
          <w:rFonts w:ascii="Arial" w:hAnsi="Arial" w:cs="Arial"/>
          <w:noProof/>
          <w:lang w:val="ro-RO" w:eastAsia="ro-RO"/>
        </w:rPr>
        <w:drawing>
          <wp:inline distT="0" distB="0" distL="0" distR="0">
            <wp:extent cx="3648075" cy="2200275"/>
            <wp:effectExtent l="19050" t="0" r="9525" b="0"/>
            <wp:docPr id="123" name="Chart 10"/>
            <wp:cNvGraphicFramePr/>
            <a:graphic xmlns:a="http://schemas.openxmlformats.org/drawingml/2006/main">
              <a:graphicData uri="http://schemas.openxmlformats.org/drawingml/2006/chart">
                <c:chart xmlns:c="http://schemas.openxmlformats.org/drawingml/2006/chart" xmlns:r="http://schemas.openxmlformats.org/officeDocument/2006/relationships" r:id="rId99"/>
              </a:graphicData>
            </a:graphic>
          </wp:inline>
        </w:drawing>
      </w:r>
    </w:p>
    <w:p w:rsidR="00311682" w:rsidRDefault="00311682" w:rsidP="00311682">
      <w:pPr>
        <w:jc w:val="center"/>
        <w:rPr>
          <w:rFonts w:ascii="Arial" w:hAnsi="Arial" w:cs="Arial"/>
          <w:lang w:val="en-US"/>
        </w:rPr>
      </w:pPr>
      <w:r>
        <w:rPr>
          <w:rFonts w:ascii="Arial" w:hAnsi="Arial" w:cs="Arial"/>
          <w:lang w:val="en-US"/>
        </w:rPr>
        <w:t xml:space="preserve">Figura nr. </w:t>
      </w:r>
      <w:r w:rsidRPr="00FF22B8">
        <w:rPr>
          <w:rFonts w:ascii="Arial" w:hAnsi="Arial" w:cs="Arial"/>
          <w:b/>
          <w:lang w:val="en-US"/>
        </w:rPr>
        <w:t>VI.1.2.</w:t>
      </w:r>
      <w:r>
        <w:rPr>
          <w:rFonts w:ascii="Arial" w:hAnsi="Arial" w:cs="Arial"/>
          <w:b/>
          <w:lang w:val="en-US"/>
        </w:rPr>
        <w:t xml:space="preserve"> -1 </w:t>
      </w:r>
      <w:r w:rsidRPr="002F7D73">
        <w:rPr>
          <w:rFonts w:ascii="Arial" w:hAnsi="Arial" w:cs="Arial"/>
        </w:rPr>
        <w:t>Distribuţia pădurilor</w:t>
      </w:r>
      <w:r>
        <w:rPr>
          <w:rFonts w:ascii="Arial" w:hAnsi="Arial" w:cs="Arial"/>
        </w:rPr>
        <w:t xml:space="preserve"> </w:t>
      </w:r>
      <w:r w:rsidRPr="002F7D73">
        <w:rPr>
          <w:rFonts w:ascii="Arial" w:hAnsi="Arial" w:cs="Arial"/>
          <w:lang w:val="it-IT"/>
        </w:rPr>
        <w:t>cu funcţii speciale de protecţie</w:t>
      </w:r>
    </w:p>
    <w:p w:rsidR="00311682" w:rsidRDefault="00311682" w:rsidP="00311682">
      <w:pPr>
        <w:jc w:val="center"/>
        <w:rPr>
          <w:rFonts w:ascii="Arial" w:hAnsi="Arial" w:cs="Arial"/>
          <w:b/>
          <w:lang w:val="en-US"/>
        </w:rPr>
      </w:pPr>
    </w:p>
    <w:p w:rsidR="00311682" w:rsidRDefault="00311682" w:rsidP="00311682">
      <w:pPr>
        <w:rPr>
          <w:rFonts w:ascii="Arial" w:hAnsi="Arial" w:cs="Arial"/>
          <w:b/>
          <w:lang w:val="en-US"/>
        </w:rPr>
      </w:pPr>
      <w:r w:rsidRPr="00FF22B8">
        <w:rPr>
          <w:rFonts w:ascii="Arial" w:hAnsi="Arial" w:cs="Arial"/>
          <w:b/>
          <w:lang w:val="en-US"/>
        </w:rPr>
        <w:t>VI.1.3. Starea de sănătate a pădurilor</w:t>
      </w:r>
    </w:p>
    <w:p w:rsidR="00EB31BB" w:rsidRDefault="00EB31BB" w:rsidP="00311682">
      <w:pPr>
        <w:rPr>
          <w:rFonts w:ascii="Arial" w:hAnsi="Arial" w:cs="Arial"/>
          <w:b/>
          <w:lang w:val="en-US"/>
        </w:rPr>
      </w:pPr>
    </w:p>
    <w:p w:rsidR="00311682" w:rsidRPr="00603685" w:rsidRDefault="00311682" w:rsidP="00311682">
      <w:pPr>
        <w:pStyle w:val="Default"/>
        <w:jc w:val="both"/>
        <w:rPr>
          <w:rFonts w:ascii="Arial" w:hAnsi="Arial" w:cs="Arial"/>
        </w:rPr>
      </w:pPr>
      <w:r w:rsidRPr="00603685">
        <w:rPr>
          <w:rFonts w:ascii="Arial" w:hAnsi="Arial" w:cs="Arial"/>
        </w:rPr>
        <w:t xml:space="preserve">În inventarele forestiere naţionale, ţările îl clasifică în general în funcţie de tipul masei lemnoase (copaci uscaţi, cioturi, buşteni, buturugi, crengi), de specii şi de starea de degradare. Masa lemnoasă uscată/moartă afectează în mod semnificativ fluxul de materie, energie şi nutrienţi în ecosistem. Lemnul mort este un indicator pentru biodiversitatea nevetrebratelor. De asemenea, joacă un rol important în reciclarea nutrienţilor şi a materiei organice, ca şi în crearea unei mari varietăţi de microhabitate pentru regenerarea speciilor de plante şi pentru alte organisme. Este un foarte bun indicator pentru valoarea de conservare a unei păduri. </w:t>
      </w:r>
    </w:p>
    <w:p w:rsidR="00311682" w:rsidRPr="00603685" w:rsidRDefault="00311682" w:rsidP="00311682">
      <w:pPr>
        <w:pStyle w:val="Default"/>
        <w:jc w:val="both"/>
        <w:rPr>
          <w:rFonts w:ascii="Arial" w:hAnsi="Arial" w:cs="Arial"/>
        </w:rPr>
      </w:pPr>
      <w:r w:rsidRPr="00603685">
        <w:rPr>
          <w:rFonts w:ascii="Arial" w:hAnsi="Arial" w:cs="Arial"/>
        </w:rPr>
        <w:t xml:space="preserve">Lemnul mort din păduri reprezintă un sistem de microhabitate care evoluează continuu în timp, până la degradare. Cantitatea de lemn mort din păduri depinde de compoziţia speciilor de arbori, de tipul şi frecvenţa perturbărilor naturale din zonă, de sol şi de condiţiile climatice şi de tipul de gestiune forestieră (EEA, 2008). Cantitatea variază considerabil între pădurile naturale, virgine şi cele gestionate. În pădurile virgine există o mare cantitate şi varietate de lemn mort. În general, lemnul mort căzut la pământ este mai bogat în specii decât cel pe </w:t>
      </w:r>
      <w:r w:rsidRPr="00603685">
        <w:rPr>
          <w:rFonts w:ascii="Arial" w:hAnsi="Arial" w:cs="Arial"/>
        </w:rPr>
        <w:lastRenderedPageBreak/>
        <w:t xml:space="preserve">picior. Dar ambele tipuri de lemn mort sunt importante. Creşterea cantităţii de lemn mort în păduri este considerată o măsură potenţială pentru creşterea biodiversităţii. </w:t>
      </w:r>
    </w:p>
    <w:p w:rsidR="00311682" w:rsidRPr="00603685" w:rsidRDefault="00311682" w:rsidP="00311682">
      <w:pPr>
        <w:jc w:val="both"/>
        <w:rPr>
          <w:rFonts w:ascii="Arial" w:hAnsi="Arial" w:cs="Arial"/>
        </w:rPr>
      </w:pPr>
      <w:r w:rsidRPr="00603685">
        <w:rPr>
          <w:rFonts w:ascii="Arial" w:hAnsi="Arial" w:cs="Arial"/>
        </w:rPr>
        <w:t xml:space="preserve"> În general, în majoritatea ţărilor europene, cantitatea de lemn mort are o tendinţă crescătoare în ultimii ani. Această tendinţă poate fi datorată fie efectelor politicii de gestiune a pădurilor care stimulează managementul forestier orientat pe păstrarea naturaleţii pădurilor şi menţinerea pădurilor necurăţate de lemnul mort, fie unor perturbări puternice cum ar fi furtunile.</w:t>
      </w:r>
    </w:p>
    <w:p w:rsidR="00311682" w:rsidRPr="00603685" w:rsidRDefault="00311682" w:rsidP="00311682">
      <w:pPr>
        <w:pStyle w:val="Default"/>
        <w:jc w:val="both"/>
        <w:rPr>
          <w:rFonts w:ascii="Arial" w:hAnsi="Arial" w:cs="Arial"/>
        </w:rPr>
      </w:pPr>
      <w:r w:rsidRPr="00603685">
        <w:rPr>
          <w:rFonts w:ascii="Arial" w:hAnsi="Arial" w:cs="Arial"/>
        </w:rPr>
        <w:t xml:space="preserve">În viitor, o sursă importantă de date va redeveni Inventarul Forestier Naţional, administrat de ICAS, care urmează să colecteze şi prelucreze inclusiv date referitoare la lemnul mort din păduri. Acest indicator este important şi pentru că reprezintă una din rezervele de carbon din păduri, gestionate de inventarul LULUCF. </w:t>
      </w:r>
    </w:p>
    <w:p w:rsidR="00311682" w:rsidRPr="004E3AE6" w:rsidRDefault="00311682" w:rsidP="00311682">
      <w:pPr>
        <w:pStyle w:val="Default"/>
        <w:jc w:val="both"/>
      </w:pPr>
    </w:p>
    <w:p w:rsidR="00311682" w:rsidRDefault="00311682" w:rsidP="00311682">
      <w:pPr>
        <w:rPr>
          <w:rFonts w:ascii="Arial" w:hAnsi="Arial" w:cs="Arial"/>
          <w:b/>
          <w:lang w:val="en-US"/>
        </w:rPr>
      </w:pPr>
      <w:r w:rsidRPr="002D13D0">
        <w:rPr>
          <w:rFonts w:ascii="Arial" w:hAnsi="Arial" w:cs="Arial"/>
          <w:b/>
          <w:lang w:val="en-US"/>
        </w:rPr>
        <w:t>VI.1.4. Suprafeţe de păduri regenerate</w:t>
      </w:r>
    </w:p>
    <w:p w:rsidR="00311682" w:rsidRDefault="00311682" w:rsidP="00311682">
      <w:pPr>
        <w:rPr>
          <w:rFonts w:ascii="Arial" w:hAnsi="Arial" w:cs="Arial"/>
          <w:b/>
          <w:lang w:val="en-US"/>
        </w:rPr>
      </w:pPr>
    </w:p>
    <w:p w:rsidR="00311682" w:rsidRPr="002D13D0" w:rsidRDefault="00311682" w:rsidP="00311682">
      <w:pPr>
        <w:jc w:val="both"/>
        <w:rPr>
          <w:rFonts w:ascii="Arial" w:hAnsi="Arial" w:cs="Arial"/>
          <w:b/>
          <w:lang w:val="en-US"/>
        </w:rPr>
      </w:pPr>
      <w:r w:rsidRPr="00D01BF4">
        <w:rPr>
          <w:rFonts w:ascii="Arial" w:hAnsi="Arial" w:cs="Arial"/>
          <w:lang w:val="en-US"/>
        </w:rPr>
        <w:t>Conform datelor furnizate de către</w:t>
      </w:r>
      <w:r>
        <w:rPr>
          <w:rFonts w:ascii="Arial" w:hAnsi="Arial" w:cs="Arial"/>
          <w:b/>
          <w:lang w:val="en-US"/>
        </w:rPr>
        <w:t xml:space="preserve"> </w:t>
      </w:r>
      <w:r w:rsidRPr="00424113">
        <w:rPr>
          <w:rFonts w:ascii="Arial" w:hAnsi="Arial" w:cs="Arial"/>
        </w:rPr>
        <w:t xml:space="preserve">Inspectoratul </w:t>
      </w:r>
      <w:r>
        <w:rPr>
          <w:rFonts w:ascii="Arial" w:hAnsi="Arial" w:cs="Arial"/>
        </w:rPr>
        <w:t>Comisariatul  d</w:t>
      </w:r>
      <w:r w:rsidRPr="00424113">
        <w:rPr>
          <w:rFonts w:ascii="Arial" w:hAnsi="Arial" w:cs="Arial"/>
        </w:rPr>
        <w:t xml:space="preserve">e  Regim  Silvic </w:t>
      </w:r>
      <w:r>
        <w:rPr>
          <w:rFonts w:ascii="Arial" w:hAnsi="Arial" w:cs="Arial"/>
        </w:rPr>
        <w:t xml:space="preserve"> ş</w:t>
      </w:r>
      <w:r w:rsidRPr="00424113">
        <w:rPr>
          <w:rFonts w:ascii="Arial" w:hAnsi="Arial" w:cs="Arial"/>
        </w:rPr>
        <w:t>i   Cinegetic Focşani</w:t>
      </w:r>
      <w:r>
        <w:rPr>
          <w:rFonts w:ascii="Arial" w:hAnsi="Arial" w:cs="Arial"/>
        </w:rPr>
        <w:t>, în anul 2014 în judeţul Brăila a  fost împădurită o suprafaţă de 229 ha, mai mică faţă de anul 2013, iar prin regenerare naturală s-a împădurit suprafaţa de 129 ha.</w:t>
      </w:r>
    </w:p>
    <w:p w:rsidR="00311682" w:rsidRDefault="00311682" w:rsidP="00311682">
      <w:pPr>
        <w:rPr>
          <w:rFonts w:ascii="Arial" w:hAnsi="Arial" w:cs="Arial"/>
          <w:lang w:val="en-US"/>
        </w:rPr>
      </w:pPr>
    </w:p>
    <w:p w:rsidR="00311682"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2D13D0">
        <w:rPr>
          <w:rFonts w:ascii="Arial" w:hAnsi="Arial" w:cs="Arial"/>
          <w:b/>
          <w:lang w:val="en-US"/>
        </w:rPr>
        <w:t>VI.1.4.</w:t>
      </w:r>
      <w:r>
        <w:rPr>
          <w:rFonts w:ascii="Arial" w:hAnsi="Arial" w:cs="Arial"/>
          <w:b/>
          <w:lang w:val="en-US"/>
        </w:rPr>
        <w:t xml:space="preserve"> -1</w:t>
      </w:r>
      <w:r w:rsidRPr="002D13D0">
        <w:rPr>
          <w:rFonts w:ascii="Arial" w:hAnsi="Arial" w:cs="Arial"/>
          <w:b/>
          <w:lang w:val="en-US"/>
        </w:rPr>
        <w:t xml:space="preserve"> </w:t>
      </w:r>
      <w:r>
        <w:rPr>
          <w:rFonts w:ascii="Arial" w:hAnsi="Arial" w:cs="Arial"/>
          <w:lang w:val="en-US"/>
        </w:rPr>
        <w:t xml:space="preserve"> </w:t>
      </w:r>
      <w:r w:rsidRPr="009B61C5">
        <w:rPr>
          <w:rFonts w:ascii="Arial" w:hAnsi="Arial" w:cs="Arial"/>
          <w:lang w:val="en-US"/>
        </w:rPr>
        <w:t>Evoluţia suprafeţelor de păduri regenerate la nivel judeţean (ha)</w:t>
      </w:r>
    </w:p>
    <w:p w:rsidR="00311682" w:rsidRPr="009B61C5" w:rsidRDefault="00311682" w:rsidP="00311682">
      <w:pPr>
        <w:rPr>
          <w:rFonts w:ascii="Arial" w:hAnsi="Arial" w:cs="Arial"/>
          <w:lang w:val="en-US"/>
        </w:rPr>
      </w:pPr>
    </w:p>
    <w:tbl>
      <w:tblPr>
        <w:tblStyle w:val="TableGrid"/>
        <w:tblW w:w="0" w:type="auto"/>
        <w:jc w:val="center"/>
        <w:tblLook w:val="04A0"/>
      </w:tblPr>
      <w:tblGrid>
        <w:gridCol w:w="2068"/>
        <w:gridCol w:w="1417"/>
        <w:gridCol w:w="1418"/>
        <w:gridCol w:w="1289"/>
        <w:gridCol w:w="1120"/>
        <w:gridCol w:w="1418"/>
      </w:tblGrid>
      <w:tr w:rsidR="00311682" w:rsidRPr="009B61C5" w:rsidTr="004E468C">
        <w:trPr>
          <w:jc w:val="center"/>
        </w:trPr>
        <w:tc>
          <w:tcPr>
            <w:tcW w:w="2068" w:type="dxa"/>
            <w:tcBorders>
              <w:bottom w:val="nil"/>
            </w:tcBorders>
          </w:tcPr>
          <w:p w:rsidR="00311682" w:rsidRPr="009B61C5" w:rsidRDefault="00311682" w:rsidP="004E468C">
            <w:pPr>
              <w:rPr>
                <w:rFonts w:ascii="Arial" w:hAnsi="Arial" w:cs="Arial"/>
                <w:lang w:val="en-US"/>
              </w:rPr>
            </w:pPr>
            <w:r w:rsidRPr="009B61C5">
              <w:rPr>
                <w:rFonts w:ascii="Arial" w:hAnsi="Arial" w:cs="Arial"/>
                <w:lang w:val="en-US"/>
              </w:rPr>
              <w:t>Tip</w:t>
            </w:r>
          </w:p>
        </w:tc>
        <w:tc>
          <w:tcPr>
            <w:tcW w:w="1417" w:type="dxa"/>
            <w:tcBorders>
              <w:bottom w:val="nil"/>
            </w:tcBorders>
          </w:tcPr>
          <w:p w:rsidR="00311682" w:rsidRPr="009B61C5" w:rsidRDefault="00311682" w:rsidP="004E468C">
            <w:pPr>
              <w:jc w:val="center"/>
              <w:rPr>
                <w:rFonts w:ascii="Arial" w:hAnsi="Arial" w:cs="Arial"/>
                <w:lang w:val="en-US"/>
              </w:rPr>
            </w:pPr>
            <w:r w:rsidRPr="009B61C5">
              <w:rPr>
                <w:rFonts w:ascii="Arial" w:hAnsi="Arial" w:cs="Arial"/>
                <w:lang w:val="en-US"/>
              </w:rPr>
              <w:t>2010</w:t>
            </w:r>
          </w:p>
        </w:tc>
        <w:tc>
          <w:tcPr>
            <w:tcW w:w="1418" w:type="dxa"/>
            <w:tcBorders>
              <w:bottom w:val="nil"/>
            </w:tcBorders>
          </w:tcPr>
          <w:p w:rsidR="00311682" w:rsidRPr="009B61C5" w:rsidRDefault="00311682" w:rsidP="004E468C">
            <w:pPr>
              <w:jc w:val="center"/>
              <w:rPr>
                <w:rFonts w:ascii="Arial" w:hAnsi="Arial" w:cs="Arial"/>
                <w:lang w:val="en-US"/>
              </w:rPr>
            </w:pPr>
            <w:r w:rsidRPr="009B61C5">
              <w:rPr>
                <w:rFonts w:ascii="Arial" w:hAnsi="Arial" w:cs="Arial"/>
                <w:lang w:val="en-US"/>
              </w:rPr>
              <w:t>2011</w:t>
            </w:r>
          </w:p>
        </w:tc>
        <w:tc>
          <w:tcPr>
            <w:tcW w:w="1289" w:type="dxa"/>
            <w:tcBorders>
              <w:bottom w:val="nil"/>
            </w:tcBorders>
          </w:tcPr>
          <w:p w:rsidR="00311682" w:rsidRPr="009B61C5" w:rsidRDefault="00311682" w:rsidP="004E468C">
            <w:pPr>
              <w:jc w:val="center"/>
              <w:rPr>
                <w:rFonts w:ascii="Arial" w:hAnsi="Arial" w:cs="Arial"/>
                <w:lang w:val="en-US"/>
              </w:rPr>
            </w:pPr>
            <w:r w:rsidRPr="009B61C5">
              <w:rPr>
                <w:rFonts w:ascii="Arial" w:hAnsi="Arial" w:cs="Arial"/>
                <w:lang w:val="en-US"/>
              </w:rPr>
              <w:t>2012</w:t>
            </w:r>
          </w:p>
        </w:tc>
        <w:tc>
          <w:tcPr>
            <w:tcW w:w="1120" w:type="dxa"/>
            <w:tcBorders>
              <w:bottom w:val="nil"/>
            </w:tcBorders>
          </w:tcPr>
          <w:p w:rsidR="00311682" w:rsidRPr="009B61C5" w:rsidRDefault="00311682" w:rsidP="004E468C">
            <w:pPr>
              <w:jc w:val="center"/>
              <w:rPr>
                <w:rFonts w:ascii="Arial" w:hAnsi="Arial" w:cs="Arial"/>
                <w:lang w:val="en-US"/>
              </w:rPr>
            </w:pPr>
            <w:r w:rsidRPr="009B61C5">
              <w:rPr>
                <w:rFonts w:ascii="Arial" w:hAnsi="Arial" w:cs="Arial"/>
                <w:lang w:val="en-US"/>
              </w:rPr>
              <w:t>2013</w:t>
            </w:r>
          </w:p>
        </w:tc>
        <w:tc>
          <w:tcPr>
            <w:tcW w:w="1418" w:type="dxa"/>
            <w:tcBorders>
              <w:bottom w:val="nil"/>
            </w:tcBorders>
          </w:tcPr>
          <w:p w:rsidR="00311682" w:rsidRPr="009B61C5" w:rsidRDefault="00311682" w:rsidP="004E468C">
            <w:pPr>
              <w:jc w:val="center"/>
              <w:rPr>
                <w:rFonts w:ascii="Arial" w:hAnsi="Arial" w:cs="Arial"/>
                <w:lang w:val="en-US"/>
              </w:rPr>
            </w:pPr>
            <w:r w:rsidRPr="009B61C5">
              <w:rPr>
                <w:rFonts w:ascii="Arial" w:hAnsi="Arial" w:cs="Arial"/>
                <w:lang w:val="en-US"/>
              </w:rPr>
              <w:t>2014</w:t>
            </w:r>
          </w:p>
        </w:tc>
      </w:tr>
      <w:tr w:rsidR="00311682" w:rsidRPr="009B61C5" w:rsidTr="004E468C">
        <w:trPr>
          <w:jc w:val="center"/>
        </w:trPr>
        <w:tc>
          <w:tcPr>
            <w:tcW w:w="2068" w:type="dxa"/>
            <w:tcBorders>
              <w:top w:val="nil"/>
            </w:tcBorders>
          </w:tcPr>
          <w:p w:rsidR="00311682" w:rsidRPr="009B61C5" w:rsidRDefault="00311682" w:rsidP="004E468C">
            <w:pPr>
              <w:rPr>
                <w:rFonts w:ascii="Arial" w:hAnsi="Arial" w:cs="Arial"/>
                <w:lang w:val="en-US"/>
              </w:rPr>
            </w:pPr>
          </w:p>
        </w:tc>
        <w:tc>
          <w:tcPr>
            <w:tcW w:w="1417" w:type="dxa"/>
            <w:tcBorders>
              <w:top w:val="nil"/>
            </w:tcBorders>
          </w:tcPr>
          <w:p w:rsidR="00311682" w:rsidRPr="009B61C5" w:rsidRDefault="00311682" w:rsidP="004E468C">
            <w:pPr>
              <w:rPr>
                <w:rFonts w:ascii="Arial" w:hAnsi="Arial" w:cs="Arial"/>
                <w:lang w:val="en-US"/>
              </w:rPr>
            </w:pPr>
          </w:p>
        </w:tc>
        <w:tc>
          <w:tcPr>
            <w:tcW w:w="1418" w:type="dxa"/>
            <w:tcBorders>
              <w:top w:val="nil"/>
            </w:tcBorders>
          </w:tcPr>
          <w:p w:rsidR="00311682" w:rsidRPr="009B61C5" w:rsidRDefault="00311682" w:rsidP="004E468C">
            <w:pPr>
              <w:rPr>
                <w:rFonts w:ascii="Arial" w:hAnsi="Arial" w:cs="Arial"/>
                <w:lang w:val="en-US"/>
              </w:rPr>
            </w:pPr>
          </w:p>
        </w:tc>
        <w:tc>
          <w:tcPr>
            <w:tcW w:w="1289" w:type="dxa"/>
            <w:tcBorders>
              <w:top w:val="nil"/>
            </w:tcBorders>
          </w:tcPr>
          <w:p w:rsidR="00311682" w:rsidRPr="009B61C5" w:rsidRDefault="00311682" w:rsidP="004E468C">
            <w:pPr>
              <w:rPr>
                <w:rFonts w:ascii="Arial" w:hAnsi="Arial" w:cs="Arial"/>
                <w:lang w:val="en-US"/>
              </w:rPr>
            </w:pPr>
          </w:p>
        </w:tc>
        <w:tc>
          <w:tcPr>
            <w:tcW w:w="1120" w:type="dxa"/>
            <w:tcBorders>
              <w:top w:val="nil"/>
            </w:tcBorders>
          </w:tcPr>
          <w:p w:rsidR="00311682" w:rsidRPr="009B61C5" w:rsidRDefault="00311682" w:rsidP="004E468C">
            <w:pPr>
              <w:rPr>
                <w:rFonts w:ascii="Arial" w:hAnsi="Arial" w:cs="Arial"/>
                <w:lang w:val="en-US"/>
              </w:rPr>
            </w:pPr>
          </w:p>
        </w:tc>
        <w:tc>
          <w:tcPr>
            <w:tcW w:w="1418" w:type="dxa"/>
            <w:tcBorders>
              <w:top w:val="nil"/>
            </w:tcBorders>
          </w:tcPr>
          <w:p w:rsidR="00311682" w:rsidRPr="009B61C5" w:rsidRDefault="00311682" w:rsidP="004E468C">
            <w:pPr>
              <w:rPr>
                <w:rFonts w:ascii="Arial" w:hAnsi="Arial" w:cs="Arial"/>
                <w:lang w:val="en-US"/>
              </w:rPr>
            </w:pPr>
          </w:p>
        </w:tc>
      </w:tr>
      <w:tr w:rsidR="00311682" w:rsidRPr="009B61C5" w:rsidTr="004E468C">
        <w:trPr>
          <w:jc w:val="center"/>
        </w:trPr>
        <w:tc>
          <w:tcPr>
            <w:tcW w:w="2068" w:type="dxa"/>
          </w:tcPr>
          <w:p w:rsidR="00311682" w:rsidRPr="009B61C5" w:rsidRDefault="00311682" w:rsidP="004E468C">
            <w:pPr>
              <w:rPr>
                <w:rFonts w:ascii="Arial" w:hAnsi="Arial" w:cs="Arial"/>
                <w:lang w:val="en-US"/>
              </w:rPr>
            </w:pPr>
            <w:r w:rsidRPr="009B61C5">
              <w:rPr>
                <w:rFonts w:ascii="Arial" w:hAnsi="Arial" w:cs="Arial"/>
                <w:lang w:val="en-US"/>
              </w:rPr>
              <w:t>Impădurire</w:t>
            </w:r>
          </w:p>
        </w:tc>
        <w:tc>
          <w:tcPr>
            <w:tcW w:w="1417" w:type="dxa"/>
          </w:tcPr>
          <w:p w:rsidR="00311682" w:rsidRPr="00FB6B27" w:rsidRDefault="00311682" w:rsidP="004E468C">
            <w:pPr>
              <w:jc w:val="center"/>
              <w:rPr>
                <w:rFonts w:ascii="Arial" w:eastAsia="Calibri" w:hAnsi="Arial" w:cs="Arial"/>
              </w:rPr>
            </w:pPr>
            <w:r w:rsidRPr="00FB6B27">
              <w:rPr>
                <w:rFonts w:ascii="Arial" w:eastAsia="Calibri" w:hAnsi="Arial" w:cs="Arial"/>
              </w:rPr>
              <w:t>218</w:t>
            </w:r>
          </w:p>
        </w:tc>
        <w:tc>
          <w:tcPr>
            <w:tcW w:w="1418" w:type="dxa"/>
          </w:tcPr>
          <w:p w:rsidR="00311682" w:rsidRPr="00FB6B27" w:rsidRDefault="00311682" w:rsidP="004E468C">
            <w:pPr>
              <w:jc w:val="center"/>
              <w:rPr>
                <w:rFonts w:ascii="Arial" w:eastAsia="Calibri" w:hAnsi="Arial" w:cs="Arial"/>
              </w:rPr>
            </w:pPr>
            <w:r>
              <w:rPr>
                <w:rFonts w:ascii="Arial" w:eastAsia="Calibri" w:hAnsi="Arial" w:cs="Arial"/>
              </w:rPr>
              <w:t>236</w:t>
            </w:r>
          </w:p>
        </w:tc>
        <w:tc>
          <w:tcPr>
            <w:tcW w:w="1289" w:type="dxa"/>
          </w:tcPr>
          <w:p w:rsidR="00311682" w:rsidRPr="00FB6B27" w:rsidRDefault="00311682" w:rsidP="004E468C">
            <w:pPr>
              <w:jc w:val="center"/>
              <w:rPr>
                <w:rFonts w:ascii="Arial" w:eastAsia="Calibri" w:hAnsi="Arial" w:cs="Arial"/>
              </w:rPr>
            </w:pPr>
            <w:r>
              <w:rPr>
                <w:rFonts w:ascii="Arial" w:eastAsia="Calibri" w:hAnsi="Arial" w:cs="Arial"/>
              </w:rPr>
              <w:t>221</w:t>
            </w:r>
          </w:p>
        </w:tc>
        <w:tc>
          <w:tcPr>
            <w:tcW w:w="1120" w:type="dxa"/>
          </w:tcPr>
          <w:p w:rsidR="00311682" w:rsidRPr="00FB6B27" w:rsidRDefault="00311682" w:rsidP="004E468C">
            <w:pPr>
              <w:jc w:val="center"/>
              <w:rPr>
                <w:rFonts w:ascii="Arial" w:eastAsia="Calibri" w:hAnsi="Arial" w:cs="Arial"/>
              </w:rPr>
            </w:pPr>
            <w:r>
              <w:rPr>
                <w:rFonts w:ascii="Arial" w:eastAsia="Calibri" w:hAnsi="Arial" w:cs="Arial"/>
              </w:rPr>
              <w:t>280</w:t>
            </w:r>
          </w:p>
        </w:tc>
        <w:tc>
          <w:tcPr>
            <w:tcW w:w="1418" w:type="dxa"/>
          </w:tcPr>
          <w:p w:rsidR="00311682" w:rsidRPr="00FB6B27" w:rsidRDefault="00311682" w:rsidP="004E468C">
            <w:pPr>
              <w:jc w:val="center"/>
              <w:rPr>
                <w:rFonts w:ascii="Arial" w:eastAsia="Calibri" w:hAnsi="Arial" w:cs="Arial"/>
              </w:rPr>
            </w:pPr>
            <w:r>
              <w:rPr>
                <w:rFonts w:ascii="Arial" w:eastAsia="Calibri" w:hAnsi="Arial" w:cs="Arial"/>
              </w:rPr>
              <w:t>229</w:t>
            </w:r>
          </w:p>
        </w:tc>
      </w:tr>
      <w:tr w:rsidR="00311682" w:rsidRPr="009B61C5" w:rsidTr="004E468C">
        <w:trPr>
          <w:jc w:val="center"/>
        </w:trPr>
        <w:tc>
          <w:tcPr>
            <w:tcW w:w="2068" w:type="dxa"/>
          </w:tcPr>
          <w:p w:rsidR="00311682" w:rsidRPr="009B61C5" w:rsidRDefault="00311682" w:rsidP="004E468C">
            <w:pPr>
              <w:rPr>
                <w:rFonts w:ascii="Arial" w:hAnsi="Arial" w:cs="Arial"/>
                <w:lang w:val="en-US"/>
              </w:rPr>
            </w:pPr>
            <w:r w:rsidRPr="009B61C5">
              <w:rPr>
                <w:rFonts w:ascii="Arial" w:hAnsi="Arial" w:cs="Arial"/>
                <w:lang w:val="en-US"/>
              </w:rPr>
              <w:t>Regenerare naturală</w:t>
            </w:r>
          </w:p>
        </w:tc>
        <w:tc>
          <w:tcPr>
            <w:tcW w:w="1417" w:type="dxa"/>
          </w:tcPr>
          <w:p w:rsidR="00311682" w:rsidRPr="00FB6B27" w:rsidRDefault="00311682" w:rsidP="004E468C">
            <w:pPr>
              <w:jc w:val="center"/>
              <w:rPr>
                <w:rFonts w:ascii="Arial" w:eastAsia="Calibri" w:hAnsi="Arial" w:cs="Arial"/>
              </w:rPr>
            </w:pPr>
            <w:r w:rsidRPr="00FB6B27">
              <w:rPr>
                <w:rFonts w:ascii="Arial" w:eastAsia="Calibri" w:hAnsi="Arial" w:cs="Arial"/>
              </w:rPr>
              <w:t>164</w:t>
            </w:r>
          </w:p>
        </w:tc>
        <w:tc>
          <w:tcPr>
            <w:tcW w:w="1418" w:type="dxa"/>
          </w:tcPr>
          <w:p w:rsidR="00311682" w:rsidRPr="00FB6B27" w:rsidRDefault="00311682" w:rsidP="004E468C">
            <w:pPr>
              <w:jc w:val="center"/>
              <w:rPr>
                <w:rFonts w:ascii="Arial" w:eastAsia="Calibri" w:hAnsi="Arial" w:cs="Arial"/>
              </w:rPr>
            </w:pPr>
            <w:r>
              <w:rPr>
                <w:rFonts w:ascii="Arial" w:eastAsia="Calibri" w:hAnsi="Arial" w:cs="Arial"/>
              </w:rPr>
              <w:t>182</w:t>
            </w:r>
          </w:p>
        </w:tc>
        <w:tc>
          <w:tcPr>
            <w:tcW w:w="1289" w:type="dxa"/>
          </w:tcPr>
          <w:p w:rsidR="00311682" w:rsidRPr="00FB6B27" w:rsidRDefault="00311682" w:rsidP="004E468C">
            <w:pPr>
              <w:jc w:val="center"/>
              <w:rPr>
                <w:rFonts w:ascii="Arial" w:eastAsia="Calibri" w:hAnsi="Arial" w:cs="Arial"/>
              </w:rPr>
            </w:pPr>
            <w:r>
              <w:rPr>
                <w:rFonts w:ascii="Arial" w:eastAsia="Calibri" w:hAnsi="Arial" w:cs="Arial"/>
              </w:rPr>
              <w:t>112</w:t>
            </w:r>
          </w:p>
        </w:tc>
        <w:tc>
          <w:tcPr>
            <w:tcW w:w="1120" w:type="dxa"/>
          </w:tcPr>
          <w:p w:rsidR="00311682" w:rsidRPr="00FB6B27" w:rsidRDefault="00311682" w:rsidP="004E468C">
            <w:pPr>
              <w:jc w:val="center"/>
              <w:rPr>
                <w:rFonts w:ascii="Arial" w:eastAsia="Calibri" w:hAnsi="Arial" w:cs="Arial"/>
              </w:rPr>
            </w:pPr>
            <w:r>
              <w:rPr>
                <w:rFonts w:ascii="Arial" w:eastAsia="Calibri" w:hAnsi="Arial" w:cs="Arial"/>
              </w:rPr>
              <w:t>191</w:t>
            </w:r>
          </w:p>
        </w:tc>
        <w:tc>
          <w:tcPr>
            <w:tcW w:w="1418" w:type="dxa"/>
          </w:tcPr>
          <w:p w:rsidR="00311682" w:rsidRPr="00FB6B27" w:rsidRDefault="00311682" w:rsidP="004E468C">
            <w:pPr>
              <w:jc w:val="center"/>
              <w:rPr>
                <w:rFonts w:ascii="Arial" w:eastAsia="Calibri" w:hAnsi="Arial" w:cs="Arial"/>
              </w:rPr>
            </w:pPr>
            <w:r>
              <w:rPr>
                <w:rFonts w:ascii="Arial" w:eastAsia="Calibri" w:hAnsi="Arial" w:cs="Arial"/>
              </w:rPr>
              <w:t>169</w:t>
            </w:r>
          </w:p>
        </w:tc>
      </w:tr>
      <w:tr w:rsidR="00311682" w:rsidRPr="009B61C5" w:rsidTr="004E468C">
        <w:trPr>
          <w:jc w:val="center"/>
        </w:trPr>
        <w:tc>
          <w:tcPr>
            <w:tcW w:w="2068" w:type="dxa"/>
          </w:tcPr>
          <w:p w:rsidR="00311682" w:rsidRPr="00981283" w:rsidRDefault="00311682" w:rsidP="004E468C">
            <w:pPr>
              <w:rPr>
                <w:rFonts w:ascii="Arial" w:hAnsi="Arial" w:cs="Arial"/>
              </w:rPr>
            </w:pPr>
            <w:r>
              <w:rPr>
                <w:rFonts w:ascii="Arial" w:hAnsi="Arial" w:cs="Arial"/>
                <w:lang w:val="en-US"/>
              </w:rPr>
              <w:t>Total suprafeţe regenerate</w:t>
            </w:r>
          </w:p>
        </w:tc>
        <w:tc>
          <w:tcPr>
            <w:tcW w:w="1417" w:type="dxa"/>
          </w:tcPr>
          <w:p w:rsidR="00311682" w:rsidRPr="00FB6B27" w:rsidRDefault="00311682" w:rsidP="004E468C">
            <w:pPr>
              <w:tabs>
                <w:tab w:val="left" w:pos="1890"/>
              </w:tabs>
              <w:jc w:val="center"/>
              <w:rPr>
                <w:rFonts w:ascii="Arial" w:eastAsia="Calibri" w:hAnsi="Arial" w:cs="Arial"/>
              </w:rPr>
            </w:pPr>
            <w:r w:rsidRPr="00FB6B27">
              <w:rPr>
                <w:rFonts w:ascii="Arial" w:eastAsia="Calibri" w:hAnsi="Arial" w:cs="Arial"/>
              </w:rPr>
              <w:t>382</w:t>
            </w:r>
          </w:p>
        </w:tc>
        <w:tc>
          <w:tcPr>
            <w:tcW w:w="1418" w:type="dxa"/>
          </w:tcPr>
          <w:p w:rsidR="00311682" w:rsidRPr="00FB6B27" w:rsidRDefault="00311682" w:rsidP="004E468C">
            <w:pPr>
              <w:tabs>
                <w:tab w:val="left" w:pos="1890"/>
              </w:tabs>
              <w:jc w:val="center"/>
              <w:rPr>
                <w:rFonts w:ascii="Arial" w:eastAsia="Calibri" w:hAnsi="Arial" w:cs="Arial"/>
              </w:rPr>
            </w:pPr>
            <w:r>
              <w:rPr>
                <w:rFonts w:ascii="Arial" w:eastAsia="Calibri" w:hAnsi="Arial" w:cs="Arial"/>
              </w:rPr>
              <w:t>418</w:t>
            </w:r>
          </w:p>
        </w:tc>
        <w:tc>
          <w:tcPr>
            <w:tcW w:w="1289" w:type="dxa"/>
          </w:tcPr>
          <w:p w:rsidR="00311682" w:rsidRPr="00FB6B27" w:rsidRDefault="00311682" w:rsidP="004E468C">
            <w:pPr>
              <w:tabs>
                <w:tab w:val="left" w:pos="1890"/>
              </w:tabs>
              <w:jc w:val="center"/>
              <w:rPr>
                <w:rFonts w:ascii="Arial" w:eastAsia="Calibri" w:hAnsi="Arial" w:cs="Arial"/>
              </w:rPr>
            </w:pPr>
            <w:r>
              <w:rPr>
                <w:rFonts w:ascii="Arial" w:eastAsia="Calibri" w:hAnsi="Arial" w:cs="Arial"/>
              </w:rPr>
              <w:t>333</w:t>
            </w:r>
          </w:p>
        </w:tc>
        <w:tc>
          <w:tcPr>
            <w:tcW w:w="1120" w:type="dxa"/>
          </w:tcPr>
          <w:p w:rsidR="00311682" w:rsidRPr="00FB6B27" w:rsidRDefault="00311682" w:rsidP="004E468C">
            <w:pPr>
              <w:tabs>
                <w:tab w:val="left" w:pos="1890"/>
              </w:tabs>
              <w:jc w:val="center"/>
              <w:rPr>
                <w:rFonts w:ascii="Arial" w:eastAsia="Calibri" w:hAnsi="Arial" w:cs="Arial"/>
              </w:rPr>
            </w:pPr>
            <w:r>
              <w:rPr>
                <w:rFonts w:ascii="Arial" w:eastAsia="Calibri" w:hAnsi="Arial" w:cs="Arial"/>
              </w:rPr>
              <w:t>471</w:t>
            </w:r>
          </w:p>
        </w:tc>
        <w:tc>
          <w:tcPr>
            <w:tcW w:w="1418" w:type="dxa"/>
          </w:tcPr>
          <w:p w:rsidR="00311682" w:rsidRPr="00FB6B27" w:rsidRDefault="00311682" w:rsidP="004E468C">
            <w:pPr>
              <w:tabs>
                <w:tab w:val="left" w:pos="1890"/>
              </w:tabs>
              <w:jc w:val="center"/>
              <w:rPr>
                <w:rFonts w:ascii="Arial" w:eastAsia="Calibri" w:hAnsi="Arial" w:cs="Arial"/>
              </w:rPr>
            </w:pPr>
            <w:r>
              <w:rPr>
                <w:rFonts w:ascii="Arial" w:eastAsia="Calibri" w:hAnsi="Arial" w:cs="Arial"/>
              </w:rPr>
              <w:t>398</w:t>
            </w:r>
          </w:p>
        </w:tc>
      </w:tr>
    </w:tbl>
    <w:p w:rsidR="00311682" w:rsidRDefault="00311682" w:rsidP="00311682">
      <w:pPr>
        <w:rPr>
          <w:rFonts w:ascii="Arial" w:hAnsi="Arial" w:cs="Arial"/>
          <w:b/>
          <w:lang w:val="en-US"/>
        </w:rPr>
      </w:pPr>
    </w:p>
    <w:p w:rsidR="00311682" w:rsidRPr="009B61C5" w:rsidRDefault="00311682" w:rsidP="00311682">
      <w:pPr>
        <w:jc w:val="center"/>
        <w:rPr>
          <w:rFonts w:ascii="Arial" w:hAnsi="Arial" w:cs="Arial"/>
          <w:lang w:val="en-US"/>
        </w:rPr>
      </w:pPr>
      <w:r>
        <w:rPr>
          <w:rFonts w:ascii="Arial" w:hAnsi="Arial" w:cs="Arial"/>
          <w:noProof/>
          <w:lang w:val="ro-RO" w:eastAsia="ro-RO"/>
        </w:rPr>
        <w:drawing>
          <wp:inline distT="0" distB="0" distL="0" distR="0">
            <wp:extent cx="3905250" cy="2247900"/>
            <wp:effectExtent l="19050" t="0" r="19050" b="0"/>
            <wp:docPr id="124"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0"/>
              </a:graphicData>
            </a:graphic>
          </wp:inline>
        </w:drawing>
      </w:r>
    </w:p>
    <w:p w:rsidR="00311682" w:rsidRDefault="00311682" w:rsidP="00311682">
      <w:pPr>
        <w:rPr>
          <w:rFonts w:ascii="Arial" w:hAnsi="Arial" w:cs="Arial"/>
          <w:lang w:val="en-US"/>
        </w:rPr>
      </w:pPr>
      <w:r>
        <w:rPr>
          <w:rFonts w:ascii="Arial" w:hAnsi="Arial" w:cs="Arial"/>
          <w:b/>
          <w:lang w:val="en-US"/>
        </w:rPr>
        <w:t xml:space="preserve">                                                   Figura nr. </w:t>
      </w:r>
      <w:r w:rsidRPr="002D13D0">
        <w:rPr>
          <w:rFonts w:ascii="Arial" w:hAnsi="Arial" w:cs="Arial"/>
          <w:b/>
          <w:lang w:val="en-US"/>
        </w:rPr>
        <w:t>VI.1.4.</w:t>
      </w:r>
      <w:r>
        <w:rPr>
          <w:rFonts w:ascii="Arial" w:hAnsi="Arial" w:cs="Arial"/>
          <w:b/>
          <w:lang w:val="en-US"/>
        </w:rPr>
        <w:t xml:space="preserve"> - 1</w:t>
      </w:r>
    </w:p>
    <w:p w:rsidR="00311682" w:rsidRDefault="00311682" w:rsidP="00311682">
      <w:pPr>
        <w:rPr>
          <w:rFonts w:ascii="Arial" w:hAnsi="Arial" w:cs="Arial"/>
          <w:b/>
          <w:lang w:val="en-US"/>
        </w:rPr>
      </w:pPr>
    </w:p>
    <w:p w:rsidR="00311682" w:rsidRDefault="00311682" w:rsidP="00311682">
      <w:pPr>
        <w:rPr>
          <w:rFonts w:ascii="Arial" w:hAnsi="Arial" w:cs="Arial"/>
          <w:b/>
          <w:lang w:val="en-US"/>
        </w:rPr>
      </w:pPr>
      <w:r w:rsidRPr="002D13D0">
        <w:rPr>
          <w:rFonts w:ascii="Arial" w:hAnsi="Arial" w:cs="Arial"/>
          <w:b/>
          <w:lang w:val="en-US"/>
        </w:rPr>
        <w:t>VI.1.5. Zone cu deficit de vegetaţie forestieră şi disponibilităţi de împădurire</w:t>
      </w:r>
    </w:p>
    <w:p w:rsidR="00311682" w:rsidRDefault="00311682" w:rsidP="00311682">
      <w:pPr>
        <w:rPr>
          <w:rFonts w:ascii="Arial" w:hAnsi="Arial" w:cs="Arial"/>
          <w:b/>
          <w:lang w:val="en-US"/>
        </w:rPr>
      </w:pPr>
    </w:p>
    <w:p w:rsidR="00311682" w:rsidRPr="006615CE" w:rsidRDefault="00311682" w:rsidP="00311682">
      <w:pPr>
        <w:pStyle w:val="BodyText"/>
        <w:spacing w:after="0" w:line="240" w:lineRule="auto"/>
        <w:jc w:val="both"/>
        <w:rPr>
          <w:rFonts w:ascii="Arial" w:hAnsi="Arial" w:cs="Arial"/>
          <w:sz w:val="24"/>
          <w:szCs w:val="24"/>
          <w:lang w:val="ro-RO"/>
        </w:rPr>
      </w:pPr>
      <w:r>
        <w:rPr>
          <w:rFonts w:ascii="Arial" w:hAnsi="Arial" w:cs="Arial"/>
          <w:sz w:val="24"/>
          <w:szCs w:val="24"/>
          <w:lang w:val="ro-RO"/>
        </w:rPr>
        <w:t>J</w:t>
      </w:r>
      <w:r w:rsidRPr="006615CE">
        <w:rPr>
          <w:rFonts w:ascii="Arial" w:hAnsi="Arial" w:cs="Arial"/>
          <w:sz w:val="24"/>
          <w:szCs w:val="24"/>
          <w:lang w:val="ro-RO"/>
        </w:rPr>
        <w:t xml:space="preserve">udeţul Brăila este zonă deficitară în păduri deoarece suprafaţa acestora reprezintă puţin </w:t>
      </w:r>
      <w:r>
        <w:rPr>
          <w:rFonts w:ascii="Arial" w:hAnsi="Arial" w:cs="Arial"/>
          <w:sz w:val="24"/>
          <w:szCs w:val="24"/>
          <w:lang w:val="ro-RO"/>
        </w:rPr>
        <w:t xml:space="preserve">peste </w:t>
      </w:r>
      <w:r w:rsidRPr="006615CE">
        <w:rPr>
          <w:rFonts w:ascii="Arial" w:hAnsi="Arial" w:cs="Arial"/>
          <w:sz w:val="24"/>
          <w:szCs w:val="24"/>
          <w:lang w:val="ro-RO"/>
        </w:rPr>
        <w:t>1</w:t>
      </w:r>
      <w:r>
        <w:rPr>
          <w:rFonts w:ascii="Arial" w:hAnsi="Arial" w:cs="Arial"/>
          <w:sz w:val="24"/>
          <w:szCs w:val="24"/>
          <w:lang w:val="ro-RO"/>
        </w:rPr>
        <w:t>7</w:t>
      </w:r>
      <w:r w:rsidRPr="006615CE">
        <w:rPr>
          <w:rFonts w:ascii="Arial" w:hAnsi="Arial" w:cs="Arial"/>
          <w:sz w:val="24"/>
          <w:szCs w:val="24"/>
          <w:lang w:val="ro-RO"/>
        </w:rPr>
        <w:t>% din suprafaţa totală a judeţului.</w:t>
      </w:r>
    </w:p>
    <w:p w:rsidR="00311682" w:rsidRDefault="00311682" w:rsidP="00311682">
      <w:pPr>
        <w:rPr>
          <w:rFonts w:ascii="Arial" w:hAnsi="Arial" w:cs="Arial"/>
          <w:b/>
          <w:lang w:val="en-US"/>
        </w:rPr>
      </w:pPr>
    </w:p>
    <w:p w:rsidR="00311682" w:rsidRPr="002D13D0" w:rsidRDefault="00311682" w:rsidP="00311682">
      <w:pPr>
        <w:rPr>
          <w:rFonts w:ascii="Arial" w:hAnsi="Arial" w:cs="Arial"/>
          <w:b/>
          <w:lang w:val="en-US"/>
        </w:rPr>
      </w:pPr>
      <w:r>
        <w:rPr>
          <w:rFonts w:ascii="Arial" w:hAnsi="Arial" w:cs="Arial"/>
          <w:b/>
          <w:lang w:val="en-US"/>
        </w:rPr>
        <w:t xml:space="preserve">Tabelul nr. </w:t>
      </w:r>
      <w:r w:rsidRPr="002D13D0">
        <w:rPr>
          <w:rFonts w:ascii="Arial" w:hAnsi="Arial" w:cs="Arial"/>
          <w:b/>
          <w:lang w:val="en-US"/>
        </w:rPr>
        <w:t>VI.1.</w:t>
      </w:r>
      <w:r>
        <w:rPr>
          <w:rFonts w:ascii="Arial" w:hAnsi="Arial" w:cs="Arial"/>
          <w:b/>
          <w:lang w:val="en-US"/>
        </w:rPr>
        <w:t>5</w:t>
      </w:r>
      <w:r w:rsidRPr="002D13D0">
        <w:rPr>
          <w:rFonts w:ascii="Arial" w:hAnsi="Arial" w:cs="Arial"/>
          <w:b/>
          <w:lang w:val="en-US"/>
        </w:rPr>
        <w:t>.</w:t>
      </w:r>
      <w:r>
        <w:rPr>
          <w:rFonts w:ascii="Arial" w:hAnsi="Arial" w:cs="Arial"/>
          <w:b/>
          <w:lang w:val="en-US"/>
        </w:rPr>
        <w:t xml:space="preserve"> -1 </w:t>
      </w:r>
      <w:r w:rsidRPr="002D13D0">
        <w:rPr>
          <w:rFonts w:ascii="Arial" w:hAnsi="Arial" w:cs="Arial"/>
          <w:b/>
          <w:lang w:val="en-US"/>
        </w:rPr>
        <w:t>Zone cu deficit de vegetaţie forestieră şi disponibilităţi de împădurire</w:t>
      </w:r>
    </w:p>
    <w:tbl>
      <w:tblPr>
        <w:tblStyle w:val="TableGrid"/>
        <w:tblW w:w="0" w:type="auto"/>
        <w:tblInd w:w="1951" w:type="dxa"/>
        <w:tblLook w:val="04A0"/>
      </w:tblPr>
      <w:tblGrid>
        <w:gridCol w:w="1418"/>
        <w:gridCol w:w="4394"/>
      </w:tblGrid>
      <w:tr w:rsidR="00311682" w:rsidRPr="009B61C5" w:rsidTr="004E468C">
        <w:tc>
          <w:tcPr>
            <w:tcW w:w="1418" w:type="dxa"/>
          </w:tcPr>
          <w:p w:rsidR="00311682" w:rsidRPr="009B61C5" w:rsidRDefault="00311682" w:rsidP="004E468C">
            <w:pPr>
              <w:rPr>
                <w:rFonts w:ascii="Arial" w:hAnsi="Arial" w:cs="Arial"/>
                <w:lang w:val="en-US"/>
              </w:rPr>
            </w:pPr>
            <w:r w:rsidRPr="009B61C5">
              <w:rPr>
                <w:rFonts w:ascii="Arial" w:hAnsi="Arial" w:cs="Arial"/>
                <w:lang w:val="en-US"/>
              </w:rPr>
              <w:t>Judeţ</w:t>
            </w:r>
          </w:p>
        </w:tc>
        <w:tc>
          <w:tcPr>
            <w:tcW w:w="4394" w:type="dxa"/>
          </w:tcPr>
          <w:p w:rsidR="00311682" w:rsidRPr="009B61C5" w:rsidRDefault="00311682" w:rsidP="004E468C">
            <w:pPr>
              <w:rPr>
                <w:rFonts w:ascii="Arial" w:hAnsi="Arial" w:cs="Arial"/>
                <w:lang w:val="en-US"/>
              </w:rPr>
            </w:pPr>
            <w:r w:rsidRPr="009B61C5">
              <w:rPr>
                <w:rFonts w:ascii="Arial" w:hAnsi="Arial" w:cs="Arial"/>
                <w:lang w:val="en-US"/>
              </w:rPr>
              <w:t>Procent de ocupare cu păduri (%)</w:t>
            </w:r>
          </w:p>
        </w:tc>
      </w:tr>
      <w:tr w:rsidR="00311682" w:rsidRPr="009B61C5" w:rsidTr="004E468C">
        <w:tc>
          <w:tcPr>
            <w:tcW w:w="1418" w:type="dxa"/>
          </w:tcPr>
          <w:p w:rsidR="00311682" w:rsidRPr="009B61C5" w:rsidRDefault="00311682" w:rsidP="004E468C">
            <w:pPr>
              <w:rPr>
                <w:rFonts w:ascii="Arial" w:hAnsi="Arial" w:cs="Arial"/>
                <w:lang w:val="en-US"/>
              </w:rPr>
            </w:pPr>
            <w:r>
              <w:rPr>
                <w:rFonts w:ascii="Arial" w:hAnsi="Arial" w:cs="Arial"/>
                <w:lang w:val="en-US"/>
              </w:rPr>
              <w:lastRenderedPageBreak/>
              <w:t>Brăila</w:t>
            </w:r>
          </w:p>
        </w:tc>
        <w:tc>
          <w:tcPr>
            <w:tcW w:w="4394" w:type="dxa"/>
          </w:tcPr>
          <w:p w:rsidR="00311682" w:rsidRPr="007551CA" w:rsidRDefault="00311682" w:rsidP="004E468C">
            <w:pPr>
              <w:jc w:val="center"/>
              <w:rPr>
                <w:rFonts w:ascii="Arial" w:hAnsi="Arial" w:cs="Arial"/>
                <w:lang w:val="en-US"/>
              </w:rPr>
            </w:pPr>
            <w:r w:rsidRPr="007551CA">
              <w:rPr>
                <w:rFonts w:ascii="Arial" w:hAnsi="Arial" w:cs="Arial"/>
                <w:lang w:val="en-US"/>
              </w:rPr>
              <w:t>17,4</w:t>
            </w:r>
          </w:p>
        </w:tc>
      </w:tr>
    </w:tbl>
    <w:p w:rsidR="00311682" w:rsidRDefault="00311682" w:rsidP="00311682">
      <w:pPr>
        <w:rPr>
          <w:rFonts w:ascii="Arial" w:hAnsi="Arial" w:cs="Arial"/>
          <w:b/>
          <w:lang w:val="en-US"/>
        </w:rPr>
      </w:pPr>
    </w:p>
    <w:p w:rsidR="00311682" w:rsidRDefault="00311682" w:rsidP="00311682">
      <w:pPr>
        <w:rPr>
          <w:rFonts w:ascii="Arial" w:hAnsi="Arial" w:cs="Arial"/>
          <w:b/>
          <w:lang w:val="en-US"/>
        </w:rPr>
      </w:pPr>
      <w:r>
        <w:rPr>
          <w:rFonts w:ascii="Arial" w:hAnsi="Arial" w:cs="Arial"/>
          <w:b/>
          <w:lang w:val="en-US"/>
        </w:rPr>
        <w:t>VI.</w:t>
      </w:r>
      <w:r w:rsidRPr="002D13D0">
        <w:rPr>
          <w:rFonts w:ascii="Arial" w:hAnsi="Arial" w:cs="Arial"/>
          <w:b/>
          <w:lang w:val="en-US"/>
        </w:rPr>
        <w:t>2. Ameninţări şi presiuni exercitate asupra pădurilor, anul 2014</w:t>
      </w:r>
    </w:p>
    <w:p w:rsidR="00311682" w:rsidRDefault="00311682" w:rsidP="00311682">
      <w:pPr>
        <w:rPr>
          <w:rFonts w:ascii="Arial" w:hAnsi="Arial" w:cs="Arial"/>
          <w:b/>
          <w:lang w:val="en-US"/>
        </w:rPr>
      </w:pPr>
    </w:p>
    <w:p w:rsidR="00311682" w:rsidRPr="00603685" w:rsidRDefault="00311682" w:rsidP="00311682">
      <w:pPr>
        <w:pStyle w:val="Default"/>
        <w:rPr>
          <w:rFonts w:ascii="Arial" w:hAnsi="Arial" w:cs="Arial"/>
        </w:rPr>
      </w:pPr>
      <w:r w:rsidRPr="00603685">
        <w:rPr>
          <w:rFonts w:ascii="Arial" w:hAnsi="Arial" w:cs="Arial"/>
        </w:rPr>
        <w:t xml:space="preserve">Principalele ameninţări care afectează pădurile sunt: </w:t>
      </w:r>
    </w:p>
    <w:p w:rsidR="00311682" w:rsidRPr="00603685" w:rsidRDefault="00311682" w:rsidP="00882FB1">
      <w:pPr>
        <w:pStyle w:val="Default"/>
        <w:numPr>
          <w:ilvl w:val="0"/>
          <w:numId w:val="60"/>
        </w:numPr>
        <w:rPr>
          <w:rFonts w:ascii="Arial" w:hAnsi="Arial" w:cs="Arial"/>
          <w:color w:val="auto"/>
        </w:rPr>
      </w:pPr>
      <w:r w:rsidRPr="00603685">
        <w:rPr>
          <w:rFonts w:ascii="Arial" w:hAnsi="Arial" w:cs="Arial"/>
        </w:rPr>
        <w:t xml:space="preserve">defrişările (în exces, în scopuri industriale sau pentru obţinerea de energie </w:t>
      </w:r>
      <w:r w:rsidRPr="00603685">
        <w:rPr>
          <w:rFonts w:ascii="Arial" w:hAnsi="Arial" w:cs="Arial"/>
          <w:b/>
          <w:bCs/>
          <w:color w:val="auto"/>
        </w:rPr>
        <w:t xml:space="preserve"> </w:t>
      </w:r>
      <w:r w:rsidRPr="00603685">
        <w:rPr>
          <w:rFonts w:ascii="Arial" w:hAnsi="Arial" w:cs="Arial"/>
          <w:color w:val="auto"/>
        </w:rPr>
        <w:t xml:space="preserve">biocombustibili, dar mai ales cele ilegale; de asemenea, tăierile datorate conversiei pădurilor la terenuri agricole au rol important) </w:t>
      </w:r>
    </w:p>
    <w:p w:rsidR="00311682" w:rsidRPr="00603685" w:rsidRDefault="00311682" w:rsidP="00882FB1">
      <w:pPr>
        <w:pStyle w:val="Default"/>
        <w:numPr>
          <w:ilvl w:val="0"/>
          <w:numId w:val="61"/>
        </w:numPr>
        <w:spacing w:after="2"/>
        <w:rPr>
          <w:rFonts w:ascii="Arial" w:hAnsi="Arial" w:cs="Arial"/>
          <w:color w:val="auto"/>
        </w:rPr>
      </w:pPr>
      <w:r w:rsidRPr="00603685">
        <w:rPr>
          <w:rFonts w:ascii="Arial" w:hAnsi="Arial" w:cs="Arial"/>
          <w:color w:val="auto"/>
        </w:rPr>
        <w:t xml:space="preserve">fragmentarea ecosistemelor </w:t>
      </w:r>
    </w:p>
    <w:p w:rsidR="00311682" w:rsidRPr="00603685" w:rsidRDefault="00311682" w:rsidP="00882FB1">
      <w:pPr>
        <w:pStyle w:val="Default"/>
        <w:numPr>
          <w:ilvl w:val="0"/>
          <w:numId w:val="61"/>
        </w:numPr>
        <w:spacing w:after="2"/>
        <w:rPr>
          <w:rFonts w:ascii="Arial" w:hAnsi="Arial" w:cs="Arial"/>
          <w:color w:val="auto"/>
        </w:rPr>
      </w:pPr>
      <w:r w:rsidRPr="00603685">
        <w:rPr>
          <w:rFonts w:ascii="Arial" w:hAnsi="Arial" w:cs="Arial"/>
          <w:color w:val="auto"/>
        </w:rPr>
        <w:t xml:space="preserve">degradarea pădurilor, din cauza dăunătorilor sau bolilor sau a speciilor invazive </w:t>
      </w:r>
    </w:p>
    <w:p w:rsidR="00311682" w:rsidRPr="00603685" w:rsidRDefault="00311682" w:rsidP="00882FB1">
      <w:pPr>
        <w:pStyle w:val="Default"/>
        <w:numPr>
          <w:ilvl w:val="0"/>
          <w:numId w:val="61"/>
        </w:numPr>
        <w:spacing w:after="2"/>
        <w:rPr>
          <w:rFonts w:ascii="Arial" w:hAnsi="Arial" w:cs="Arial"/>
          <w:color w:val="auto"/>
        </w:rPr>
      </w:pPr>
      <w:r w:rsidRPr="00603685">
        <w:rPr>
          <w:rFonts w:ascii="Arial" w:hAnsi="Arial" w:cs="Arial"/>
          <w:color w:val="auto"/>
        </w:rPr>
        <w:t xml:space="preserve">schimbările climatice, inclusiv incendiile de pădure </w:t>
      </w:r>
    </w:p>
    <w:p w:rsidR="00311682" w:rsidRPr="00603685" w:rsidRDefault="00311682" w:rsidP="00882FB1">
      <w:pPr>
        <w:pStyle w:val="Default"/>
        <w:numPr>
          <w:ilvl w:val="0"/>
          <w:numId w:val="61"/>
        </w:numPr>
        <w:rPr>
          <w:rFonts w:ascii="Arial" w:hAnsi="Arial" w:cs="Arial"/>
          <w:color w:val="auto"/>
        </w:rPr>
      </w:pPr>
      <w:r w:rsidRPr="00603685">
        <w:rPr>
          <w:rFonts w:ascii="Arial" w:hAnsi="Arial" w:cs="Arial"/>
          <w:color w:val="auto"/>
        </w:rPr>
        <w:t xml:space="preserve">turismul negestionat. </w:t>
      </w:r>
    </w:p>
    <w:p w:rsidR="00311682" w:rsidRDefault="00311682" w:rsidP="00311682">
      <w:pPr>
        <w:pStyle w:val="Heading1"/>
        <w:spacing w:before="0" w:after="0"/>
        <w:ind w:firstLine="720"/>
        <w:rPr>
          <w:b w:val="0"/>
          <w:sz w:val="24"/>
          <w:szCs w:val="24"/>
          <w:lang w:val="ro-RO"/>
        </w:rPr>
      </w:pPr>
    </w:p>
    <w:p w:rsidR="00311682" w:rsidRPr="006615CE" w:rsidRDefault="00311682" w:rsidP="00311682">
      <w:pPr>
        <w:pStyle w:val="Heading1"/>
        <w:spacing w:before="0" w:after="0"/>
        <w:rPr>
          <w:b w:val="0"/>
          <w:sz w:val="24"/>
          <w:szCs w:val="24"/>
          <w:lang w:val="ro-RO"/>
        </w:rPr>
      </w:pPr>
      <w:r w:rsidRPr="006615CE">
        <w:rPr>
          <w:b w:val="0"/>
          <w:sz w:val="24"/>
          <w:szCs w:val="24"/>
          <w:lang w:val="ro-RO"/>
        </w:rPr>
        <w:t>Sensibilizarea publicului</w:t>
      </w:r>
    </w:p>
    <w:p w:rsidR="00311682" w:rsidRPr="00426490" w:rsidRDefault="00311682" w:rsidP="00311682">
      <w:pPr>
        <w:jc w:val="both"/>
        <w:rPr>
          <w:rFonts w:ascii="Arial" w:hAnsi="Arial" w:cs="Arial"/>
        </w:rPr>
      </w:pPr>
      <w:r w:rsidRPr="00426490">
        <w:rPr>
          <w:rFonts w:ascii="Arial" w:hAnsi="Arial" w:cs="Arial"/>
        </w:rPr>
        <w:t xml:space="preserve">Metodele folosite pentru informarea publicului asupra rolului şi importanţei pădurii pentru societatea omenească au constat în amplasarea de panouri informative şi de conştientizare, confecţionarea de pliante informative şi distribuirea acestora, precum şi acţiuni de patrulare ale personalului silvic în zonele de turism de week-end, în scopul prevenirii şi combaterii fenomenelor de agresiune asupra zonelor împădurite.Informarea publică se amplifică în perioada 15 martie - 15 aprilie, când se desfăşoară acţiuni specifice Lunii Pădurii  la nivel naţional. Pentru prevenirea, descoperirea şi sancţionarea infracţiunilor şi contravenţiilor silvice referitoare la tăieri ilegale de arbori, braconaj, păşunat abuziv şi altele, personalul silvic în colaborare cu organele de poliţie organizează permanent acţiuni de patrulare, pânde fixe şi controale ale circulaţiei materialului lemnos. </w:t>
      </w:r>
    </w:p>
    <w:p w:rsidR="00311682" w:rsidRDefault="00311682" w:rsidP="00311682">
      <w:pPr>
        <w:rPr>
          <w:rFonts w:ascii="Arial" w:hAnsi="Arial" w:cs="Arial"/>
          <w:b/>
          <w:lang w:val="en-US"/>
        </w:rPr>
      </w:pPr>
    </w:p>
    <w:p w:rsidR="00311682" w:rsidRDefault="00311682" w:rsidP="00311682">
      <w:pPr>
        <w:rPr>
          <w:rFonts w:ascii="Arial" w:hAnsi="Arial" w:cs="Arial"/>
          <w:b/>
          <w:lang w:val="en-US"/>
        </w:rPr>
      </w:pPr>
      <w:r w:rsidRPr="002D13D0">
        <w:rPr>
          <w:rFonts w:ascii="Arial" w:hAnsi="Arial" w:cs="Arial"/>
          <w:b/>
          <w:lang w:val="en-US"/>
        </w:rPr>
        <w:t>VI.2.1. Suprafeţe de pădure parcurse cu tăieri</w:t>
      </w:r>
    </w:p>
    <w:p w:rsidR="00311682" w:rsidRDefault="00311682" w:rsidP="00311682">
      <w:pPr>
        <w:rPr>
          <w:rFonts w:ascii="Arial" w:hAnsi="Arial" w:cs="Arial"/>
          <w:b/>
          <w:lang w:val="en-US"/>
        </w:rPr>
      </w:pPr>
    </w:p>
    <w:p w:rsidR="00311682" w:rsidRPr="009B61C5"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2D13D0">
        <w:rPr>
          <w:rFonts w:ascii="Arial" w:hAnsi="Arial" w:cs="Arial"/>
          <w:b/>
          <w:lang w:val="en-US"/>
        </w:rPr>
        <w:t>VI.2.1.</w:t>
      </w:r>
      <w:r>
        <w:rPr>
          <w:rFonts w:ascii="Arial" w:hAnsi="Arial" w:cs="Arial"/>
          <w:b/>
          <w:lang w:val="en-US"/>
        </w:rPr>
        <w:t xml:space="preserve"> -1 </w:t>
      </w:r>
      <w:r>
        <w:rPr>
          <w:rFonts w:ascii="Arial" w:hAnsi="Arial" w:cs="Arial"/>
          <w:lang w:val="en-US"/>
        </w:rPr>
        <w:t xml:space="preserve"> </w:t>
      </w:r>
      <w:r w:rsidRPr="009B61C5">
        <w:rPr>
          <w:rFonts w:ascii="Arial" w:hAnsi="Arial" w:cs="Arial"/>
          <w:lang w:val="en-US"/>
        </w:rPr>
        <w:t>Suprafaţa parcursă de tăieri pe tipul de tăieri</w:t>
      </w:r>
    </w:p>
    <w:tbl>
      <w:tblPr>
        <w:tblStyle w:val="TableGrid"/>
        <w:tblW w:w="0" w:type="auto"/>
        <w:tblLayout w:type="fixed"/>
        <w:tblLook w:val="04A0"/>
      </w:tblPr>
      <w:tblGrid>
        <w:gridCol w:w="4503"/>
        <w:gridCol w:w="850"/>
        <w:gridCol w:w="992"/>
        <w:gridCol w:w="993"/>
        <w:gridCol w:w="992"/>
        <w:gridCol w:w="958"/>
      </w:tblGrid>
      <w:tr w:rsidR="00311682" w:rsidRPr="009B61C5" w:rsidTr="004E468C">
        <w:tc>
          <w:tcPr>
            <w:tcW w:w="4503" w:type="dxa"/>
            <w:tcBorders>
              <w:bottom w:val="nil"/>
            </w:tcBorders>
          </w:tcPr>
          <w:p w:rsidR="00311682" w:rsidRPr="009B61C5" w:rsidRDefault="00311682" w:rsidP="004E468C">
            <w:pPr>
              <w:rPr>
                <w:rFonts w:ascii="Arial" w:hAnsi="Arial" w:cs="Arial"/>
                <w:lang w:val="en-US"/>
              </w:rPr>
            </w:pPr>
            <w:r w:rsidRPr="009B61C5">
              <w:rPr>
                <w:rFonts w:ascii="Arial" w:hAnsi="Arial" w:cs="Arial"/>
                <w:lang w:val="en-US"/>
              </w:rPr>
              <w:t>Tipul de tăieri</w:t>
            </w:r>
          </w:p>
        </w:tc>
        <w:tc>
          <w:tcPr>
            <w:tcW w:w="4785" w:type="dxa"/>
            <w:gridSpan w:val="5"/>
          </w:tcPr>
          <w:p w:rsidR="00311682" w:rsidRPr="009B61C5" w:rsidRDefault="00311682" w:rsidP="004E468C">
            <w:pPr>
              <w:rPr>
                <w:rFonts w:ascii="Arial" w:hAnsi="Arial" w:cs="Arial"/>
                <w:lang w:val="en-US"/>
              </w:rPr>
            </w:pPr>
            <w:r>
              <w:rPr>
                <w:rFonts w:ascii="Arial" w:hAnsi="Arial" w:cs="Arial"/>
                <w:lang w:val="en-US"/>
              </w:rPr>
              <w:t>Suprafata parcursa cu taieri (ha)</w:t>
            </w:r>
          </w:p>
        </w:tc>
      </w:tr>
      <w:tr w:rsidR="00311682" w:rsidRPr="009B61C5" w:rsidTr="004E468C">
        <w:tc>
          <w:tcPr>
            <w:tcW w:w="4503" w:type="dxa"/>
            <w:tcBorders>
              <w:top w:val="nil"/>
            </w:tcBorders>
          </w:tcPr>
          <w:p w:rsidR="00311682" w:rsidRPr="009B61C5" w:rsidRDefault="00311682" w:rsidP="004E468C">
            <w:pPr>
              <w:rPr>
                <w:rFonts w:ascii="Arial" w:hAnsi="Arial" w:cs="Arial"/>
                <w:lang w:val="en-US"/>
              </w:rPr>
            </w:pPr>
          </w:p>
        </w:tc>
        <w:tc>
          <w:tcPr>
            <w:tcW w:w="850" w:type="dxa"/>
          </w:tcPr>
          <w:p w:rsidR="00311682" w:rsidRPr="009B61C5" w:rsidRDefault="00311682" w:rsidP="004E468C">
            <w:pPr>
              <w:rPr>
                <w:rFonts w:ascii="Arial" w:hAnsi="Arial" w:cs="Arial"/>
                <w:lang w:val="en-US"/>
              </w:rPr>
            </w:pPr>
            <w:r w:rsidRPr="009B61C5">
              <w:rPr>
                <w:rFonts w:ascii="Arial" w:hAnsi="Arial" w:cs="Arial"/>
                <w:lang w:val="en-US"/>
              </w:rPr>
              <w:t>2010</w:t>
            </w:r>
          </w:p>
        </w:tc>
        <w:tc>
          <w:tcPr>
            <w:tcW w:w="992" w:type="dxa"/>
          </w:tcPr>
          <w:p w:rsidR="00311682" w:rsidRPr="009B61C5" w:rsidRDefault="00311682" w:rsidP="004E468C">
            <w:pPr>
              <w:rPr>
                <w:rFonts w:ascii="Arial" w:hAnsi="Arial" w:cs="Arial"/>
                <w:lang w:val="en-US"/>
              </w:rPr>
            </w:pPr>
            <w:r w:rsidRPr="009B61C5">
              <w:rPr>
                <w:rFonts w:ascii="Arial" w:hAnsi="Arial" w:cs="Arial"/>
                <w:lang w:val="en-US"/>
              </w:rPr>
              <w:t>2011</w:t>
            </w:r>
          </w:p>
        </w:tc>
        <w:tc>
          <w:tcPr>
            <w:tcW w:w="993" w:type="dxa"/>
          </w:tcPr>
          <w:p w:rsidR="00311682" w:rsidRPr="009B61C5" w:rsidRDefault="00311682" w:rsidP="004E468C">
            <w:pPr>
              <w:rPr>
                <w:rFonts w:ascii="Arial" w:hAnsi="Arial" w:cs="Arial"/>
                <w:lang w:val="en-US"/>
              </w:rPr>
            </w:pPr>
            <w:r w:rsidRPr="009B61C5">
              <w:rPr>
                <w:rFonts w:ascii="Arial" w:hAnsi="Arial" w:cs="Arial"/>
                <w:lang w:val="en-US"/>
              </w:rPr>
              <w:t>2012</w:t>
            </w:r>
          </w:p>
        </w:tc>
        <w:tc>
          <w:tcPr>
            <w:tcW w:w="992" w:type="dxa"/>
          </w:tcPr>
          <w:p w:rsidR="00311682" w:rsidRPr="009B61C5" w:rsidRDefault="00311682" w:rsidP="004E468C">
            <w:pPr>
              <w:rPr>
                <w:rFonts w:ascii="Arial" w:hAnsi="Arial" w:cs="Arial"/>
                <w:lang w:val="en-US"/>
              </w:rPr>
            </w:pPr>
            <w:r w:rsidRPr="009B61C5">
              <w:rPr>
                <w:rFonts w:ascii="Arial" w:hAnsi="Arial" w:cs="Arial"/>
                <w:lang w:val="en-US"/>
              </w:rPr>
              <w:t>2013</w:t>
            </w:r>
          </w:p>
        </w:tc>
        <w:tc>
          <w:tcPr>
            <w:tcW w:w="958" w:type="dxa"/>
          </w:tcPr>
          <w:p w:rsidR="00311682" w:rsidRPr="009B61C5" w:rsidRDefault="00311682" w:rsidP="004E468C">
            <w:pPr>
              <w:rPr>
                <w:rFonts w:ascii="Arial" w:hAnsi="Arial" w:cs="Arial"/>
                <w:lang w:val="en-US"/>
              </w:rPr>
            </w:pPr>
            <w:r w:rsidRPr="009B61C5">
              <w:rPr>
                <w:rFonts w:ascii="Arial" w:hAnsi="Arial" w:cs="Arial"/>
                <w:lang w:val="en-US"/>
              </w:rPr>
              <w:t>2014</w:t>
            </w:r>
          </w:p>
        </w:tc>
      </w:tr>
      <w:tr w:rsidR="00311682" w:rsidRPr="009B61C5" w:rsidTr="004E468C">
        <w:tc>
          <w:tcPr>
            <w:tcW w:w="4503" w:type="dxa"/>
          </w:tcPr>
          <w:p w:rsidR="00311682" w:rsidRPr="009B61C5" w:rsidRDefault="00311682" w:rsidP="004E468C">
            <w:pPr>
              <w:rPr>
                <w:rFonts w:ascii="Arial" w:hAnsi="Arial" w:cs="Arial"/>
                <w:lang w:val="en-US"/>
              </w:rPr>
            </w:pPr>
            <w:r w:rsidRPr="009B61C5">
              <w:rPr>
                <w:rFonts w:ascii="Arial" w:hAnsi="Arial" w:cs="Arial"/>
                <w:lang w:val="en-US"/>
              </w:rPr>
              <w:t>Tăieri de regenerare în crâng</w:t>
            </w:r>
          </w:p>
        </w:tc>
        <w:tc>
          <w:tcPr>
            <w:tcW w:w="850" w:type="dxa"/>
          </w:tcPr>
          <w:p w:rsidR="00311682" w:rsidRPr="009B61C5" w:rsidRDefault="00311682" w:rsidP="004E468C">
            <w:pPr>
              <w:jc w:val="center"/>
              <w:rPr>
                <w:rFonts w:ascii="Arial" w:hAnsi="Arial" w:cs="Arial"/>
                <w:lang w:val="en-US"/>
              </w:rPr>
            </w:pPr>
            <w:r>
              <w:rPr>
                <w:rFonts w:ascii="Arial" w:hAnsi="Arial" w:cs="Arial"/>
                <w:lang w:val="en-US"/>
              </w:rPr>
              <w:t>50,1</w:t>
            </w:r>
          </w:p>
        </w:tc>
        <w:tc>
          <w:tcPr>
            <w:tcW w:w="992" w:type="dxa"/>
          </w:tcPr>
          <w:p w:rsidR="00311682" w:rsidRPr="009B61C5" w:rsidRDefault="00311682" w:rsidP="004E468C">
            <w:pPr>
              <w:jc w:val="center"/>
              <w:rPr>
                <w:rFonts w:ascii="Arial" w:hAnsi="Arial" w:cs="Arial"/>
                <w:lang w:val="en-US"/>
              </w:rPr>
            </w:pPr>
            <w:r>
              <w:rPr>
                <w:rFonts w:ascii="Arial" w:hAnsi="Arial" w:cs="Arial"/>
                <w:lang w:val="en-US"/>
              </w:rPr>
              <w:t>57,8</w:t>
            </w:r>
          </w:p>
        </w:tc>
        <w:tc>
          <w:tcPr>
            <w:tcW w:w="993" w:type="dxa"/>
          </w:tcPr>
          <w:p w:rsidR="00311682" w:rsidRPr="009B61C5" w:rsidRDefault="00311682" w:rsidP="004E468C">
            <w:pPr>
              <w:jc w:val="center"/>
              <w:rPr>
                <w:rFonts w:ascii="Arial" w:hAnsi="Arial" w:cs="Arial"/>
                <w:lang w:val="en-US"/>
              </w:rPr>
            </w:pPr>
            <w:r>
              <w:rPr>
                <w:rFonts w:ascii="Arial" w:hAnsi="Arial" w:cs="Arial"/>
                <w:lang w:val="en-US"/>
              </w:rPr>
              <w:t>70,7</w:t>
            </w:r>
          </w:p>
        </w:tc>
        <w:tc>
          <w:tcPr>
            <w:tcW w:w="992" w:type="dxa"/>
          </w:tcPr>
          <w:p w:rsidR="00311682" w:rsidRPr="009B61C5" w:rsidRDefault="00311682" w:rsidP="004E468C">
            <w:pPr>
              <w:jc w:val="center"/>
              <w:rPr>
                <w:rFonts w:ascii="Arial" w:hAnsi="Arial" w:cs="Arial"/>
                <w:lang w:val="en-US"/>
              </w:rPr>
            </w:pPr>
            <w:r>
              <w:rPr>
                <w:rFonts w:ascii="Arial" w:hAnsi="Arial" w:cs="Arial"/>
                <w:lang w:val="en-US"/>
              </w:rPr>
              <w:t>64,8</w:t>
            </w:r>
          </w:p>
        </w:tc>
        <w:tc>
          <w:tcPr>
            <w:tcW w:w="958" w:type="dxa"/>
          </w:tcPr>
          <w:p w:rsidR="00311682" w:rsidRPr="009B61C5" w:rsidRDefault="00311682" w:rsidP="004E468C">
            <w:pPr>
              <w:jc w:val="center"/>
              <w:rPr>
                <w:rFonts w:ascii="Arial" w:hAnsi="Arial" w:cs="Arial"/>
                <w:lang w:val="en-US"/>
              </w:rPr>
            </w:pPr>
            <w:r>
              <w:rPr>
                <w:rFonts w:ascii="Arial" w:hAnsi="Arial" w:cs="Arial"/>
                <w:lang w:val="en-US"/>
              </w:rPr>
              <w:t>46,7</w:t>
            </w:r>
          </w:p>
        </w:tc>
      </w:tr>
      <w:tr w:rsidR="00311682" w:rsidRPr="009B61C5" w:rsidTr="004E468C">
        <w:tc>
          <w:tcPr>
            <w:tcW w:w="4503" w:type="dxa"/>
          </w:tcPr>
          <w:p w:rsidR="00311682" w:rsidRPr="009B61C5" w:rsidRDefault="00311682" w:rsidP="004E468C">
            <w:pPr>
              <w:rPr>
                <w:rFonts w:ascii="Arial" w:hAnsi="Arial" w:cs="Arial"/>
                <w:lang w:val="en-US"/>
              </w:rPr>
            </w:pPr>
            <w:r w:rsidRPr="009B61C5">
              <w:rPr>
                <w:rFonts w:ascii="Arial" w:hAnsi="Arial" w:cs="Arial"/>
                <w:lang w:val="en-US"/>
              </w:rPr>
              <w:t>Tăieri de substituiri-refacere a arboretelor slab productive şi degradate</w:t>
            </w:r>
          </w:p>
        </w:tc>
        <w:tc>
          <w:tcPr>
            <w:tcW w:w="850" w:type="dxa"/>
          </w:tcPr>
          <w:p w:rsidR="00311682" w:rsidRPr="009B61C5" w:rsidRDefault="00311682" w:rsidP="004E468C">
            <w:pPr>
              <w:jc w:val="center"/>
              <w:rPr>
                <w:rFonts w:ascii="Arial" w:hAnsi="Arial" w:cs="Arial"/>
                <w:lang w:val="en-US"/>
              </w:rPr>
            </w:pPr>
            <w:r>
              <w:rPr>
                <w:rFonts w:ascii="Arial" w:hAnsi="Arial" w:cs="Arial"/>
                <w:lang w:val="en-US"/>
              </w:rPr>
              <w:t>50,1</w:t>
            </w:r>
          </w:p>
        </w:tc>
        <w:tc>
          <w:tcPr>
            <w:tcW w:w="992" w:type="dxa"/>
          </w:tcPr>
          <w:p w:rsidR="00311682" w:rsidRPr="009B61C5" w:rsidRDefault="00311682" w:rsidP="004E468C">
            <w:pPr>
              <w:jc w:val="center"/>
              <w:rPr>
                <w:rFonts w:ascii="Arial" w:hAnsi="Arial" w:cs="Arial"/>
                <w:lang w:val="en-US"/>
              </w:rPr>
            </w:pPr>
            <w:r>
              <w:rPr>
                <w:rFonts w:ascii="Arial" w:hAnsi="Arial" w:cs="Arial"/>
                <w:lang w:val="en-US"/>
              </w:rPr>
              <w:t>57,8</w:t>
            </w:r>
          </w:p>
        </w:tc>
        <w:tc>
          <w:tcPr>
            <w:tcW w:w="993" w:type="dxa"/>
          </w:tcPr>
          <w:p w:rsidR="00311682" w:rsidRPr="009B61C5" w:rsidRDefault="00311682" w:rsidP="004E468C">
            <w:pPr>
              <w:jc w:val="center"/>
              <w:rPr>
                <w:rFonts w:ascii="Arial" w:hAnsi="Arial" w:cs="Arial"/>
                <w:lang w:val="en-US"/>
              </w:rPr>
            </w:pPr>
            <w:r>
              <w:rPr>
                <w:rFonts w:ascii="Arial" w:hAnsi="Arial" w:cs="Arial"/>
                <w:lang w:val="en-US"/>
              </w:rPr>
              <w:t>70,7</w:t>
            </w:r>
          </w:p>
        </w:tc>
        <w:tc>
          <w:tcPr>
            <w:tcW w:w="992" w:type="dxa"/>
          </w:tcPr>
          <w:p w:rsidR="00311682" w:rsidRPr="009B61C5" w:rsidRDefault="00311682" w:rsidP="004E468C">
            <w:pPr>
              <w:jc w:val="center"/>
              <w:rPr>
                <w:rFonts w:ascii="Arial" w:hAnsi="Arial" w:cs="Arial"/>
                <w:lang w:val="en-US"/>
              </w:rPr>
            </w:pPr>
            <w:r>
              <w:rPr>
                <w:rFonts w:ascii="Arial" w:hAnsi="Arial" w:cs="Arial"/>
                <w:lang w:val="en-US"/>
              </w:rPr>
              <w:t>64,8</w:t>
            </w:r>
          </w:p>
        </w:tc>
        <w:tc>
          <w:tcPr>
            <w:tcW w:w="958" w:type="dxa"/>
          </w:tcPr>
          <w:p w:rsidR="00311682" w:rsidRPr="009B61C5" w:rsidRDefault="00311682" w:rsidP="004E468C">
            <w:pPr>
              <w:jc w:val="center"/>
              <w:rPr>
                <w:rFonts w:ascii="Arial" w:hAnsi="Arial" w:cs="Arial"/>
                <w:lang w:val="en-US"/>
              </w:rPr>
            </w:pPr>
            <w:r>
              <w:rPr>
                <w:rFonts w:ascii="Arial" w:hAnsi="Arial" w:cs="Arial"/>
                <w:lang w:val="en-US"/>
              </w:rPr>
              <w:t>46,7</w:t>
            </w:r>
          </w:p>
        </w:tc>
      </w:tr>
      <w:tr w:rsidR="00311682" w:rsidRPr="009B61C5" w:rsidTr="004E468C">
        <w:tc>
          <w:tcPr>
            <w:tcW w:w="4503" w:type="dxa"/>
          </w:tcPr>
          <w:p w:rsidR="00311682" w:rsidRPr="009B61C5" w:rsidRDefault="00311682" w:rsidP="004E468C">
            <w:pPr>
              <w:rPr>
                <w:rFonts w:ascii="Arial" w:hAnsi="Arial" w:cs="Arial"/>
                <w:lang w:val="en-US"/>
              </w:rPr>
            </w:pPr>
            <w:r w:rsidRPr="009B61C5">
              <w:rPr>
                <w:rFonts w:ascii="Arial" w:hAnsi="Arial" w:cs="Arial"/>
                <w:lang w:val="en-US"/>
              </w:rPr>
              <w:t>Tăieri de conservare</w:t>
            </w:r>
          </w:p>
        </w:tc>
        <w:tc>
          <w:tcPr>
            <w:tcW w:w="850" w:type="dxa"/>
          </w:tcPr>
          <w:p w:rsidR="00311682" w:rsidRPr="009B61C5" w:rsidRDefault="00311682" w:rsidP="004E468C">
            <w:pPr>
              <w:jc w:val="center"/>
              <w:rPr>
                <w:rFonts w:ascii="Arial" w:hAnsi="Arial" w:cs="Arial"/>
                <w:lang w:val="en-US"/>
              </w:rPr>
            </w:pPr>
            <w:r>
              <w:rPr>
                <w:rFonts w:ascii="Arial" w:hAnsi="Arial" w:cs="Arial"/>
                <w:lang w:val="en-US"/>
              </w:rPr>
              <w:t>0</w:t>
            </w:r>
          </w:p>
        </w:tc>
        <w:tc>
          <w:tcPr>
            <w:tcW w:w="992" w:type="dxa"/>
          </w:tcPr>
          <w:p w:rsidR="00311682" w:rsidRPr="009B61C5" w:rsidRDefault="00311682" w:rsidP="004E468C">
            <w:pPr>
              <w:jc w:val="center"/>
              <w:rPr>
                <w:rFonts w:ascii="Arial" w:hAnsi="Arial" w:cs="Arial"/>
                <w:lang w:val="en-US"/>
              </w:rPr>
            </w:pPr>
            <w:r>
              <w:rPr>
                <w:rFonts w:ascii="Arial" w:hAnsi="Arial" w:cs="Arial"/>
                <w:lang w:val="en-US"/>
              </w:rPr>
              <w:t>0</w:t>
            </w:r>
          </w:p>
        </w:tc>
        <w:tc>
          <w:tcPr>
            <w:tcW w:w="993" w:type="dxa"/>
          </w:tcPr>
          <w:p w:rsidR="00311682" w:rsidRDefault="00311682" w:rsidP="004E468C">
            <w:pPr>
              <w:jc w:val="center"/>
            </w:pPr>
            <w:r w:rsidRPr="00A63C7D">
              <w:rPr>
                <w:rFonts w:ascii="Arial" w:hAnsi="Arial" w:cs="Arial"/>
                <w:lang w:val="en-US"/>
              </w:rPr>
              <w:t>0</w:t>
            </w:r>
          </w:p>
        </w:tc>
        <w:tc>
          <w:tcPr>
            <w:tcW w:w="992" w:type="dxa"/>
          </w:tcPr>
          <w:p w:rsidR="00311682" w:rsidRDefault="00311682" w:rsidP="004E468C">
            <w:pPr>
              <w:jc w:val="center"/>
            </w:pPr>
            <w:r w:rsidRPr="00A63C7D">
              <w:rPr>
                <w:rFonts w:ascii="Arial" w:hAnsi="Arial" w:cs="Arial"/>
                <w:lang w:val="en-US"/>
              </w:rPr>
              <w:t>0</w:t>
            </w:r>
          </w:p>
        </w:tc>
        <w:tc>
          <w:tcPr>
            <w:tcW w:w="958" w:type="dxa"/>
          </w:tcPr>
          <w:p w:rsidR="00311682" w:rsidRDefault="00311682" w:rsidP="004E468C">
            <w:pPr>
              <w:jc w:val="center"/>
            </w:pPr>
            <w:r w:rsidRPr="00A63C7D">
              <w:rPr>
                <w:rFonts w:ascii="Arial" w:hAnsi="Arial" w:cs="Arial"/>
                <w:lang w:val="en-US"/>
              </w:rPr>
              <w:t>0</w:t>
            </w:r>
          </w:p>
        </w:tc>
      </w:tr>
    </w:tbl>
    <w:p w:rsidR="00311682" w:rsidRDefault="00311682" w:rsidP="00311682">
      <w:pPr>
        <w:rPr>
          <w:rFonts w:ascii="Arial" w:hAnsi="Arial" w:cs="Arial"/>
          <w:lang w:val="en-US"/>
        </w:rPr>
      </w:pPr>
    </w:p>
    <w:p w:rsidR="00311682" w:rsidRDefault="00311682" w:rsidP="00311682">
      <w:pPr>
        <w:jc w:val="center"/>
        <w:rPr>
          <w:rFonts w:ascii="Arial" w:hAnsi="Arial" w:cs="Arial"/>
          <w:b/>
          <w:lang w:val="en-US"/>
        </w:rPr>
      </w:pPr>
      <w:r>
        <w:rPr>
          <w:rFonts w:ascii="Arial" w:hAnsi="Arial" w:cs="Arial"/>
          <w:b/>
          <w:noProof/>
          <w:lang w:val="ro-RO" w:eastAsia="ro-RO"/>
        </w:rPr>
        <w:drawing>
          <wp:inline distT="0" distB="0" distL="0" distR="0">
            <wp:extent cx="3905250" cy="2609850"/>
            <wp:effectExtent l="19050" t="0" r="19050" b="0"/>
            <wp:docPr id="125"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1"/>
              </a:graphicData>
            </a:graphic>
          </wp:inline>
        </w:drawing>
      </w:r>
    </w:p>
    <w:p w:rsidR="00311682" w:rsidRPr="009B61C5" w:rsidRDefault="00311682" w:rsidP="00311682">
      <w:pPr>
        <w:rPr>
          <w:rFonts w:ascii="Arial" w:hAnsi="Arial" w:cs="Arial"/>
          <w:lang w:val="en-US"/>
        </w:rPr>
      </w:pPr>
      <w:r>
        <w:rPr>
          <w:rFonts w:ascii="Arial" w:hAnsi="Arial" w:cs="Arial"/>
          <w:b/>
          <w:lang w:val="en-US"/>
        </w:rPr>
        <w:t xml:space="preserve">                 Figura nr. </w:t>
      </w:r>
      <w:r>
        <w:rPr>
          <w:rFonts w:ascii="Arial" w:hAnsi="Arial" w:cs="Arial"/>
          <w:lang w:val="en-US"/>
        </w:rPr>
        <w:t>.</w:t>
      </w:r>
      <w:r w:rsidRPr="00FB4432">
        <w:rPr>
          <w:rFonts w:ascii="Arial" w:hAnsi="Arial" w:cs="Arial"/>
          <w:b/>
          <w:lang w:val="en-US"/>
        </w:rPr>
        <w:t xml:space="preserve"> </w:t>
      </w:r>
      <w:r w:rsidRPr="002D13D0">
        <w:rPr>
          <w:rFonts w:ascii="Arial" w:hAnsi="Arial" w:cs="Arial"/>
          <w:b/>
          <w:lang w:val="en-US"/>
        </w:rPr>
        <w:t>VI.2.1.</w:t>
      </w:r>
      <w:r>
        <w:rPr>
          <w:rFonts w:ascii="Arial" w:hAnsi="Arial" w:cs="Arial"/>
          <w:b/>
          <w:lang w:val="en-US"/>
        </w:rPr>
        <w:t xml:space="preserve"> -1 </w:t>
      </w:r>
      <w:r>
        <w:rPr>
          <w:rFonts w:ascii="Arial" w:hAnsi="Arial" w:cs="Arial"/>
          <w:lang w:val="en-US"/>
        </w:rPr>
        <w:t xml:space="preserve"> </w:t>
      </w:r>
      <w:r w:rsidRPr="009B61C5">
        <w:rPr>
          <w:rFonts w:ascii="Arial" w:hAnsi="Arial" w:cs="Arial"/>
          <w:lang w:val="en-US"/>
        </w:rPr>
        <w:t>Suprafaţa parcursă de tăieri pe tipul de tăieri</w:t>
      </w:r>
    </w:p>
    <w:p w:rsidR="00311682" w:rsidRDefault="00311682" w:rsidP="00311682">
      <w:pPr>
        <w:rPr>
          <w:rFonts w:ascii="Arial" w:hAnsi="Arial" w:cs="Arial"/>
          <w:b/>
          <w:lang w:val="en-US"/>
        </w:rPr>
      </w:pPr>
    </w:p>
    <w:p w:rsidR="00311682" w:rsidRPr="0015179F" w:rsidRDefault="00311682" w:rsidP="00311682">
      <w:pPr>
        <w:ind w:firstLine="708"/>
        <w:rPr>
          <w:rFonts w:ascii="Arial" w:hAnsi="Arial" w:cs="Arial"/>
          <w:b/>
          <w:lang w:val="en-US"/>
        </w:rPr>
      </w:pPr>
      <w:r w:rsidRPr="002D13D0">
        <w:rPr>
          <w:rFonts w:ascii="Arial" w:hAnsi="Arial" w:cs="Arial"/>
          <w:b/>
          <w:lang w:val="en-US"/>
        </w:rPr>
        <w:t xml:space="preserve">VI.2.2. </w:t>
      </w:r>
      <w:r w:rsidRPr="0015179F">
        <w:rPr>
          <w:rFonts w:ascii="Arial" w:hAnsi="Arial" w:cs="Arial"/>
          <w:b/>
          <w:lang w:val="en-US"/>
        </w:rPr>
        <w:t>Schimbarea utilizării terenurilor</w:t>
      </w:r>
    </w:p>
    <w:p w:rsidR="00311682" w:rsidRDefault="00311682" w:rsidP="00311682">
      <w:pPr>
        <w:ind w:firstLine="708"/>
        <w:rPr>
          <w:rFonts w:ascii="Arial" w:hAnsi="Arial" w:cs="Arial"/>
          <w:b/>
          <w:lang w:val="en-US"/>
        </w:rPr>
      </w:pPr>
      <w:r w:rsidRPr="0015179F">
        <w:rPr>
          <w:rFonts w:ascii="Arial" w:hAnsi="Arial" w:cs="Arial"/>
          <w:b/>
          <w:lang w:val="en-US"/>
        </w:rPr>
        <w:t>VI.2.2.1. Fragmentarea arealelor naturale şi seminaturale</w:t>
      </w:r>
    </w:p>
    <w:p w:rsidR="00311682" w:rsidRPr="0015179F" w:rsidRDefault="00311682" w:rsidP="00311682">
      <w:pPr>
        <w:ind w:firstLine="708"/>
        <w:rPr>
          <w:rFonts w:ascii="Arial" w:hAnsi="Arial" w:cs="Arial"/>
          <w:b/>
          <w:lang w:val="en-US"/>
        </w:rPr>
      </w:pPr>
    </w:p>
    <w:p w:rsidR="00311682" w:rsidRDefault="00311682" w:rsidP="00311682">
      <w:pPr>
        <w:jc w:val="both"/>
        <w:rPr>
          <w:rFonts w:ascii="Arial" w:hAnsi="Arial" w:cs="Arial"/>
        </w:rPr>
      </w:pPr>
      <w:r w:rsidRPr="004E3AE6">
        <w:rPr>
          <w:rFonts w:ascii="Arial" w:hAnsi="Arial" w:cs="Arial"/>
        </w:rPr>
        <w:t xml:space="preserve">Modul de utilizare a terenurilor s-a schimbat substanţial în ultimul secol, determinând astfel creşterea gradului de fragmentare a peisajelor naturale şi semi-naturale. Principala cauză a fragmentării arealelor naturale şi semi-naturale este reprezentată de </w:t>
      </w:r>
      <w:r w:rsidRPr="004E3AE6">
        <w:rPr>
          <w:rFonts w:ascii="Arial" w:hAnsi="Arial" w:cs="Arial"/>
          <w:i/>
          <w:iCs/>
        </w:rPr>
        <w:t xml:space="preserve">conversia terenurilor </w:t>
      </w:r>
      <w:r w:rsidRPr="004E3AE6">
        <w:rPr>
          <w:rFonts w:ascii="Arial" w:hAnsi="Arial" w:cs="Arial"/>
        </w:rPr>
        <w:t xml:space="preserve">în scopul extinderii urbane, dezvoltării infrastructurii de transport, </w:t>
      </w:r>
      <w:r w:rsidRPr="00DA775F">
        <w:rPr>
          <w:rFonts w:ascii="Arial" w:hAnsi="Arial" w:cs="Arial"/>
        </w:rPr>
        <w:t>dezvoltării industriale, agricole, turistice</w:t>
      </w:r>
      <w:r>
        <w:rPr>
          <w:rFonts w:ascii="Arial" w:hAnsi="Arial" w:cs="Arial"/>
        </w:rPr>
        <w:t>.</w:t>
      </w:r>
    </w:p>
    <w:p w:rsidR="00311682" w:rsidRDefault="00311682" w:rsidP="00311682">
      <w:pPr>
        <w:jc w:val="both"/>
        <w:rPr>
          <w:i/>
          <w:iCs/>
          <w:sz w:val="20"/>
          <w:szCs w:val="20"/>
        </w:rPr>
      </w:pPr>
      <w:r w:rsidRPr="004E3AE6">
        <w:rPr>
          <w:rFonts w:ascii="Arial" w:hAnsi="Arial" w:cs="Arial"/>
          <w:iCs/>
        </w:rPr>
        <w:t>Datele privind schimbarea utilizării terenurilor agricole vor fi disponibile pe geo-portalul INSPIRE al României (http://geoportal.ancpi.ro/geoportal/catalog/main/home.page), coordonat de ANCPI conform Ordonanţei Guvernului nr. 4/2010 cu modificările şi completările ulterioare, ce a transpus în legislaţia naţională prevederile Directivei 2007/2/CE a Parlamentului European şi a Consiliului de instituire a unei infrastructuri pentru informaţii spaţiale în Comunitatea Europeană (INSPIRE). Agenţia Naţională de Cadastru şi Publicitate Imobiliară (ANCPI) în colaborare cu alte instituţii reponsabile pentru anumite teme de date spaţiale conforme cu INSPIRE - MMSC (acoperirea terenurilor), INS (repartizarea populaţiei demografice), MDRT (utilizarea terenurilor), MT (reţele de transport) - este responsabilă pentru realizarea seturilor de date spaţiale din România.</w:t>
      </w:r>
      <w:r>
        <w:rPr>
          <w:i/>
          <w:iCs/>
          <w:sz w:val="20"/>
          <w:szCs w:val="20"/>
        </w:rPr>
        <w:t xml:space="preserve"> </w:t>
      </w:r>
    </w:p>
    <w:p w:rsidR="00311682" w:rsidRPr="009B61C5" w:rsidRDefault="00311682" w:rsidP="00311682">
      <w:pPr>
        <w:jc w:val="both"/>
        <w:rPr>
          <w:rFonts w:ascii="Arial" w:hAnsi="Arial" w:cs="Arial"/>
          <w:lang w:val="en-US"/>
        </w:rPr>
      </w:pPr>
    </w:p>
    <w:p w:rsidR="00311682" w:rsidRDefault="00311682" w:rsidP="00311682">
      <w:pPr>
        <w:ind w:firstLine="708"/>
        <w:rPr>
          <w:rFonts w:ascii="Arial" w:hAnsi="Arial" w:cs="Arial"/>
          <w:b/>
          <w:lang w:val="en-US"/>
        </w:rPr>
      </w:pPr>
      <w:r w:rsidRPr="002D13D0">
        <w:rPr>
          <w:rFonts w:ascii="Arial" w:hAnsi="Arial" w:cs="Arial"/>
          <w:b/>
          <w:lang w:val="en-US"/>
        </w:rPr>
        <w:t xml:space="preserve">VI.2.3. Schimbările </w:t>
      </w:r>
      <w:r w:rsidR="004C7352">
        <w:rPr>
          <w:rFonts w:ascii="Arial" w:hAnsi="Arial" w:cs="Arial"/>
          <w:b/>
          <w:lang w:val="en-US"/>
        </w:rPr>
        <w:t>climatice</w:t>
      </w:r>
    </w:p>
    <w:p w:rsidR="004C7352" w:rsidRPr="002D13D0" w:rsidRDefault="004C7352" w:rsidP="00311682">
      <w:pPr>
        <w:ind w:firstLine="708"/>
        <w:rPr>
          <w:rFonts w:ascii="Arial" w:hAnsi="Arial" w:cs="Arial"/>
          <w:b/>
          <w:lang w:val="en-US"/>
        </w:rPr>
      </w:pPr>
    </w:p>
    <w:p w:rsidR="00311682" w:rsidRDefault="00311682" w:rsidP="00311682">
      <w:pPr>
        <w:rPr>
          <w:rFonts w:ascii="Arial" w:hAnsi="Arial" w:cs="Arial"/>
          <w:lang w:val="en-US"/>
        </w:rPr>
      </w:pPr>
      <w:r w:rsidRPr="009B61C5">
        <w:rPr>
          <w:rFonts w:ascii="Arial" w:hAnsi="Arial" w:cs="Arial"/>
          <w:lang w:val="en-US"/>
        </w:rPr>
        <w:t xml:space="preserve">Evoluţia suprafeţei forestiere </w:t>
      </w:r>
      <w:r>
        <w:rPr>
          <w:rFonts w:ascii="Arial" w:hAnsi="Arial" w:cs="Arial"/>
          <w:lang w:val="en-US"/>
        </w:rPr>
        <w:t xml:space="preserve">din judeţul Brăila </w:t>
      </w:r>
      <w:r w:rsidRPr="009B61C5">
        <w:rPr>
          <w:rFonts w:ascii="Arial" w:hAnsi="Arial" w:cs="Arial"/>
          <w:lang w:val="en-US"/>
        </w:rPr>
        <w:t>parcurse de incendiile de pădure 2010-2014</w:t>
      </w:r>
    </w:p>
    <w:p w:rsidR="00311682" w:rsidRPr="009B61C5" w:rsidRDefault="00311682" w:rsidP="00311682">
      <w:pPr>
        <w:rPr>
          <w:rFonts w:ascii="Arial" w:hAnsi="Arial" w:cs="Arial"/>
          <w:lang w:val="en-US"/>
        </w:rPr>
      </w:pPr>
      <w:r>
        <w:rPr>
          <w:rFonts w:ascii="Arial" w:hAnsi="Arial" w:cs="Arial"/>
          <w:lang w:val="en-US"/>
        </w:rPr>
        <w:t>Tabelul nr.</w:t>
      </w:r>
      <w:r w:rsidRPr="00FB4432">
        <w:rPr>
          <w:rFonts w:ascii="Arial" w:hAnsi="Arial" w:cs="Arial"/>
          <w:b/>
          <w:lang w:val="en-US"/>
        </w:rPr>
        <w:t xml:space="preserve"> </w:t>
      </w:r>
      <w:r w:rsidRPr="002D13D0">
        <w:rPr>
          <w:rFonts w:ascii="Arial" w:hAnsi="Arial" w:cs="Arial"/>
          <w:b/>
          <w:lang w:val="en-US"/>
        </w:rPr>
        <w:t>VI.2.</w:t>
      </w:r>
      <w:r>
        <w:rPr>
          <w:rFonts w:ascii="Arial" w:hAnsi="Arial" w:cs="Arial"/>
          <w:b/>
          <w:lang w:val="en-US"/>
        </w:rPr>
        <w:t>3</w:t>
      </w:r>
      <w:r w:rsidRPr="002D13D0">
        <w:rPr>
          <w:rFonts w:ascii="Arial" w:hAnsi="Arial" w:cs="Arial"/>
          <w:b/>
          <w:lang w:val="en-US"/>
        </w:rPr>
        <w:t>.</w:t>
      </w:r>
      <w:r>
        <w:rPr>
          <w:rFonts w:ascii="Arial" w:hAnsi="Arial" w:cs="Arial"/>
          <w:b/>
          <w:lang w:val="en-US"/>
        </w:rPr>
        <w:t xml:space="preserve"> -1 </w:t>
      </w:r>
      <w:r>
        <w:rPr>
          <w:rFonts w:ascii="Arial" w:hAnsi="Arial" w:cs="Arial"/>
          <w:lang w:val="en-US"/>
        </w:rPr>
        <w:t xml:space="preserve"> </w:t>
      </w:r>
    </w:p>
    <w:tbl>
      <w:tblPr>
        <w:tblStyle w:val="TableGrid"/>
        <w:tblW w:w="0" w:type="auto"/>
        <w:jc w:val="center"/>
        <w:tblLook w:val="04A0"/>
      </w:tblPr>
      <w:tblGrid>
        <w:gridCol w:w="4644"/>
        <w:gridCol w:w="928"/>
        <w:gridCol w:w="929"/>
        <w:gridCol w:w="929"/>
        <w:gridCol w:w="929"/>
        <w:gridCol w:w="929"/>
      </w:tblGrid>
      <w:tr w:rsidR="00311682" w:rsidRPr="009B61C5" w:rsidTr="004E468C">
        <w:trPr>
          <w:jc w:val="center"/>
        </w:trPr>
        <w:tc>
          <w:tcPr>
            <w:tcW w:w="4644" w:type="dxa"/>
          </w:tcPr>
          <w:p w:rsidR="00311682" w:rsidRPr="009B61C5" w:rsidRDefault="00311682" w:rsidP="004E468C">
            <w:pPr>
              <w:rPr>
                <w:rFonts w:ascii="Arial" w:hAnsi="Arial" w:cs="Arial"/>
                <w:lang w:val="en-US"/>
              </w:rPr>
            </w:pPr>
          </w:p>
        </w:tc>
        <w:tc>
          <w:tcPr>
            <w:tcW w:w="928" w:type="dxa"/>
          </w:tcPr>
          <w:p w:rsidR="00311682" w:rsidRPr="009B61C5" w:rsidRDefault="00311682" w:rsidP="004E468C">
            <w:pPr>
              <w:rPr>
                <w:rFonts w:ascii="Arial" w:hAnsi="Arial" w:cs="Arial"/>
                <w:lang w:val="en-US"/>
              </w:rPr>
            </w:pPr>
            <w:r w:rsidRPr="009B61C5">
              <w:rPr>
                <w:rFonts w:ascii="Arial" w:hAnsi="Arial" w:cs="Arial"/>
                <w:lang w:val="en-US"/>
              </w:rPr>
              <w:t>2010</w:t>
            </w:r>
          </w:p>
        </w:tc>
        <w:tc>
          <w:tcPr>
            <w:tcW w:w="929" w:type="dxa"/>
          </w:tcPr>
          <w:p w:rsidR="00311682" w:rsidRPr="009B61C5" w:rsidRDefault="00311682" w:rsidP="004E468C">
            <w:pPr>
              <w:rPr>
                <w:rFonts w:ascii="Arial" w:hAnsi="Arial" w:cs="Arial"/>
                <w:lang w:val="en-US"/>
              </w:rPr>
            </w:pPr>
            <w:r w:rsidRPr="009B61C5">
              <w:rPr>
                <w:rFonts w:ascii="Arial" w:hAnsi="Arial" w:cs="Arial"/>
                <w:lang w:val="en-US"/>
              </w:rPr>
              <w:t>2011</w:t>
            </w:r>
          </w:p>
        </w:tc>
        <w:tc>
          <w:tcPr>
            <w:tcW w:w="929" w:type="dxa"/>
          </w:tcPr>
          <w:p w:rsidR="00311682" w:rsidRPr="009B61C5" w:rsidRDefault="00311682" w:rsidP="004E468C">
            <w:pPr>
              <w:rPr>
                <w:rFonts w:ascii="Arial" w:hAnsi="Arial" w:cs="Arial"/>
                <w:lang w:val="en-US"/>
              </w:rPr>
            </w:pPr>
            <w:r w:rsidRPr="009B61C5">
              <w:rPr>
                <w:rFonts w:ascii="Arial" w:hAnsi="Arial" w:cs="Arial"/>
                <w:lang w:val="en-US"/>
              </w:rPr>
              <w:t>2012</w:t>
            </w:r>
          </w:p>
        </w:tc>
        <w:tc>
          <w:tcPr>
            <w:tcW w:w="929" w:type="dxa"/>
          </w:tcPr>
          <w:p w:rsidR="00311682" w:rsidRPr="009B61C5" w:rsidRDefault="00311682" w:rsidP="004E468C">
            <w:pPr>
              <w:rPr>
                <w:rFonts w:ascii="Arial" w:hAnsi="Arial" w:cs="Arial"/>
                <w:lang w:val="en-US"/>
              </w:rPr>
            </w:pPr>
            <w:r w:rsidRPr="009B61C5">
              <w:rPr>
                <w:rFonts w:ascii="Arial" w:hAnsi="Arial" w:cs="Arial"/>
                <w:lang w:val="en-US"/>
              </w:rPr>
              <w:t>2013</w:t>
            </w:r>
          </w:p>
        </w:tc>
        <w:tc>
          <w:tcPr>
            <w:tcW w:w="929" w:type="dxa"/>
          </w:tcPr>
          <w:p w:rsidR="00311682" w:rsidRPr="009B61C5" w:rsidRDefault="00311682" w:rsidP="004E468C">
            <w:pPr>
              <w:rPr>
                <w:rFonts w:ascii="Arial" w:hAnsi="Arial" w:cs="Arial"/>
                <w:lang w:val="en-US"/>
              </w:rPr>
            </w:pPr>
            <w:r w:rsidRPr="009B61C5">
              <w:rPr>
                <w:rFonts w:ascii="Arial" w:hAnsi="Arial" w:cs="Arial"/>
                <w:lang w:val="en-US"/>
              </w:rPr>
              <w:t>2014</w:t>
            </w:r>
          </w:p>
        </w:tc>
      </w:tr>
      <w:tr w:rsidR="00311682" w:rsidRPr="009B61C5" w:rsidTr="004E468C">
        <w:trPr>
          <w:jc w:val="center"/>
        </w:trPr>
        <w:tc>
          <w:tcPr>
            <w:tcW w:w="4644" w:type="dxa"/>
          </w:tcPr>
          <w:p w:rsidR="00311682" w:rsidRPr="009B61C5" w:rsidRDefault="00311682" w:rsidP="004E468C">
            <w:pPr>
              <w:rPr>
                <w:rFonts w:ascii="Arial" w:hAnsi="Arial" w:cs="Arial"/>
                <w:lang w:val="en-US"/>
              </w:rPr>
            </w:pPr>
            <w:r w:rsidRPr="009B61C5">
              <w:rPr>
                <w:rFonts w:ascii="Arial" w:hAnsi="Arial" w:cs="Arial"/>
                <w:lang w:val="en-US"/>
              </w:rPr>
              <w:t>Suprafaţa forestieră afectată (ha)</w:t>
            </w:r>
          </w:p>
        </w:tc>
        <w:tc>
          <w:tcPr>
            <w:tcW w:w="928" w:type="dxa"/>
          </w:tcPr>
          <w:p w:rsidR="00311682" w:rsidRPr="007551CA" w:rsidRDefault="00311682" w:rsidP="004E468C">
            <w:pPr>
              <w:tabs>
                <w:tab w:val="left" w:pos="1890"/>
              </w:tabs>
              <w:jc w:val="center"/>
              <w:rPr>
                <w:rFonts w:ascii="Arial" w:eastAsia="Calibri" w:hAnsi="Arial" w:cs="Arial"/>
              </w:rPr>
            </w:pPr>
            <w:r w:rsidRPr="007551CA">
              <w:rPr>
                <w:rFonts w:ascii="Arial" w:eastAsia="Calibri" w:hAnsi="Arial" w:cs="Arial"/>
              </w:rPr>
              <w:t>3,0</w:t>
            </w:r>
          </w:p>
        </w:tc>
        <w:tc>
          <w:tcPr>
            <w:tcW w:w="929" w:type="dxa"/>
          </w:tcPr>
          <w:p w:rsidR="00311682" w:rsidRPr="007551CA" w:rsidRDefault="00311682" w:rsidP="004E468C">
            <w:pPr>
              <w:tabs>
                <w:tab w:val="left" w:pos="1890"/>
              </w:tabs>
              <w:jc w:val="center"/>
              <w:rPr>
                <w:rFonts w:ascii="Arial" w:eastAsia="Calibri" w:hAnsi="Arial" w:cs="Arial"/>
              </w:rPr>
            </w:pPr>
            <w:r w:rsidRPr="007551CA">
              <w:rPr>
                <w:rFonts w:ascii="Arial" w:hAnsi="Arial" w:cs="Arial"/>
              </w:rPr>
              <w:t>1,4</w:t>
            </w:r>
          </w:p>
        </w:tc>
        <w:tc>
          <w:tcPr>
            <w:tcW w:w="929" w:type="dxa"/>
          </w:tcPr>
          <w:p w:rsidR="00311682" w:rsidRPr="007551CA" w:rsidRDefault="00311682" w:rsidP="004E468C">
            <w:pPr>
              <w:tabs>
                <w:tab w:val="left" w:pos="1890"/>
              </w:tabs>
              <w:jc w:val="center"/>
              <w:rPr>
                <w:rFonts w:ascii="Arial" w:eastAsia="Calibri" w:hAnsi="Arial" w:cs="Arial"/>
              </w:rPr>
            </w:pPr>
            <w:r w:rsidRPr="007551CA">
              <w:rPr>
                <w:rFonts w:ascii="Arial" w:hAnsi="Arial" w:cs="Arial"/>
              </w:rPr>
              <w:t>2,3</w:t>
            </w:r>
          </w:p>
        </w:tc>
        <w:tc>
          <w:tcPr>
            <w:tcW w:w="929" w:type="dxa"/>
          </w:tcPr>
          <w:p w:rsidR="00311682" w:rsidRPr="007551CA" w:rsidRDefault="00311682" w:rsidP="004E468C">
            <w:pPr>
              <w:tabs>
                <w:tab w:val="left" w:pos="1890"/>
              </w:tabs>
              <w:jc w:val="center"/>
              <w:rPr>
                <w:rFonts w:ascii="Arial" w:eastAsia="Calibri" w:hAnsi="Arial" w:cs="Arial"/>
              </w:rPr>
            </w:pPr>
            <w:r w:rsidRPr="007551CA">
              <w:rPr>
                <w:rFonts w:ascii="Arial" w:hAnsi="Arial" w:cs="Arial"/>
              </w:rPr>
              <w:t>1,6</w:t>
            </w:r>
          </w:p>
        </w:tc>
        <w:tc>
          <w:tcPr>
            <w:tcW w:w="929" w:type="dxa"/>
          </w:tcPr>
          <w:p w:rsidR="00311682" w:rsidRPr="007551CA" w:rsidRDefault="00311682" w:rsidP="004E468C">
            <w:pPr>
              <w:tabs>
                <w:tab w:val="left" w:pos="1890"/>
              </w:tabs>
              <w:jc w:val="center"/>
              <w:rPr>
                <w:rFonts w:ascii="Arial" w:eastAsia="Calibri" w:hAnsi="Arial" w:cs="Arial"/>
              </w:rPr>
            </w:pPr>
            <w:r w:rsidRPr="007551CA">
              <w:rPr>
                <w:rFonts w:ascii="Arial" w:hAnsi="Arial" w:cs="Arial"/>
              </w:rPr>
              <w:t>2,2</w:t>
            </w:r>
          </w:p>
        </w:tc>
      </w:tr>
    </w:tbl>
    <w:p w:rsidR="00311682" w:rsidRDefault="00311682" w:rsidP="00311682">
      <w:pPr>
        <w:rPr>
          <w:rFonts w:ascii="Arial" w:hAnsi="Arial" w:cs="Arial"/>
          <w:lang w:val="en-US"/>
        </w:rPr>
      </w:pPr>
    </w:p>
    <w:p w:rsidR="00311682" w:rsidRDefault="00311682" w:rsidP="00311682">
      <w:pPr>
        <w:jc w:val="center"/>
        <w:rPr>
          <w:rFonts w:ascii="Arial" w:hAnsi="Arial" w:cs="Arial"/>
          <w:lang w:val="en-US"/>
        </w:rPr>
      </w:pPr>
      <w:r>
        <w:rPr>
          <w:rFonts w:ascii="Arial" w:hAnsi="Arial" w:cs="Arial"/>
          <w:noProof/>
          <w:lang w:val="ro-RO" w:eastAsia="ro-RO"/>
        </w:rPr>
        <w:drawing>
          <wp:inline distT="0" distB="0" distL="0" distR="0">
            <wp:extent cx="3990975" cy="2181225"/>
            <wp:effectExtent l="19050" t="0" r="9525" b="0"/>
            <wp:docPr id="126" name="Chart 8"/>
            <wp:cNvGraphicFramePr/>
            <a:graphic xmlns:a="http://schemas.openxmlformats.org/drawingml/2006/main">
              <a:graphicData uri="http://schemas.openxmlformats.org/drawingml/2006/chart">
                <c:chart xmlns:c="http://schemas.openxmlformats.org/drawingml/2006/chart" xmlns:r="http://schemas.openxmlformats.org/officeDocument/2006/relationships" r:id="rId102"/>
              </a:graphicData>
            </a:graphic>
          </wp:inline>
        </w:drawing>
      </w:r>
    </w:p>
    <w:p w:rsidR="00311682" w:rsidRDefault="00311682" w:rsidP="00311682">
      <w:pPr>
        <w:rPr>
          <w:rFonts w:ascii="Arial" w:hAnsi="Arial" w:cs="Arial"/>
          <w:lang w:val="en-US"/>
        </w:rPr>
      </w:pPr>
    </w:p>
    <w:p w:rsidR="00311682" w:rsidRDefault="00311682" w:rsidP="00311682">
      <w:pPr>
        <w:rPr>
          <w:rFonts w:ascii="Arial" w:hAnsi="Arial" w:cs="Arial"/>
          <w:lang w:val="en-US"/>
        </w:rPr>
      </w:pPr>
      <w:r>
        <w:rPr>
          <w:rFonts w:ascii="Arial" w:hAnsi="Arial" w:cs="Arial"/>
          <w:lang w:val="en-US"/>
        </w:rPr>
        <w:t xml:space="preserve">Figura nr. </w:t>
      </w:r>
      <w:r w:rsidRPr="002D13D0">
        <w:rPr>
          <w:rFonts w:ascii="Arial" w:hAnsi="Arial" w:cs="Arial"/>
          <w:b/>
          <w:lang w:val="en-US"/>
        </w:rPr>
        <w:t>VI.2.3</w:t>
      </w:r>
      <w:r>
        <w:rPr>
          <w:rFonts w:ascii="Arial" w:hAnsi="Arial" w:cs="Arial"/>
          <w:b/>
          <w:lang w:val="en-US"/>
        </w:rPr>
        <w:t xml:space="preserve">. – 1 </w:t>
      </w:r>
      <w:r w:rsidRPr="009B61C5">
        <w:rPr>
          <w:rFonts w:ascii="Arial" w:hAnsi="Arial" w:cs="Arial"/>
          <w:lang w:val="en-US"/>
        </w:rPr>
        <w:t>Evoluţia suprafeţei forestiere parcurse de incendiile de pădure 2010-2014</w:t>
      </w: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11682">
      <w:pPr>
        <w:rPr>
          <w:rFonts w:ascii="Arial" w:hAnsi="Arial" w:cs="Arial"/>
          <w:lang w:val="en-US"/>
        </w:rPr>
      </w:pPr>
    </w:p>
    <w:p w:rsidR="003F451C" w:rsidRDefault="003F451C" w:rsidP="003F451C">
      <w:pPr>
        <w:tabs>
          <w:tab w:val="left" w:pos="540"/>
          <w:tab w:val="left" w:leader="dot" w:pos="9356"/>
        </w:tabs>
        <w:rPr>
          <w:rFonts w:ascii="Arial" w:hAnsi="Arial" w:cs="Arial"/>
          <w:b/>
          <w:lang w:val="ro-RO"/>
        </w:rPr>
      </w:pPr>
      <w:r>
        <w:rPr>
          <w:rFonts w:ascii="Arial" w:hAnsi="Arial" w:cs="Arial"/>
          <w:b/>
          <w:lang w:val="ro-RO"/>
        </w:rPr>
        <w:lastRenderedPageBreak/>
        <w:t>VII.</w:t>
      </w:r>
      <w:r w:rsidRPr="00B33883">
        <w:rPr>
          <w:rFonts w:ascii="Arial" w:hAnsi="Arial" w:cs="Arial"/>
          <w:b/>
          <w:lang w:val="ro-RO"/>
        </w:rPr>
        <w:t xml:space="preserve">RESURSELE MATERIALE ŞI DEŞEURILE </w:t>
      </w:r>
    </w:p>
    <w:p w:rsidR="003F451C" w:rsidRDefault="003F451C" w:rsidP="003F451C">
      <w:pPr>
        <w:tabs>
          <w:tab w:val="left" w:pos="540"/>
          <w:tab w:val="left" w:leader="dot" w:pos="9356"/>
        </w:tabs>
        <w:rPr>
          <w:rFonts w:ascii="Arial" w:hAnsi="Arial" w:cs="Arial"/>
          <w:b/>
          <w:lang w:val="ro-RO"/>
        </w:rPr>
      </w:pPr>
    </w:p>
    <w:p w:rsidR="003F451C" w:rsidRPr="00B33883" w:rsidRDefault="003F451C" w:rsidP="003F451C">
      <w:pPr>
        <w:tabs>
          <w:tab w:val="left" w:pos="540"/>
          <w:tab w:val="left" w:leader="dot" w:pos="9356"/>
        </w:tabs>
        <w:rPr>
          <w:rFonts w:ascii="Arial" w:hAnsi="Arial" w:cs="Arial"/>
          <w:b/>
          <w:lang w:val="ro-RO"/>
        </w:rPr>
      </w:pPr>
      <w:r>
        <w:rPr>
          <w:rFonts w:ascii="Arial" w:hAnsi="Arial" w:cs="Arial"/>
          <w:b/>
          <w:lang w:val="ro-RO"/>
        </w:rPr>
        <w:t xml:space="preserve">   VII.1.</w:t>
      </w:r>
      <w:r w:rsidRPr="00B33883">
        <w:rPr>
          <w:rFonts w:ascii="Arial" w:hAnsi="Arial" w:cs="Arial"/>
          <w:b/>
          <w:lang w:val="ro-RO"/>
        </w:rPr>
        <w:t>Generarea şi gestionarea deşeurilor: tendinţe, impacturi şi prognoze</w:t>
      </w:r>
    </w:p>
    <w:p w:rsidR="003F451C" w:rsidRPr="00F94584" w:rsidRDefault="003F451C" w:rsidP="003F451C">
      <w:pPr>
        <w:tabs>
          <w:tab w:val="left" w:leader="dot" w:pos="8640"/>
        </w:tabs>
        <w:ind w:right="360"/>
        <w:jc w:val="center"/>
        <w:rPr>
          <w:rFonts w:ascii="Arial" w:hAnsi="Arial" w:cs="Arial"/>
          <w:b/>
          <w:lang w:val="pt-BR"/>
        </w:rPr>
      </w:pP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Deşeurile reprezintă una din problemele cele mai acute legate de protecţia mediului. În fiecare an se generează mari cantităţi de deşeuri atât din producţie cât şi de la populaţie, deşeurile municipale nepericuloase şi periculoase (deşeurile menajere şi asimilabile din comerţ, industrie şi instituţii), la care se adaugă alte câteva fluxuri speciale de deşeuri: deşeurile de ambalaje, deşeurile din construcţii şi demolări, nămoluri de la epurarea apelor uzate, vehicule scoase din uz şi deşeuri de echipamente electrice şi electronice care au un mod de gestionare specific.</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Generarea deşeurilor urmează, de obicei, tendinţele de consum şi de producţie, de exemplu, generarea deşeurilor menajere (cantitate/locuitor) creşte odată cu creşterea nivelului de trai. Oferta largă şi diversitatea produselor pe care le găsim astăzi în magazine au provocat totodată şi o creştere îngrijorătoare a cantităţii de deşeuri. Dacă cineva ar avea curiozitatea să vadă ce fel de resturi conţin „gunoaiele” din ultimii ani, ar constata că aproximativ jumătate din volumul ocupat de deşeuri este format din ambalaje.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 xml:space="preserve">Creşterea producţiei economice, de asemenea, conduce la generarea de cantităţi mai mari de deşeuri. Operatorii economici au obligaţia de a valorifica deşeurile proprii prin reciclare, valorificare energetică, tratare (pentru diminuarea gradului de periculozitate) şi, doar în ultimul rând, soluţia aleasă să fie, eliminarea prin incinerare  sau depozitare. Informaţiile privind generarea deşeurilor şi practicile actuale de gestionare a acestora sunt importante în identificarea riscurilor potenţiale pentru mediu şi sănătate umană, cât şi pentru verificarea modului de respectare a gestionării deşeurilor impuse prin legislaţia în vigoare. </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Gestionarea deşeurilor cuprinde toate activităţile de colectare, transport, tratare, valorificare şi eliminare a deşeurilor, inclusiv supravegherea acestor operaţii şi îngrijirea zonelor de depozitare după închiderea acestora.</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 xml:space="preserve">Ministerul Mediului a elaborat Planul Naţional de Gestionare a Deşeurilor pe baza planurilor judeţene avizate de autorităţile teritoriale pentru protecţia mediului. Planul este una dintre principalele cerinţe ale </w:t>
      </w:r>
      <w:r w:rsidRPr="00F94584">
        <w:rPr>
          <w:rFonts w:ascii="Arial" w:hAnsi="Arial" w:cs="Arial"/>
          <w:i/>
          <w:lang w:val="it-IT"/>
        </w:rPr>
        <w:t>Directivei Cadru privind deşeurile</w:t>
      </w:r>
      <w:r w:rsidRPr="00F94584">
        <w:rPr>
          <w:rFonts w:ascii="Arial" w:hAnsi="Arial" w:cs="Arial"/>
          <w:lang w:val="it-IT"/>
        </w:rPr>
        <w:t xml:space="preserve"> ale cărei prevederi au fost transpuse în legislația națională. </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Există o ierarhie a opţiunilor de gestionare a deşeurilor:</w:t>
      </w:r>
    </w:p>
    <w:bookmarkStart w:id="1" w:name="do|ca4|ar4|al1|lia"/>
    <w:p w:rsidR="003F451C" w:rsidRPr="00F94584" w:rsidRDefault="00043583" w:rsidP="00882FB1">
      <w:pPr>
        <w:numPr>
          <w:ilvl w:val="1"/>
          <w:numId w:val="63"/>
        </w:numPr>
        <w:tabs>
          <w:tab w:val="clear" w:pos="1440"/>
        </w:tabs>
        <w:ind w:left="993" w:firstLine="0"/>
        <w:rPr>
          <w:rFonts w:ascii="Arial" w:hAnsi="Arial" w:cs="Arial"/>
        </w:rPr>
      </w:pPr>
      <w:r w:rsidRPr="00F94584">
        <w:rPr>
          <w:rFonts w:ascii="Arial" w:hAnsi="Arial" w:cs="Arial"/>
        </w:rPr>
        <w:fldChar w:fldCharType="begin"/>
      </w:r>
      <w:r w:rsidR="003F451C" w:rsidRPr="00F94584">
        <w:rPr>
          <w:rFonts w:ascii="Arial" w:hAnsi="Arial" w:cs="Arial"/>
        </w:rPr>
        <w:instrText xml:space="preserve"> HYPERLINK "file:///C:\\Documents%20and%20Settings\\Administrator\\Sintact%202.0\\cache\\Legislatie\\temp\\00144158.HTM" \l "#" </w:instrText>
      </w:r>
      <w:r w:rsidRPr="00F94584">
        <w:rPr>
          <w:rFonts w:ascii="Arial" w:hAnsi="Arial" w:cs="Arial"/>
        </w:rPr>
        <w:fldChar w:fldCharType="end"/>
      </w:r>
      <w:bookmarkEnd w:id="1"/>
      <w:r w:rsidR="003F451C" w:rsidRPr="00F94584">
        <w:rPr>
          <w:rFonts w:ascii="Arial" w:hAnsi="Arial" w:cs="Arial"/>
        </w:rPr>
        <w:t>prevenirea( minimizarea cantităţilor generate);</w:t>
      </w:r>
    </w:p>
    <w:bookmarkStart w:id="2" w:name="do|ca4|ar4|al1|lib"/>
    <w:p w:rsidR="003F451C" w:rsidRPr="00F94584" w:rsidRDefault="00043583" w:rsidP="00882FB1">
      <w:pPr>
        <w:numPr>
          <w:ilvl w:val="1"/>
          <w:numId w:val="63"/>
        </w:numPr>
        <w:tabs>
          <w:tab w:val="clear" w:pos="1440"/>
        </w:tabs>
        <w:ind w:left="993" w:firstLine="0"/>
        <w:rPr>
          <w:rFonts w:ascii="Arial" w:hAnsi="Arial" w:cs="Arial"/>
        </w:rPr>
      </w:pPr>
      <w:r w:rsidRPr="00F94584">
        <w:rPr>
          <w:rFonts w:ascii="Arial" w:hAnsi="Arial" w:cs="Arial"/>
        </w:rPr>
        <w:fldChar w:fldCharType="begin"/>
      </w:r>
      <w:r w:rsidR="003F451C" w:rsidRPr="00F94584">
        <w:rPr>
          <w:rFonts w:ascii="Arial" w:hAnsi="Arial" w:cs="Arial"/>
        </w:rPr>
        <w:instrText xml:space="preserve"> HYPERLINK "file:///C:\\Documents%20and%20Settings\\Administrator\\Sintact%202.0\\cache\\Legislatie\\temp\\00144158.HTM" \l "#" </w:instrText>
      </w:r>
      <w:r w:rsidRPr="00F94584">
        <w:rPr>
          <w:rFonts w:ascii="Arial" w:hAnsi="Arial" w:cs="Arial"/>
        </w:rPr>
        <w:fldChar w:fldCharType="end"/>
      </w:r>
      <w:bookmarkEnd w:id="2"/>
      <w:r w:rsidR="003F451C" w:rsidRPr="00F94584">
        <w:rPr>
          <w:rFonts w:ascii="Arial" w:hAnsi="Arial" w:cs="Arial"/>
        </w:rPr>
        <w:t>pregătirea pentru reutilizare;</w:t>
      </w:r>
    </w:p>
    <w:bookmarkStart w:id="3" w:name="do|ca4|ar4|al1|lic"/>
    <w:p w:rsidR="003F451C" w:rsidRPr="00F94584" w:rsidRDefault="00043583" w:rsidP="00882FB1">
      <w:pPr>
        <w:numPr>
          <w:ilvl w:val="1"/>
          <w:numId w:val="63"/>
        </w:numPr>
        <w:tabs>
          <w:tab w:val="clear" w:pos="1440"/>
        </w:tabs>
        <w:ind w:left="993" w:firstLine="0"/>
        <w:rPr>
          <w:rFonts w:ascii="Arial" w:hAnsi="Arial" w:cs="Arial"/>
        </w:rPr>
      </w:pPr>
      <w:r w:rsidRPr="00F94584">
        <w:rPr>
          <w:rFonts w:ascii="Arial" w:hAnsi="Arial" w:cs="Arial"/>
        </w:rPr>
        <w:fldChar w:fldCharType="begin"/>
      </w:r>
      <w:r w:rsidR="003F451C" w:rsidRPr="00F94584">
        <w:rPr>
          <w:rFonts w:ascii="Arial" w:hAnsi="Arial" w:cs="Arial"/>
        </w:rPr>
        <w:instrText xml:space="preserve"> HYPERLINK "file:///C:\\Documents%20and%20Settings\\Administrator\\Sintact%202.0\\cache\\Legislatie\\temp\\00144158.HTM" \l "#" </w:instrText>
      </w:r>
      <w:r w:rsidRPr="00F94584">
        <w:rPr>
          <w:rFonts w:ascii="Arial" w:hAnsi="Arial" w:cs="Arial"/>
        </w:rPr>
        <w:fldChar w:fldCharType="end"/>
      </w:r>
      <w:bookmarkEnd w:id="3"/>
      <w:r w:rsidR="003F451C" w:rsidRPr="00F94584">
        <w:rPr>
          <w:rFonts w:ascii="Arial" w:hAnsi="Arial" w:cs="Arial"/>
        </w:rPr>
        <w:t>reciclarea;</w:t>
      </w:r>
    </w:p>
    <w:bookmarkStart w:id="4" w:name="do|ca4|ar4|al1|lid"/>
    <w:p w:rsidR="003F451C" w:rsidRPr="00F94584" w:rsidRDefault="00043583" w:rsidP="00882FB1">
      <w:pPr>
        <w:numPr>
          <w:ilvl w:val="1"/>
          <w:numId w:val="63"/>
        </w:numPr>
        <w:tabs>
          <w:tab w:val="clear" w:pos="1440"/>
        </w:tabs>
        <w:ind w:left="993" w:firstLine="0"/>
        <w:rPr>
          <w:rFonts w:ascii="Arial" w:hAnsi="Arial" w:cs="Arial"/>
        </w:rPr>
      </w:pPr>
      <w:r w:rsidRPr="00F94584">
        <w:rPr>
          <w:rFonts w:ascii="Arial" w:hAnsi="Arial" w:cs="Arial"/>
        </w:rPr>
        <w:fldChar w:fldCharType="begin"/>
      </w:r>
      <w:r w:rsidR="003F451C" w:rsidRPr="00F94584">
        <w:rPr>
          <w:rFonts w:ascii="Arial" w:hAnsi="Arial" w:cs="Arial"/>
        </w:rPr>
        <w:instrText xml:space="preserve"> HYPERLINK "file:///C:\\Documents%20and%20Settings\\Administrator\\Sintact%202.0\\cache\\Legislatie\\temp\\00144158.HTM" \l "#" </w:instrText>
      </w:r>
      <w:r w:rsidRPr="00F94584">
        <w:rPr>
          <w:rFonts w:ascii="Arial" w:hAnsi="Arial" w:cs="Arial"/>
        </w:rPr>
        <w:fldChar w:fldCharType="end"/>
      </w:r>
      <w:bookmarkEnd w:id="4"/>
      <w:r w:rsidR="003F451C" w:rsidRPr="00F94584">
        <w:rPr>
          <w:rFonts w:ascii="Arial" w:hAnsi="Arial" w:cs="Arial"/>
        </w:rPr>
        <w:t>alte operaţiuni de valorificare, de exemplu valorificarea energetică;</w:t>
      </w:r>
    </w:p>
    <w:bookmarkStart w:id="5" w:name="do|ca4|ar4|al1|lie"/>
    <w:p w:rsidR="003F451C" w:rsidRPr="00F94584" w:rsidRDefault="00043583" w:rsidP="00882FB1">
      <w:pPr>
        <w:numPr>
          <w:ilvl w:val="1"/>
          <w:numId w:val="63"/>
        </w:numPr>
        <w:tabs>
          <w:tab w:val="clear" w:pos="1440"/>
        </w:tabs>
        <w:ind w:left="993" w:firstLine="0"/>
        <w:rPr>
          <w:rFonts w:ascii="Arial" w:hAnsi="Arial" w:cs="Arial"/>
        </w:rPr>
      </w:pPr>
      <w:r w:rsidRPr="00F94584">
        <w:rPr>
          <w:rFonts w:ascii="Arial" w:hAnsi="Arial" w:cs="Arial"/>
        </w:rPr>
        <w:fldChar w:fldCharType="begin"/>
      </w:r>
      <w:r w:rsidR="003F451C" w:rsidRPr="00F94584">
        <w:rPr>
          <w:rFonts w:ascii="Arial" w:hAnsi="Arial" w:cs="Arial"/>
        </w:rPr>
        <w:instrText xml:space="preserve"> HYPERLINK "file:///C:\\Documents%20and%20Settings\\Administrator\\Sintact%202.0\\cache\\Legislatie\\temp\\00144158.HTM" \l "#" </w:instrText>
      </w:r>
      <w:r w:rsidRPr="00F94584">
        <w:rPr>
          <w:rFonts w:ascii="Arial" w:hAnsi="Arial" w:cs="Arial"/>
        </w:rPr>
        <w:fldChar w:fldCharType="end"/>
      </w:r>
      <w:bookmarkEnd w:id="5"/>
      <w:r w:rsidR="003F451C" w:rsidRPr="00F94584">
        <w:rPr>
          <w:rFonts w:ascii="Arial" w:hAnsi="Arial" w:cs="Arial"/>
        </w:rPr>
        <w:t>eliminarea (depozitarea).</w:t>
      </w:r>
    </w:p>
    <w:p w:rsidR="003F451C" w:rsidRPr="00F94584" w:rsidRDefault="003F451C" w:rsidP="003F451C">
      <w:pPr>
        <w:autoSpaceDE w:val="0"/>
        <w:autoSpaceDN w:val="0"/>
        <w:adjustRightInd w:val="0"/>
        <w:ind w:firstLine="737"/>
        <w:jc w:val="both"/>
        <w:rPr>
          <w:rFonts w:ascii="Arial" w:hAnsi="Arial" w:cs="Arial"/>
          <w:lang w:val="it-IT"/>
        </w:rPr>
      </w:pPr>
    </w:p>
    <w:p w:rsidR="003F451C" w:rsidRPr="00F94584" w:rsidRDefault="003F451C" w:rsidP="003F451C">
      <w:pPr>
        <w:autoSpaceDE w:val="0"/>
        <w:autoSpaceDN w:val="0"/>
        <w:adjustRightInd w:val="0"/>
        <w:jc w:val="both"/>
        <w:rPr>
          <w:rFonts w:ascii="Arial" w:hAnsi="Arial" w:cs="Arial"/>
          <w:lang w:val="it-IT"/>
        </w:rPr>
      </w:pPr>
      <w:r w:rsidRPr="00F94584">
        <w:rPr>
          <w:rFonts w:ascii="Arial" w:hAnsi="Arial" w:cs="Arial"/>
          <w:lang w:val="it-IT"/>
        </w:rPr>
        <w:t xml:space="preserve">Responsabilitatea pentru activităţile de gestionare a deşeurilor revine </w:t>
      </w:r>
    </w:p>
    <w:p w:rsidR="003F451C" w:rsidRPr="00F94584" w:rsidRDefault="003F451C" w:rsidP="00882FB1">
      <w:pPr>
        <w:numPr>
          <w:ilvl w:val="1"/>
          <w:numId w:val="81"/>
        </w:numPr>
        <w:rPr>
          <w:rFonts w:ascii="Arial" w:hAnsi="Arial" w:cs="Arial"/>
        </w:rPr>
      </w:pPr>
      <w:r w:rsidRPr="00F94584">
        <w:rPr>
          <w:rFonts w:ascii="Arial" w:hAnsi="Arial" w:cs="Arial"/>
        </w:rPr>
        <w:t>generatorilor acestora în conformitate cu principiul “poluatorul plăteşte”</w:t>
      </w:r>
    </w:p>
    <w:p w:rsidR="003F451C" w:rsidRPr="00F94584" w:rsidRDefault="003F451C" w:rsidP="00882FB1">
      <w:pPr>
        <w:numPr>
          <w:ilvl w:val="1"/>
          <w:numId w:val="81"/>
        </w:numPr>
        <w:rPr>
          <w:rFonts w:ascii="Arial" w:hAnsi="Arial" w:cs="Arial"/>
        </w:rPr>
      </w:pPr>
      <w:r w:rsidRPr="00F94584">
        <w:rPr>
          <w:rFonts w:ascii="Arial" w:hAnsi="Arial" w:cs="Arial"/>
        </w:rPr>
        <w:t>producătorilor, în conformitate cu principiul “responsabilitatea producătorului</w:t>
      </w:r>
    </w:p>
    <w:p w:rsidR="003F451C" w:rsidRPr="00F94584" w:rsidRDefault="003F451C" w:rsidP="003F451C">
      <w:pPr>
        <w:tabs>
          <w:tab w:val="left" w:pos="1358"/>
          <w:tab w:val="left" w:leader="dot" w:pos="9356"/>
        </w:tabs>
        <w:ind w:left="993"/>
        <w:rPr>
          <w:rFonts w:ascii="Arial" w:hAnsi="Arial" w:cs="Arial"/>
          <w:i/>
          <w:lang w:val="ro-RO"/>
        </w:rPr>
      </w:pPr>
    </w:p>
    <w:p w:rsidR="003F451C" w:rsidRPr="00B33883" w:rsidRDefault="003F451C" w:rsidP="003F451C">
      <w:pPr>
        <w:tabs>
          <w:tab w:val="left" w:pos="1358"/>
          <w:tab w:val="left" w:leader="dot" w:pos="9356"/>
        </w:tabs>
        <w:rPr>
          <w:rFonts w:ascii="Arial" w:hAnsi="Arial" w:cs="Arial"/>
          <w:b/>
          <w:lang w:val="ro-RO"/>
        </w:rPr>
      </w:pPr>
      <w:r>
        <w:rPr>
          <w:rFonts w:ascii="Arial" w:hAnsi="Arial" w:cs="Arial"/>
          <w:b/>
          <w:lang w:val="ro-RO"/>
        </w:rPr>
        <w:t xml:space="preserve"> </w:t>
      </w:r>
      <w:r w:rsidRPr="00B33883">
        <w:rPr>
          <w:rFonts w:ascii="Arial" w:hAnsi="Arial" w:cs="Arial"/>
          <w:b/>
          <w:lang w:val="ro-RO"/>
        </w:rPr>
        <w:t>VII .1.1.Generarea şi gestionarea deşeurilor municipale</w:t>
      </w:r>
    </w:p>
    <w:p w:rsidR="003F451C" w:rsidRPr="00F94584" w:rsidRDefault="003F451C" w:rsidP="003F451C">
      <w:pPr>
        <w:tabs>
          <w:tab w:val="left" w:leader="dot" w:pos="8640"/>
        </w:tabs>
        <w:ind w:left="720" w:right="360"/>
        <w:rPr>
          <w:rFonts w:ascii="Arial" w:hAnsi="Arial" w:cs="Arial"/>
          <w:b/>
        </w:rPr>
      </w:pPr>
    </w:p>
    <w:p w:rsidR="003F451C" w:rsidRPr="00F94584" w:rsidRDefault="003F451C" w:rsidP="003F451C">
      <w:pPr>
        <w:tabs>
          <w:tab w:val="left" w:leader="dot" w:pos="8640"/>
        </w:tabs>
        <w:ind w:left="720" w:right="360"/>
        <w:rPr>
          <w:rFonts w:ascii="Arial" w:hAnsi="Arial" w:cs="Arial"/>
          <w:b/>
        </w:rPr>
      </w:pPr>
      <w:r w:rsidRPr="00F94584">
        <w:rPr>
          <w:rFonts w:ascii="Arial" w:hAnsi="Arial" w:cs="Arial"/>
          <w:b/>
        </w:rPr>
        <w:t xml:space="preserve">Deşeuri municipale </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In conformitate cu prevederile Strategiei Naţionale de Gestionare a Deşeurilor 2014-2020, “deşeurile municipale sunt reprezentate de totalitatea deşeurilor menajere şi similare acestora generate în mediul urban şi rural din gospodării, instituţii, unităţi comerciale şi de la operatori economici, deşeuristradale colectate din spaţii publice, străzi, parcuri, spaţii verzi, la care se adaugă şi deşeuri dinconstrucţii şi demolări rezultate din amenajări interioare ale locuinţelor colectate de operatorii desalubritate”.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lastRenderedPageBreak/>
        <w:t>Conform HG 856/2002 privind evidenţa gestiunii deşeurilor şi pentru aprobarea listei cuprinzând deşeurile, inclusiv deşeurile periculoase, în categoria deşeurilor generate în sectorul municipal (urban şi rural) sunt cuprinse următoarele tipuri de deşeuri (categoriile 15.01 şi 20 din anexa nr. 2):</w:t>
      </w:r>
    </w:p>
    <w:p w:rsidR="003F451C" w:rsidRPr="00F94584" w:rsidRDefault="003F451C" w:rsidP="00882FB1">
      <w:pPr>
        <w:numPr>
          <w:ilvl w:val="0"/>
          <w:numId w:val="68"/>
        </w:numPr>
        <w:autoSpaceDE w:val="0"/>
        <w:autoSpaceDN w:val="0"/>
        <w:adjustRightInd w:val="0"/>
        <w:jc w:val="both"/>
        <w:rPr>
          <w:rFonts w:ascii="Arial" w:hAnsi="Arial" w:cs="Arial"/>
          <w:lang w:val="es-ES"/>
        </w:rPr>
      </w:pPr>
      <w:r w:rsidRPr="00F94584">
        <w:rPr>
          <w:rFonts w:ascii="Arial" w:hAnsi="Arial" w:cs="Arial"/>
          <w:lang w:val="es-ES"/>
        </w:rPr>
        <w:t>Deşeuri menajere şi asimilabile celor menajere:</w:t>
      </w:r>
    </w:p>
    <w:p w:rsidR="003F451C" w:rsidRPr="00F94584" w:rsidRDefault="003F451C" w:rsidP="00882FB1">
      <w:pPr>
        <w:numPr>
          <w:ilvl w:val="0"/>
          <w:numId w:val="75"/>
        </w:numPr>
        <w:autoSpaceDE w:val="0"/>
        <w:autoSpaceDN w:val="0"/>
        <w:adjustRightInd w:val="0"/>
        <w:jc w:val="both"/>
        <w:rPr>
          <w:rFonts w:ascii="Arial" w:hAnsi="Arial" w:cs="Arial"/>
          <w:lang w:val="es-ES"/>
        </w:rPr>
      </w:pPr>
      <w:r w:rsidRPr="00F94584">
        <w:rPr>
          <w:rFonts w:ascii="Arial" w:hAnsi="Arial" w:cs="Arial"/>
          <w:lang w:val="es-ES"/>
        </w:rPr>
        <w:t xml:space="preserve">deşeuri menajere </w:t>
      </w:r>
    </w:p>
    <w:p w:rsidR="003F451C" w:rsidRPr="00F94584" w:rsidRDefault="003F451C" w:rsidP="00882FB1">
      <w:pPr>
        <w:numPr>
          <w:ilvl w:val="0"/>
          <w:numId w:val="75"/>
        </w:numPr>
        <w:autoSpaceDE w:val="0"/>
        <w:autoSpaceDN w:val="0"/>
        <w:adjustRightInd w:val="0"/>
        <w:jc w:val="both"/>
        <w:rPr>
          <w:rFonts w:ascii="Arial" w:hAnsi="Arial" w:cs="Arial"/>
          <w:lang w:val="es-ES"/>
        </w:rPr>
      </w:pPr>
      <w:r w:rsidRPr="00F94584">
        <w:rPr>
          <w:rFonts w:ascii="Arial" w:hAnsi="Arial" w:cs="Arial"/>
          <w:lang w:val="es-ES"/>
        </w:rPr>
        <w:t>deșeuri asimilabile din comerţ, industrie şi instituţii</w:t>
      </w:r>
      <w:r w:rsidRPr="00F94584">
        <w:rPr>
          <w:rFonts w:ascii="Arial" w:hAnsi="Arial" w:cs="Arial"/>
          <w:lang w:val="it-IT"/>
        </w:rPr>
        <w:t xml:space="preserve"> care prezintă proprietaţi similare cu deşeurile menajere şi care sunt colectate, transportate, prelucrate şi depozitate împreună cu acestea</w:t>
      </w:r>
      <w:r w:rsidRPr="00F94584">
        <w:rPr>
          <w:rFonts w:ascii="Arial" w:hAnsi="Arial" w:cs="Arial"/>
          <w:lang w:val="es-ES"/>
        </w:rPr>
        <w:t>;</w:t>
      </w:r>
    </w:p>
    <w:p w:rsidR="003F451C" w:rsidRPr="00F94584" w:rsidRDefault="003F451C" w:rsidP="00882FB1">
      <w:pPr>
        <w:numPr>
          <w:ilvl w:val="0"/>
          <w:numId w:val="75"/>
        </w:numPr>
        <w:autoSpaceDE w:val="0"/>
        <w:autoSpaceDN w:val="0"/>
        <w:adjustRightInd w:val="0"/>
        <w:jc w:val="both"/>
        <w:rPr>
          <w:rFonts w:ascii="Arial" w:hAnsi="Arial" w:cs="Arial"/>
          <w:lang w:val="it-IT"/>
        </w:rPr>
      </w:pPr>
      <w:r w:rsidRPr="00F94584">
        <w:rPr>
          <w:rFonts w:ascii="Arial" w:hAnsi="Arial" w:cs="Arial"/>
          <w:lang w:val="it-IT"/>
        </w:rPr>
        <w:t>deşeuri din grădini şi parcuri (incluzând deşeuri din cimitire);</w:t>
      </w:r>
    </w:p>
    <w:p w:rsidR="003F451C" w:rsidRPr="00F94584" w:rsidRDefault="003F451C" w:rsidP="00882FB1">
      <w:pPr>
        <w:numPr>
          <w:ilvl w:val="0"/>
          <w:numId w:val="75"/>
        </w:numPr>
        <w:autoSpaceDE w:val="0"/>
        <w:autoSpaceDN w:val="0"/>
        <w:adjustRightInd w:val="0"/>
        <w:jc w:val="both"/>
        <w:rPr>
          <w:rFonts w:ascii="Arial" w:hAnsi="Arial" w:cs="Arial"/>
          <w:lang w:val="it-IT"/>
        </w:rPr>
      </w:pPr>
      <w:r w:rsidRPr="00F94584">
        <w:rPr>
          <w:rFonts w:ascii="Arial" w:hAnsi="Arial" w:cs="Arial"/>
          <w:lang w:val="it-IT"/>
        </w:rPr>
        <w:t>deşeuri din pieţe şi deşeuri stradale;</w:t>
      </w:r>
    </w:p>
    <w:p w:rsidR="003F451C" w:rsidRPr="00F94584" w:rsidRDefault="003F451C" w:rsidP="00882FB1">
      <w:pPr>
        <w:numPr>
          <w:ilvl w:val="0"/>
          <w:numId w:val="75"/>
        </w:numPr>
        <w:autoSpaceDE w:val="0"/>
        <w:autoSpaceDN w:val="0"/>
        <w:adjustRightInd w:val="0"/>
        <w:jc w:val="both"/>
        <w:rPr>
          <w:rFonts w:ascii="Arial" w:hAnsi="Arial" w:cs="Arial"/>
        </w:rPr>
      </w:pPr>
      <w:r w:rsidRPr="00F94584">
        <w:rPr>
          <w:rFonts w:ascii="Arial" w:hAnsi="Arial" w:cs="Arial"/>
        </w:rPr>
        <w:t>deşeuri voluminoase.</w:t>
      </w:r>
    </w:p>
    <w:p w:rsidR="003F451C" w:rsidRPr="00F94584" w:rsidRDefault="003F451C" w:rsidP="00882FB1">
      <w:pPr>
        <w:numPr>
          <w:ilvl w:val="0"/>
          <w:numId w:val="68"/>
        </w:numPr>
        <w:autoSpaceDE w:val="0"/>
        <w:autoSpaceDN w:val="0"/>
        <w:adjustRightInd w:val="0"/>
        <w:jc w:val="both"/>
        <w:rPr>
          <w:rFonts w:ascii="Arial" w:hAnsi="Arial" w:cs="Arial"/>
        </w:rPr>
      </w:pPr>
      <w:r w:rsidRPr="00F94584">
        <w:rPr>
          <w:rFonts w:ascii="Arial" w:hAnsi="Arial" w:cs="Arial"/>
        </w:rPr>
        <w:t>Ambalaje (inclusiv deşeurile de ambalaje municipale colectate separat)</w:t>
      </w:r>
    </w:p>
    <w:p w:rsidR="003F451C" w:rsidRPr="00F94584" w:rsidRDefault="003F451C" w:rsidP="00882FB1">
      <w:pPr>
        <w:numPr>
          <w:ilvl w:val="0"/>
          <w:numId w:val="68"/>
        </w:numPr>
        <w:autoSpaceDE w:val="0"/>
        <w:autoSpaceDN w:val="0"/>
        <w:adjustRightInd w:val="0"/>
        <w:jc w:val="both"/>
        <w:rPr>
          <w:rFonts w:ascii="Arial" w:hAnsi="Arial" w:cs="Arial"/>
        </w:rPr>
      </w:pPr>
      <w:r w:rsidRPr="00F94584">
        <w:rPr>
          <w:rFonts w:ascii="Arial" w:hAnsi="Arial" w:cs="Arial"/>
        </w:rPr>
        <w:t>Deşeuri provenite din activităţile de construire şi desfiinţare rezultate din activităţi precum construcţia clădirilor şi infrastructurii civile, demolarea totală sau parţială a clădirilor şi infrastructurii civile, modernizarea şi întreţinerea străzilor (inclusiv pământ excavat din amplasamente contaminate)</w:t>
      </w:r>
    </w:p>
    <w:p w:rsidR="003F451C" w:rsidRPr="00F94584" w:rsidRDefault="003F451C" w:rsidP="00882FB1">
      <w:pPr>
        <w:numPr>
          <w:ilvl w:val="0"/>
          <w:numId w:val="68"/>
        </w:numPr>
        <w:autoSpaceDE w:val="0"/>
        <w:autoSpaceDN w:val="0"/>
        <w:adjustRightInd w:val="0"/>
        <w:jc w:val="both"/>
        <w:rPr>
          <w:rFonts w:ascii="Arial" w:hAnsi="Arial" w:cs="Arial"/>
        </w:rPr>
      </w:pPr>
      <w:r w:rsidRPr="00F94584">
        <w:rPr>
          <w:rFonts w:ascii="Arial" w:hAnsi="Arial" w:cs="Arial"/>
        </w:rPr>
        <w:t>Nămoluri de la instalaţiile de tratare a apelor uzate menajere.</w:t>
      </w:r>
    </w:p>
    <w:p w:rsidR="003F451C" w:rsidRPr="00F94584" w:rsidRDefault="003F451C" w:rsidP="00882FB1">
      <w:pPr>
        <w:numPr>
          <w:ilvl w:val="0"/>
          <w:numId w:val="68"/>
        </w:numPr>
        <w:autoSpaceDE w:val="0"/>
        <w:autoSpaceDN w:val="0"/>
        <w:adjustRightInd w:val="0"/>
        <w:jc w:val="both"/>
        <w:rPr>
          <w:rFonts w:ascii="Arial" w:hAnsi="Arial" w:cs="Arial"/>
        </w:rPr>
      </w:pPr>
      <w:r w:rsidRPr="00F94584">
        <w:rPr>
          <w:rFonts w:ascii="Arial" w:hAnsi="Arial" w:cs="Arial"/>
        </w:rPr>
        <w:t>Vehicule scoase din uz</w:t>
      </w:r>
    </w:p>
    <w:p w:rsidR="003F451C" w:rsidRPr="00F94584" w:rsidRDefault="003F451C" w:rsidP="00882FB1">
      <w:pPr>
        <w:numPr>
          <w:ilvl w:val="0"/>
          <w:numId w:val="68"/>
        </w:numPr>
        <w:autoSpaceDE w:val="0"/>
        <w:autoSpaceDN w:val="0"/>
        <w:adjustRightInd w:val="0"/>
        <w:jc w:val="both"/>
        <w:rPr>
          <w:rFonts w:ascii="Arial" w:hAnsi="Arial" w:cs="Arial"/>
          <w:lang w:val="pt-BR"/>
        </w:rPr>
      </w:pPr>
      <w:r w:rsidRPr="00F94584">
        <w:rPr>
          <w:rFonts w:ascii="Arial" w:hAnsi="Arial" w:cs="Arial"/>
          <w:lang w:val="pt-BR"/>
        </w:rPr>
        <w:t>Deşeuri de echipamente electrice şi electronice</w:t>
      </w:r>
    </w:p>
    <w:p w:rsidR="003F451C" w:rsidRPr="00F94584" w:rsidRDefault="003F451C" w:rsidP="003F451C">
      <w:pPr>
        <w:autoSpaceDE w:val="0"/>
        <w:autoSpaceDN w:val="0"/>
        <w:adjustRightInd w:val="0"/>
        <w:ind w:firstLine="737"/>
        <w:jc w:val="both"/>
        <w:rPr>
          <w:rFonts w:ascii="Arial" w:hAnsi="Arial" w:cs="Arial"/>
          <w:lang w:val="it-IT"/>
        </w:rPr>
      </w:pP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Din punct de vedere al compoziţiei, deşeurile municipale conţin:</w:t>
      </w:r>
    </w:p>
    <w:p w:rsidR="003F451C" w:rsidRPr="00F94584" w:rsidRDefault="003F451C" w:rsidP="00882FB1">
      <w:pPr>
        <w:numPr>
          <w:ilvl w:val="0"/>
          <w:numId w:val="67"/>
        </w:numPr>
        <w:tabs>
          <w:tab w:val="clear" w:pos="360"/>
          <w:tab w:val="num" w:pos="1800"/>
        </w:tabs>
        <w:autoSpaceDE w:val="0"/>
        <w:autoSpaceDN w:val="0"/>
        <w:adjustRightInd w:val="0"/>
        <w:ind w:left="1800"/>
        <w:jc w:val="both"/>
        <w:rPr>
          <w:rFonts w:ascii="Arial" w:hAnsi="Arial" w:cs="Arial"/>
        </w:rPr>
      </w:pPr>
      <w:r w:rsidRPr="00F94584">
        <w:rPr>
          <w:rFonts w:ascii="Arial" w:hAnsi="Arial" w:cs="Arial"/>
        </w:rPr>
        <w:t>fracţie biodegradabilă (deşeuri biodegradabile);</w:t>
      </w:r>
    </w:p>
    <w:p w:rsidR="003F451C" w:rsidRPr="00F94584" w:rsidRDefault="003F451C" w:rsidP="00882FB1">
      <w:pPr>
        <w:numPr>
          <w:ilvl w:val="0"/>
          <w:numId w:val="67"/>
        </w:numPr>
        <w:tabs>
          <w:tab w:val="clear" w:pos="360"/>
          <w:tab w:val="num" w:pos="1800"/>
        </w:tabs>
        <w:autoSpaceDE w:val="0"/>
        <w:autoSpaceDN w:val="0"/>
        <w:adjustRightInd w:val="0"/>
        <w:ind w:left="1800"/>
        <w:jc w:val="both"/>
        <w:rPr>
          <w:rFonts w:ascii="Arial" w:hAnsi="Arial" w:cs="Arial"/>
        </w:rPr>
      </w:pPr>
      <w:r w:rsidRPr="00F94584">
        <w:rPr>
          <w:rFonts w:ascii="Arial" w:hAnsi="Arial" w:cs="Arial"/>
        </w:rPr>
        <w:t>deşeuri de ambalaje;</w:t>
      </w:r>
    </w:p>
    <w:p w:rsidR="003F451C" w:rsidRPr="00F94584" w:rsidRDefault="003F451C" w:rsidP="00882FB1">
      <w:pPr>
        <w:numPr>
          <w:ilvl w:val="0"/>
          <w:numId w:val="67"/>
        </w:numPr>
        <w:tabs>
          <w:tab w:val="clear" w:pos="360"/>
          <w:tab w:val="num" w:pos="1800"/>
        </w:tabs>
        <w:autoSpaceDE w:val="0"/>
        <w:autoSpaceDN w:val="0"/>
        <w:adjustRightInd w:val="0"/>
        <w:ind w:left="1800"/>
        <w:jc w:val="both"/>
        <w:rPr>
          <w:rFonts w:ascii="Arial" w:hAnsi="Arial" w:cs="Arial"/>
        </w:rPr>
      </w:pPr>
      <w:r w:rsidRPr="00F94584">
        <w:rPr>
          <w:rFonts w:ascii="Arial" w:hAnsi="Arial" w:cs="Arial"/>
        </w:rPr>
        <w:t>deşeuri periculoase.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Colectarea deșeurilor municipale este responsabilitatea municipalităţilor, care îşi pot realiza aceste atribuţii fie direct (prin serviciile de specialitate din cadrul Consiliilor Locale), fie indirect (prin delegarea acestei responsabilităţi pe bază de contract, către firme specializate şi autorizate pentru desfăşurarea serviciilor de salubritate).</w:t>
      </w:r>
    </w:p>
    <w:p w:rsidR="003F451C" w:rsidRPr="00F94584" w:rsidRDefault="003F451C" w:rsidP="003F451C">
      <w:pPr>
        <w:autoSpaceDE w:val="0"/>
        <w:autoSpaceDN w:val="0"/>
        <w:adjustRightInd w:val="0"/>
        <w:jc w:val="both"/>
        <w:rPr>
          <w:rFonts w:ascii="Arial" w:hAnsi="Arial" w:cs="Arial"/>
          <w:lang w:val="it-IT"/>
        </w:rPr>
      </w:pPr>
    </w:p>
    <w:p w:rsidR="003F451C" w:rsidRPr="00F94584" w:rsidRDefault="003F451C" w:rsidP="003F451C">
      <w:pPr>
        <w:autoSpaceDE w:val="0"/>
        <w:autoSpaceDN w:val="0"/>
        <w:adjustRightInd w:val="0"/>
        <w:jc w:val="both"/>
        <w:rPr>
          <w:rFonts w:ascii="Arial" w:hAnsi="Arial" w:cs="Arial"/>
          <w:lang w:val="it-IT"/>
        </w:rPr>
      </w:pPr>
      <w:r w:rsidRPr="00F94584">
        <w:rPr>
          <w:rFonts w:ascii="Arial" w:hAnsi="Arial" w:cs="Arial"/>
          <w:lang w:val="it-IT"/>
        </w:rPr>
        <w:t>În anul 2012, cantitatea de deșeuri municipale colectată prin intermediul serviciilor proprii specializate ale primăriilor sau ale firmelor de salubritate a fost de 76200 tone.</w:t>
      </w:r>
    </w:p>
    <w:p w:rsidR="003F451C" w:rsidRPr="00F94584" w:rsidRDefault="003F451C" w:rsidP="003F451C">
      <w:pPr>
        <w:autoSpaceDE w:val="0"/>
        <w:autoSpaceDN w:val="0"/>
        <w:adjustRightInd w:val="0"/>
        <w:jc w:val="both"/>
        <w:rPr>
          <w:rFonts w:ascii="Arial" w:hAnsi="Arial" w:cs="Arial"/>
          <w:lang w:val="it-IT"/>
        </w:rPr>
      </w:pPr>
    </w:p>
    <w:p w:rsidR="003F451C" w:rsidRDefault="003F451C" w:rsidP="003F451C">
      <w:pPr>
        <w:autoSpaceDE w:val="0"/>
        <w:autoSpaceDN w:val="0"/>
        <w:adjustRightInd w:val="0"/>
        <w:jc w:val="both"/>
        <w:rPr>
          <w:rFonts w:ascii="Arial" w:hAnsi="Arial" w:cs="Arial"/>
        </w:rPr>
      </w:pPr>
      <w:r w:rsidRPr="00F94584">
        <w:rPr>
          <w:rFonts w:ascii="Arial" w:hAnsi="Arial" w:cs="Arial"/>
        </w:rPr>
        <w:t>Tabel</w:t>
      </w:r>
      <w:r w:rsidRPr="00F94584">
        <w:rPr>
          <w:rFonts w:ascii="Arial" w:hAnsi="Arial" w:cs="Arial"/>
          <w:b/>
        </w:rPr>
        <w:t xml:space="preserve"> nr. VII.1.1. -1 </w:t>
      </w:r>
      <w:r w:rsidRPr="00F94584">
        <w:rPr>
          <w:rFonts w:ascii="Arial" w:hAnsi="Arial" w:cs="Arial"/>
        </w:rPr>
        <w:t>Deşeuri colectate de municipalităţi în anul 2012</w:t>
      </w:r>
    </w:p>
    <w:p w:rsidR="003F451C" w:rsidRPr="00F94584" w:rsidRDefault="003F451C" w:rsidP="003F451C">
      <w:pPr>
        <w:autoSpaceDE w:val="0"/>
        <w:autoSpaceDN w:val="0"/>
        <w:adjustRightInd w:val="0"/>
        <w:jc w:val="both"/>
        <w:rPr>
          <w:rFonts w:ascii="Arial" w:hAnsi="Arial" w:cs="Arial"/>
        </w:rPr>
      </w:pPr>
    </w:p>
    <w:tbl>
      <w:tblPr>
        <w:tblW w:w="3851" w:type="pct"/>
        <w:jc w:val="center"/>
        <w:tblInd w:w="109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06"/>
        <w:gridCol w:w="3763"/>
        <w:gridCol w:w="1349"/>
      </w:tblGrid>
      <w:tr w:rsidR="003F451C" w:rsidRPr="00F94584" w:rsidTr="004E468C">
        <w:trPr>
          <w:trHeight w:val="423"/>
          <w:jc w:val="center"/>
        </w:trPr>
        <w:tc>
          <w:tcPr>
            <w:tcW w:w="1772" w:type="pct"/>
            <w:shd w:val="clear" w:color="auto" w:fill="D9D9D9"/>
            <w:vAlign w:val="center"/>
          </w:tcPr>
          <w:p w:rsidR="003F451C" w:rsidRPr="00F94584" w:rsidRDefault="003F451C" w:rsidP="004E468C">
            <w:pPr>
              <w:jc w:val="both"/>
              <w:rPr>
                <w:rFonts w:ascii="Arial" w:hAnsi="Arial" w:cs="Arial"/>
                <w:b/>
                <w:lang w:val="ro-RO"/>
              </w:rPr>
            </w:pPr>
            <w:r w:rsidRPr="00F94584">
              <w:rPr>
                <w:rFonts w:ascii="Arial" w:hAnsi="Arial" w:cs="Arial"/>
                <w:b/>
                <w:lang w:val="ro-RO"/>
              </w:rPr>
              <w:t>Deşeuri colectate</w:t>
            </w:r>
          </w:p>
        </w:tc>
        <w:tc>
          <w:tcPr>
            <w:tcW w:w="2376" w:type="pct"/>
            <w:shd w:val="clear" w:color="auto" w:fill="D9D9D9"/>
            <w:vAlign w:val="center"/>
          </w:tcPr>
          <w:p w:rsidR="003F451C" w:rsidRPr="00F94584" w:rsidRDefault="003F451C" w:rsidP="004E468C">
            <w:pPr>
              <w:jc w:val="both"/>
              <w:rPr>
                <w:rFonts w:ascii="Arial" w:hAnsi="Arial" w:cs="Arial"/>
                <w:b/>
                <w:lang w:val="ro-RO"/>
              </w:rPr>
            </w:pPr>
            <w:r w:rsidRPr="00F94584">
              <w:rPr>
                <w:rFonts w:ascii="Arial" w:hAnsi="Arial" w:cs="Arial"/>
                <w:b/>
                <w:lang w:val="ro-RO"/>
              </w:rPr>
              <w:t>Cantitate colectată - mii tone</w:t>
            </w:r>
          </w:p>
        </w:tc>
        <w:tc>
          <w:tcPr>
            <w:tcW w:w="852" w:type="pct"/>
            <w:shd w:val="clear" w:color="auto" w:fill="D9D9D9"/>
            <w:vAlign w:val="center"/>
          </w:tcPr>
          <w:p w:rsidR="003F451C" w:rsidRPr="00F94584" w:rsidRDefault="003F451C" w:rsidP="004E468C">
            <w:pPr>
              <w:jc w:val="both"/>
              <w:rPr>
                <w:rFonts w:ascii="Arial" w:hAnsi="Arial" w:cs="Arial"/>
                <w:b/>
                <w:lang w:val="ro-RO"/>
              </w:rPr>
            </w:pPr>
            <w:r w:rsidRPr="00F94584">
              <w:rPr>
                <w:rFonts w:ascii="Arial" w:hAnsi="Arial" w:cs="Arial"/>
                <w:b/>
                <w:lang w:val="ro-RO"/>
              </w:rPr>
              <w:t>Procent %</w:t>
            </w:r>
          </w:p>
        </w:tc>
      </w:tr>
      <w:tr w:rsidR="003F451C" w:rsidRPr="00F94584" w:rsidTr="004E468C">
        <w:trPr>
          <w:trHeight w:val="217"/>
          <w:jc w:val="center"/>
        </w:trPr>
        <w:tc>
          <w:tcPr>
            <w:tcW w:w="1772" w:type="pct"/>
            <w:vAlign w:val="center"/>
          </w:tcPr>
          <w:p w:rsidR="003F451C" w:rsidRPr="00F94584" w:rsidRDefault="003F451C" w:rsidP="004E468C">
            <w:pPr>
              <w:rPr>
                <w:rFonts w:ascii="Arial" w:hAnsi="Arial" w:cs="Arial"/>
                <w:lang w:val="ro-RO"/>
              </w:rPr>
            </w:pPr>
            <w:r w:rsidRPr="00F94584">
              <w:rPr>
                <w:rFonts w:ascii="Arial" w:hAnsi="Arial" w:cs="Arial"/>
                <w:lang w:val="ro-RO"/>
              </w:rPr>
              <w:t>deșeuri menajere</w:t>
            </w:r>
          </w:p>
        </w:tc>
        <w:tc>
          <w:tcPr>
            <w:tcW w:w="2376" w:type="pct"/>
            <w:vAlign w:val="center"/>
          </w:tcPr>
          <w:p w:rsidR="003F451C" w:rsidRPr="00F94584" w:rsidRDefault="003F451C" w:rsidP="004E468C">
            <w:pPr>
              <w:ind w:right="-61" w:firstLine="393"/>
              <w:jc w:val="center"/>
              <w:rPr>
                <w:rFonts w:ascii="Arial" w:hAnsi="Arial" w:cs="Arial"/>
                <w:lang w:val="ro-RO"/>
              </w:rPr>
            </w:pPr>
            <w:r w:rsidRPr="00F94584">
              <w:rPr>
                <w:rFonts w:ascii="Arial" w:hAnsi="Arial" w:cs="Arial"/>
                <w:lang w:val="ro-RO"/>
              </w:rPr>
              <w:t>54,6</w:t>
            </w:r>
          </w:p>
        </w:tc>
        <w:tc>
          <w:tcPr>
            <w:tcW w:w="852" w:type="pct"/>
            <w:vAlign w:val="center"/>
          </w:tcPr>
          <w:p w:rsidR="003F451C" w:rsidRPr="00F94584" w:rsidRDefault="003F451C" w:rsidP="004E468C">
            <w:pPr>
              <w:tabs>
                <w:tab w:val="left" w:pos="2365"/>
              </w:tabs>
              <w:ind w:firstLine="393"/>
              <w:jc w:val="center"/>
              <w:rPr>
                <w:rFonts w:ascii="Arial" w:hAnsi="Arial" w:cs="Arial"/>
                <w:lang w:val="ro-RO"/>
              </w:rPr>
            </w:pPr>
            <w:r w:rsidRPr="00F94584">
              <w:rPr>
                <w:rFonts w:ascii="Arial" w:hAnsi="Arial" w:cs="Arial"/>
                <w:lang w:val="ro-RO"/>
              </w:rPr>
              <w:t>71,7  %</w:t>
            </w:r>
          </w:p>
        </w:tc>
      </w:tr>
      <w:tr w:rsidR="003F451C" w:rsidRPr="00F94584" w:rsidTr="004E468C">
        <w:trPr>
          <w:trHeight w:val="230"/>
          <w:jc w:val="center"/>
        </w:trPr>
        <w:tc>
          <w:tcPr>
            <w:tcW w:w="1772" w:type="pct"/>
            <w:vAlign w:val="center"/>
          </w:tcPr>
          <w:p w:rsidR="003F451C" w:rsidRPr="00F94584" w:rsidRDefault="003F451C" w:rsidP="004E468C">
            <w:pPr>
              <w:rPr>
                <w:rFonts w:ascii="Arial" w:hAnsi="Arial" w:cs="Arial"/>
                <w:lang w:val="ro-RO"/>
              </w:rPr>
            </w:pPr>
            <w:r w:rsidRPr="00F94584">
              <w:rPr>
                <w:rFonts w:ascii="Arial" w:hAnsi="Arial" w:cs="Arial"/>
                <w:lang w:val="ro-RO"/>
              </w:rPr>
              <w:t>deșeuri din servicii municipale</w:t>
            </w:r>
          </w:p>
        </w:tc>
        <w:tc>
          <w:tcPr>
            <w:tcW w:w="2376" w:type="pct"/>
            <w:vAlign w:val="center"/>
          </w:tcPr>
          <w:p w:rsidR="003F451C" w:rsidRPr="00F94584" w:rsidRDefault="003F451C" w:rsidP="004E468C">
            <w:pPr>
              <w:ind w:right="-61" w:firstLine="393"/>
              <w:jc w:val="center"/>
              <w:rPr>
                <w:rFonts w:ascii="Arial" w:hAnsi="Arial" w:cs="Arial"/>
                <w:lang w:val="ro-RO"/>
              </w:rPr>
            </w:pPr>
            <w:r w:rsidRPr="00F94584">
              <w:rPr>
                <w:rFonts w:ascii="Arial" w:hAnsi="Arial" w:cs="Arial"/>
                <w:lang w:val="ro-RO"/>
              </w:rPr>
              <w:t>16,7</w:t>
            </w:r>
          </w:p>
        </w:tc>
        <w:tc>
          <w:tcPr>
            <w:tcW w:w="852" w:type="pct"/>
            <w:vAlign w:val="center"/>
          </w:tcPr>
          <w:p w:rsidR="003F451C" w:rsidRPr="00F94584" w:rsidRDefault="003F451C" w:rsidP="004E468C">
            <w:pPr>
              <w:tabs>
                <w:tab w:val="left" w:pos="2365"/>
              </w:tabs>
              <w:ind w:firstLine="393"/>
              <w:jc w:val="center"/>
              <w:rPr>
                <w:rFonts w:ascii="Arial" w:hAnsi="Arial" w:cs="Arial"/>
                <w:lang w:val="ro-RO"/>
              </w:rPr>
            </w:pPr>
            <w:r w:rsidRPr="00F94584">
              <w:rPr>
                <w:rFonts w:ascii="Arial" w:hAnsi="Arial" w:cs="Arial"/>
                <w:lang w:val="ro-RO"/>
              </w:rPr>
              <w:t>21,9  %</w:t>
            </w:r>
          </w:p>
        </w:tc>
      </w:tr>
      <w:tr w:rsidR="003F451C" w:rsidRPr="00F94584" w:rsidTr="004E468C">
        <w:trPr>
          <w:trHeight w:val="217"/>
          <w:jc w:val="center"/>
        </w:trPr>
        <w:tc>
          <w:tcPr>
            <w:tcW w:w="1772" w:type="pct"/>
            <w:vAlign w:val="center"/>
          </w:tcPr>
          <w:p w:rsidR="003F451C" w:rsidRPr="00F94584" w:rsidRDefault="003F451C" w:rsidP="004E468C">
            <w:pPr>
              <w:rPr>
                <w:rFonts w:ascii="Arial" w:hAnsi="Arial" w:cs="Arial"/>
                <w:lang w:val="ro-RO"/>
              </w:rPr>
            </w:pPr>
            <w:r w:rsidRPr="00F94584">
              <w:rPr>
                <w:rFonts w:ascii="Arial" w:hAnsi="Arial" w:cs="Arial"/>
                <w:lang w:val="ro-RO"/>
              </w:rPr>
              <w:t>deșeuri din construcţii/demolări</w:t>
            </w:r>
          </w:p>
        </w:tc>
        <w:tc>
          <w:tcPr>
            <w:tcW w:w="2376" w:type="pct"/>
            <w:vAlign w:val="center"/>
          </w:tcPr>
          <w:p w:rsidR="003F451C" w:rsidRPr="00F94584" w:rsidRDefault="003F451C" w:rsidP="004E468C">
            <w:pPr>
              <w:ind w:right="-61" w:firstLine="393"/>
              <w:jc w:val="center"/>
              <w:rPr>
                <w:rFonts w:ascii="Arial" w:hAnsi="Arial" w:cs="Arial"/>
                <w:lang w:val="ro-RO"/>
              </w:rPr>
            </w:pPr>
            <w:r w:rsidRPr="00F94584">
              <w:rPr>
                <w:rFonts w:ascii="Arial" w:hAnsi="Arial" w:cs="Arial"/>
                <w:lang w:val="ro-RO"/>
              </w:rPr>
              <w:t>4,9</w:t>
            </w:r>
          </w:p>
        </w:tc>
        <w:tc>
          <w:tcPr>
            <w:tcW w:w="852" w:type="pct"/>
            <w:vAlign w:val="center"/>
          </w:tcPr>
          <w:p w:rsidR="003F451C" w:rsidRPr="00F94584" w:rsidRDefault="003F451C" w:rsidP="004E468C">
            <w:pPr>
              <w:tabs>
                <w:tab w:val="left" w:pos="2365"/>
              </w:tabs>
              <w:ind w:firstLine="393"/>
              <w:jc w:val="center"/>
              <w:rPr>
                <w:rFonts w:ascii="Arial" w:hAnsi="Arial" w:cs="Arial"/>
                <w:lang w:val="ro-RO"/>
              </w:rPr>
            </w:pPr>
            <w:r w:rsidRPr="00F94584">
              <w:rPr>
                <w:rFonts w:ascii="Arial" w:hAnsi="Arial" w:cs="Arial"/>
                <w:lang w:val="ro-RO"/>
              </w:rPr>
              <w:t>6,4  %</w:t>
            </w:r>
          </w:p>
        </w:tc>
      </w:tr>
      <w:tr w:rsidR="003F451C" w:rsidRPr="00F94584" w:rsidTr="004E468C">
        <w:trPr>
          <w:trHeight w:val="230"/>
          <w:jc w:val="center"/>
        </w:trPr>
        <w:tc>
          <w:tcPr>
            <w:tcW w:w="1772" w:type="pct"/>
            <w:vAlign w:val="center"/>
          </w:tcPr>
          <w:p w:rsidR="003F451C" w:rsidRPr="00F94584" w:rsidRDefault="003F451C" w:rsidP="004E468C">
            <w:pPr>
              <w:rPr>
                <w:rFonts w:ascii="Arial" w:hAnsi="Arial" w:cs="Arial"/>
                <w:b/>
                <w:lang w:val="ro-RO"/>
              </w:rPr>
            </w:pPr>
            <w:r w:rsidRPr="00F94584">
              <w:rPr>
                <w:rFonts w:ascii="Arial" w:hAnsi="Arial" w:cs="Arial"/>
                <w:b/>
                <w:lang w:val="ro-RO"/>
              </w:rPr>
              <w:t>TOTAL</w:t>
            </w:r>
          </w:p>
        </w:tc>
        <w:tc>
          <w:tcPr>
            <w:tcW w:w="2376" w:type="pct"/>
            <w:vAlign w:val="center"/>
          </w:tcPr>
          <w:p w:rsidR="003F451C" w:rsidRPr="00F94584" w:rsidRDefault="003F451C" w:rsidP="004E468C">
            <w:pPr>
              <w:ind w:right="-61" w:firstLine="393"/>
              <w:jc w:val="center"/>
              <w:rPr>
                <w:rFonts w:ascii="Arial" w:hAnsi="Arial" w:cs="Arial"/>
                <w:b/>
                <w:lang w:val="ro-RO"/>
              </w:rPr>
            </w:pPr>
            <w:r w:rsidRPr="00F94584">
              <w:rPr>
                <w:rFonts w:ascii="Arial" w:hAnsi="Arial" w:cs="Arial"/>
                <w:b/>
                <w:lang w:val="ro-RO"/>
              </w:rPr>
              <w:t>76,2</w:t>
            </w:r>
          </w:p>
        </w:tc>
        <w:tc>
          <w:tcPr>
            <w:tcW w:w="852" w:type="pct"/>
            <w:vAlign w:val="center"/>
          </w:tcPr>
          <w:p w:rsidR="003F451C" w:rsidRPr="00F94584" w:rsidRDefault="003F451C" w:rsidP="004E468C">
            <w:pPr>
              <w:tabs>
                <w:tab w:val="left" w:pos="2365"/>
              </w:tabs>
              <w:ind w:firstLine="393"/>
              <w:jc w:val="center"/>
              <w:rPr>
                <w:rFonts w:ascii="Arial" w:hAnsi="Arial" w:cs="Arial"/>
                <w:b/>
                <w:lang w:val="ro-RO"/>
              </w:rPr>
            </w:pPr>
            <w:r w:rsidRPr="00F94584">
              <w:rPr>
                <w:rFonts w:ascii="Arial" w:hAnsi="Arial" w:cs="Arial"/>
                <w:b/>
                <w:lang w:val="ro-RO"/>
              </w:rPr>
              <w:t>100%</w:t>
            </w:r>
          </w:p>
        </w:tc>
      </w:tr>
    </w:tbl>
    <w:p w:rsidR="003F451C" w:rsidRPr="00F94584" w:rsidRDefault="003F451C" w:rsidP="003F451C">
      <w:pPr>
        <w:autoSpaceDE w:val="0"/>
        <w:autoSpaceDN w:val="0"/>
        <w:adjustRightInd w:val="0"/>
        <w:ind w:firstLine="737"/>
        <w:jc w:val="both"/>
        <w:rPr>
          <w:rFonts w:ascii="Arial" w:hAnsi="Arial" w:cs="Arial"/>
          <w:lang w:val="it-IT"/>
        </w:rPr>
      </w:pPr>
    </w:p>
    <w:p w:rsidR="003F451C" w:rsidRDefault="003F451C" w:rsidP="003F451C">
      <w:pPr>
        <w:autoSpaceDE w:val="0"/>
        <w:autoSpaceDN w:val="0"/>
        <w:adjustRightInd w:val="0"/>
        <w:rPr>
          <w:rFonts w:ascii="Arial" w:hAnsi="Arial" w:cs="Arial"/>
        </w:rPr>
      </w:pP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hAnsi="Arial" w:cs="Arial"/>
        </w:rPr>
        <w:t>Tabel</w:t>
      </w:r>
      <w:r w:rsidRPr="00F94584">
        <w:rPr>
          <w:rFonts w:ascii="Arial" w:hAnsi="Arial" w:cs="Arial"/>
          <w:b/>
        </w:rPr>
        <w:t xml:space="preserve"> nr. VII.1.1. -2  </w:t>
      </w:r>
      <w:r w:rsidRPr="00F94584">
        <w:rPr>
          <w:rFonts w:ascii="Arial" w:eastAsiaTheme="minorHAnsi" w:hAnsi="Arial" w:cs="Arial"/>
          <w:lang w:val="ro-RO"/>
        </w:rPr>
        <w:t>Evoluţia cantităţilor de deşeuri menajere şi asimilabile colectate în perioada 2008-2012</w:t>
      </w:r>
    </w:p>
    <w:p w:rsidR="003F451C" w:rsidRDefault="003F451C" w:rsidP="003F451C">
      <w:pPr>
        <w:autoSpaceDE w:val="0"/>
        <w:autoSpaceDN w:val="0"/>
        <w:adjustRightInd w:val="0"/>
        <w:rPr>
          <w:rFonts w:ascii="Arial" w:hAnsi="Arial" w:cs="Arial"/>
        </w:rPr>
      </w:pPr>
    </w:p>
    <w:p w:rsidR="003F451C" w:rsidRDefault="003F451C" w:rsidP="003F451C">
      <w:pPr>
        <w:autoSpaceDE w:val="0"/>
        <w:autoSpaceDN w:val="0"/>
        <w:adjustRightInd w:val="0"/>
        <w:rPr>
          <w:rFonts w:ascii="Arial" w:hAnsi="Arial" w:cs="Arial"/>
        </w:rPr>
      </w:pPr>
    </w:p>
    <w:p w:rsidR="003F451C" w:rsidRPr="00F94584" w:rsidRDefault="003F451C" w:rsidP="003F451C">
      <w:pPr>
        <w:autoSpaceDE w:val="0"/>
        <w:autoSpaceDN w:val="0"/>
        <w:adjustRightInd w:val="0"/>
        <w:rPr>
          <w:rFonts w:ascii="Arial" w:hAnsi="Arial" w:cs="Arial"/>
        </w:rPr>
      </w:pPr>
    </w:p>
    <w:tbl>
      <w:tblPr>
        <w:tblStyle w:val="TableGrid"/>
        <w:tblW w:w="0" w:type="auto"/>
        <w:jc w:val="center"/>
        <w:tblInd w:w="1384" w:type="dxa"/>
        <w:tblLook w:val="04A0"/>
      </w:tblPr>
      <w:tblGrid>
        <w:gridCol w:w="1115"/>
        <w:gridCol w:w="1578"/>
        <w:gridCol w:w="1843"/>
        <w:gridCol w:w="1701"/>
      </w:tblGrid>
      <w:tr w:rsidR="003F451C" w:rsidRPr="00F94584" w:rsidTr="004E468C">
        <w:trPr>
          <w:jc w:val="center"/>
        </w:trPr>
        <w:tc>
          <w:tcPr>
            <w:tcW w:w="1115"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lastRenderedPageBreak/>
              <w:t>Anul</w:t>
            </w:r>
          </w:p>
        </w:tc>
        <w:tc>
          <w:tcPr>
            <w:tcW w:w="1578"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TOTAL</w:t>
            </w:r>
          </w:p>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[tone]</w:t>
            </w:r>
          </w:p>
        </w:tc>
        <w:tc>
          <w:tcPr>
            <w:tcW w:w="1843"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URBAN</w:t>
            </w:r>
          </w:p>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[tone]</w:t>
            </w:r>
          </w:p>
        </w:tc>
        <w:tc>
          <w:tcPr>
            <w:tcW w:w="1701"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RURAL</w:t>
            </w:r>
          </w:p>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[tone]</w:t>
            </w:r>
          </w:p>
        </w:tc>
      </w:tr>
      <w:tr w:rsidR="003F451C" w:rsidRPr="00F94584" w:rsidTr="004E468C">
        <w:trPr>
          <w:jc w:val="center"/>
        </w:trPr>
        <w:tc>
          <w:tcPr>
            <w:tcW w:w="1115"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2008</w:t>
            </w:r>
          </w:p>
        </w:tc>
        <w:tc>
          <w:tcPr>
            <w:tcW w:w="1578"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54244,00</w:t>
            </w:r>
          </w:p>
        </w:tc>
        <w:tc>
          <w:tcPr>
            <w:tcW w:w="1843"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54244,00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0,00</w:t>
            </w:r>
          </w:p>
        </w:tc>
      </w:tr>
      <w:tr w:rsidR="003F451C" w:rsidRPr="00F94584" w:rsidTr="004E468C">
        <w:trPr>
          <w:jc w:val="center"/>
        </w:trPr>
        <w:tc>
          <w:tcPr>
            <w:tcW w:w="1115"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2009</w:t>
            </w:r>
          </w:p>
        </w:tc>
        <w:tc>
          <w:tcPr>
            <w:tcW w:w="1578"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78570,00</w:t>
            </w:r>
          </w:p>
        </w:tc>
        <w:tc>
          <w:tcPr>
            <w:tcW w:w="1843"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78570,00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0,00</w:t>
            </w:r>
          </w:p>
        </w:tc>
      </w:tr>
      <w:tr w:rsidR="003F451C" w:rsidRPr="00F94584" w:rsidTr="004E468C">
        <w:trPr>
          <w:jc w:val="center"/>
        </w:trPr>
        <w:tc>
          <w:tcPr>
            <w:tcW w:w="1115"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2010</w:t>
            </w:r>
          </w:p>
        </w:tc>
        <w:tc>
          <w:tcPr>
            <w:tcW w:w="1578"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59488,30</w:t>
            </w:r>
          </w:p>
        </w:tc>
        <w:tc>
          <w:tcPr>
            <w:tcW w:w="1843"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55789,30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3699,00</w:t>
            </w:r>
          </w:p>
        </w:tc>
      </w:tr>
      <w:tr w:rsidR="003F451C" w:rsidRPr="00F94584" w:rsidTr="004E468C">
        <w:trPr>
          <w:jc w:val="center"/>
        </w:trPr>
        <w:tc>
          <w:tcPr>
            <w:tcW w:w="1115"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2011</w:t>
            </w:r>
          </w:p>
        </w:tc>
        <w:tc>
          <w:tcPr>
            <w:tcW w:w="1578"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50712,50</w:t>
            </w:r>
          </w:p>
        </w:tc>
        <w:tc>
          <w:tcPr>
            <w:tcW w:w="1843"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46294,50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4418,00</w:t>
            </w:r>
          </w:p>
        </w:tc>
      </w:tr>
      <w:tr w:rsidR="003F451C" w:rsidRPr="00F94584" w:rsidTr="004E468C">
        <w:trPr>
          <w:jc w:val="center"/>
        </w:trPr>
        <w:tc>
          <w:tcPr>
            <w:tcW w:w="1115"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2012</w:t>
            </w:r>
          </w:p>
        </w:tc>
        <w:tc>
          <w:tcPr>
            <w:tcW w:w="1578"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49271,00</w:t>
            </w:r>
          </w:p>
        </w:tc>
        <w:tc>
          <w:tcPr>
            <w:tcW w:w="1843"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46846,00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2425,00</w:t>
            </w:r>
          </w:p>
        </w:tc>
      </w:tr>
    </w:tbl>
    <w:p w:rsidR="003F451C" w:rsidRPr="00F94584" w:rsidRDefault="003F451C" w:rsidP="003F451C">
      <w:pPr>
        <w:autoSpaceDE w:val="0"/>
        <w:autoSpaceDN w:val="0"/>
        <w:adjustRightInd w:val="0"/>
        <w:ind w:firstLine="737"/>
        <w:jc w:val="both"/>
        <w:rPr>
          <w:rFonts w:ascii="Arial" w:hAnsi="Arial" w:cs="Arial"/>
          <w:lang w:val="it-IT"/>
        </w:rPr>
      </w:pP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hAnsi="Arial" w:cs="Arial"/>
        </w:rPr>
        <w:t>Figura</w:t>
      </w:r>
      <w:r w:rsidRPr="00F94584">
        <w:rPr>
          <w:rFonts w:ascii="Arial" w:hAnsi="Arial" w:cs="Arial"/>
          <w:b/>
        </w:rPr>
        <w:t xml:space="preserve"> nr. VII.1.1. -1  </w:t>
      </w:r>
      <w:r w:rsidRPr="00F94584">
        <w:rPr>
          <w:rFonts w:ascii="Arial" w:eastAsiaTheme="minorHAnsi" w:hAnsi="Arial" w:cs="Arial"/>
          <w:lang w:val="ro-RO"/>
        </w:rPr>
        <w:t>Evoluţia cantităţilor de deşeuri menajere şi asimilabile colectate în ultimii cinci ani</w:t>
      </w:r>
    </w:p>
    <w:p w:rsidR="003F451C" w:rsidRPr="00F94584" w:rsidRDefault="003F451C" w:rsidP="003F451C">
      <w:pPr>
        <w:autoSpaceDE w:val="0"/>
        <w:autoSpaceDN w:val="0"/>
        <w:adjustRightInd w:val="0"/>
        <w:jc w:val="center"/>
        <w:rPr>
          <w:rFonts w:ascii="Arial" w:hAnsi="Arial" w:cs="Arial"/>
        </w:rPr>
      </w:pPr>
      <w:r w:rsidRPr="00F94584">
        <w:rPr>
          <w:rFonts w:ascii="Arial" w:hAnsi="Arial" w:cs="Arial"/>
          <w:noProof/>
          <w:lang w:val="ro-RO" w:eastAsia="ro-RO"/>
        </w:rPr>
        <w:drawing>
          <wp:inline distT="0" distB="0" distL="0" distR="0">
            <wp:extent cx="4725478" cy="2708694"/>
            <wp:effectExtent l="19050" t="0" r="17972" b="0"/>
            <wp:docPr id="109"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03"/>
              </a:graphicData>
            </a:graphic>
          </wp:inline>
        </w:drawing>
      </w:r>
    </w:p>
    <w:p w:rsidR="003F451C" w:rsidRPr="00F94584" w:rsidRDefault="003F451C" w:rsidP="003F451C">
      <w:pPr>
        <w:autoSpaceDE w:val="0"/>
        <w:autoSpaceDN w:val="0"/>
        <w:adjustRightInd w:val="0"/>
        <w:jc w:val="both"/>
        <w:rPr>
          <w:rFonts w:ascii="Arial" w:hAnsi="Arial" w:cs="Arial"/>
        </w:rPr>
      </w:pP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Față de evoluția din anii anteriori se poate observa că o scădere a cantităților de deșeuri menajere colectate începând din anul 2009.</w:t>
      </w:r>
    </w:p>
    <w:p w:rsidR="003F451C" w:rsidRPr="00F94584" w:rsidRDefault="003F451C" w:rsidP="003F451C">
      <w:pPr>
        <w:autoSpaceDE w:val="0"/>
        <w:autoSpaceDN w:val="0"/>
        <w:adjustRightInd w:val="0"/>
        <w:ind w:firstLine="737"/>
        <w:jc w:val="both"/>
        <w:rPr>
          <w:rFonts w:ascii="Arial" w:hAnsi="Arial" w:cs="Arial"/>
          <w:lang w:val="it-IT"/>
        </w:rPr>
      </w:pPr>
    </w:p>
    <w:p w:rsidR="003F451C" w:rsidRDefault="003F451C" w:rsidP="003F451C">
      <w:pPr>
        <w:autoSpaceDE w:val="0"/>
        <w:autoSpaceDN w:val="0"/>
        <w:adjustRightInd w:val="0"/>
        <w:rPr>
          <w:rFonts w:ascii="Arial" w:eastAsiaTheme="minorHAnsi" w:hAnsi="Arial" w:cs="Arial"/>
          <w:lang w:val="ro-RO"/>
        </w:rPr>
      </w:pPr>
      <w:r w:rsidRPr="00F94584">
        <w:rPr>
          <w:rFonts w:ascii="Arial" w:hAnsi="Arial" w:cs="Arial"/>
        </w:rPr>
        <w:t>Tabel</w:t>
      </w:r>
      <w:r w:rsidRPr="00F94584">
        <w:rPr>
          <w:rFonts w:ascii="Arial" w:hAnsi="Arial" w:cs="Arial"/>
          <w:b/>
        </w:rPr>
        <w:t xml:space="preserve"> nr. VII.1.1. -3 </w:t>
      </w:r>
      <w:r w:rsidRPr="00F94584">
        <w:rPr>
          <w:rFonts w:ascii="Arial" w:eastAsiaTheme="minorHAnsi" w:hAnsi="Arial" w:cs="Arial"/>
          <w:lang w:val="ro-RO"/>
        </w:rPr>
        <w:t>Evoluţia cantităţilor de deşeuri provenite din servicii municipale</w:t>
      </w:r>
    </w:p>
    <w:p w:rsidR="003F451C" w:rsidRPr="00F94584" w:rsidRDefault="003F451C" w:rsidP="003F451C">
      <w:pPr>
        <w:autoSpaceDE w:val="0"/>
        <w:autoSpaceDN w:val="0"/>
        <w:adjustRightInd w:val="0"/>
        <w:rPr>
          <w:rFonts w:ascii="Arial" w:eastAsiaTheme="minorHAnsi" w:hAnsi="Arial" w:cs="Arial"/>
          <w:lang w:val="ro-RO"/>
        </w:rPr>
      </w:pPr>
    </w:p>
    <w:tbl>
      <w:tblPr>
        <w:tblStyle w:val="TableGrid"/>
        <w:tblW w:w="0" w:type="auto"/>
        <w:jc w:val="center"/>
        <w:tblLook w:val="04A0"/>
      </w:tblPr>
      <w:tblGrid>
        <w:gridCol w:w="2499"/>
        <w:gridCol w:w="2499"/>
      </w:tblGrid>
      <w:tr w:rsidR="003F451C" w:rsidRPr="00F94584" w:rsidTr="004E468C">
        <w:trPr>
          <w:jc w:val="center"/>
        </w:trPr>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Anul</w:t>
            </w:r>
          </w:p>
        </w:tc>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TOTAL</w:t>
            </w:r>
          </w:p>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[tone]</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2008</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16238</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2009</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18089</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2010</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14279</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2011</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14072</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2012</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16711</w:t>
            </w:r>
          </w:p>
        </w:tc>
      </w:tr>
    </w:tbl>
    <w:p w:rsidR="003F451C" w:rsidRDefault="003F451C" w:rsidP="003F451C">
      <w:pPr>
        <w:autoSpaceDE w:val="0"/>
        <w:autoSpaceDN w:val="0"/>
        <w:adjustRightInd w:val="0"/>
        <w:rPr>
          <w:rFonts w:ascii="Arial" w:eastAsiaTheme="minorHAnsi" w:hAnsi="Arial" w:cs="Arial"/>
          <w:lang w:val="ro-RO"/>
        </w:rPr>
      </w:pP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hAnsi="Arial" w:cs="Arial"/>
        </w:rPr>
        <w:t>Figura</w:t>
      </w:r>
      <w:r w:rsidRPr="00F94584">
        <w:rPr>
          <w:rFonts w:ascii="Arial" w:hAnsi="Arial" w:cs="Arial"/>
          <w:b/>
        </w:rPr>
        <w:t xml:space="preserve"> nr. VII.1.1. - 2  </w:t>
      </w:r>
      <w:r w:rsidRPr="00F94584">
        <w:rPr>
          <w:rFonts w:ascii="Arial" w:eastAsiaTheme="minorHAnsi" w:hAnsi="Arial" w:cs="Arial"/>
          <w:lang w:val="ro-RO"/>
        </w:rPr>
        <w:t>Evoluţia cantităţilor de deşeuri provenite din servicii municipale</w:t>
      </w:r>
    </w:p>
    <w:p w:rsidR="003F451C" w:rsidRDefault="003F451C" w:rsidP="003F451C">
      <w:pPr>
        <w:autoSpaceDE w:val="0"/>
        <w:autoSpaceDN w:val="0"/>
        <w:adjustRightInd w:val="0"/>
        <w:rPr>
          <w:rFonts w:ascii="Arial" w:eastAsiaTheme="minorHAnsi" w:hAnsi="Arial" w:cs="Arial"/>
          <w:lang w:val="ro-RO"/>
        </w:rPr>
      </w:pPr>
    </w:p>
    <w:p w:rsidR="003F451C" w:rsidRPr="00F94584" w:rsidRDefault="003F451C" w:rsidP="003F451C">
      <w:pPr>
        <w:autoSpaceDE w:val="0"/>
        <w:autoSpaceDN w:val="0"/>
        <w:adjustRightInd w:val="0"/>
        <w:jc w:val="center"/>
        <w:rPr>
          <w:rFonts w:ascii="Arial" w:eastAsiaTheme="minorHAnsi" w:hAnsi="Arial" w:cs="Arial"/>
          <w:lang w:val="ro-RO"/>
        </w:rPr>
      </w:pPr>
      <w:r w:rsidRPr="00F94584">
        <w:rPr>
          <w:rFonts w:ascii="Arial" w:eastAsiaTheme="minorHAnsi" w:hAnsi="Arial" w:cs="Arial"/>
          <w:noProof/>
          <w:lang w:val="ro-RO" w:eastAsia="ro-RO"/>
        </w:rPr>
        <w:lastRenderedPageBreak/>
        <w:drawing>
          <wp:inline distT="0" distB="0" distL="0" distR="0">
            <wp:extent cx="4552950" cy="3036498"/>
            <wp:effectExtent l="19050" t="0" r="19050" b="0"/>
            <wp:docPr id="110"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04"/>
              </a:graphicData>
            </a:graphic>
          </wp:inline>
        </w:drawing>
      </w:r>
    </w:p>
    <w:p w:rsidR="003F451C" w:rsidRPr="00F94584" w:rsidRDefault="003F451C" w:rsidP="003F451C">
      <w:pPr>
        <w:autoSpaceDE w:val="0"/>
        <w:autoSpaceDN w:val="0"/>
        <w:adjustRightInd w:val="0"/>
        <w:rPr>
          <w:rFonts w:ascii="Arial" w:eastAsiaTheme="minorHAnsi" w:hAnsi="Arial" w:cs="Arial"/>
          <w:lang w:val="ro-RO"/>
        </w:rPr>
      </w:pPr>
    </w:p>
    <w:p w:rsidR="003F451C" w:rsidRPr="00F94584" w:rsidRDefault="003F451C" w:rsidP="003F451C">
      <w:pPr>
        <w:autoSpaceDE w:val="0"/>
        <w:autoSpaceDN w:val="0"/>
        <w:adjustRightInd w:val="0"/>
        <w:jc w:val="both"/>
        <w:rPr>
          <w:rFonts w:ascii="Arial" w:hAnsi="Arial" w:cs="Arial"/>
        </w:rPr>
      </w:pPr>
    </w:p>
    <w:p w:rsidR="003F451C" w:rsidRPr="00F94584" w:rsidRDefault="003F451C" w:rsidP="003F451C">
      <w:pPr>
        <w:pStyle w:val="ListParagraph"/>
        <w:autoSpaceDE w:val="0"/>
        <w:autoSpaceDN w:val="0"/>
        <w:adjustRightInd w:val="0"/>
        <w:rPr>
          <w:rFonts w:ascii="Arial" w:eastAsiaTheme="minorHAnsi" w:hAnsi="Arial" w:cs="Arial"/>
        </w:rPr>
      </w:pPr>
      <w:r w:rsidRPr="00F94584">
        <w:rPr>
          <w:rFonts w:ascii="Arial" w:hAnsi="Arial" w:cs="Arial"/>
        </w:rPr>
        <w:t>Tabel</w:t>
      </w:r>
      <w:r w:rsidRPr="00F94584">
        <w:rPr>
          <w:rFonts w:ascii="Arial" w:hAnsi="Arial" w:cs="Arial"/>
          <w:b/>
        </w:rPr>
        <w:t xml:space="preserve"> nr. VII.1.1. -</w:t>
      </w:r>
      <w:r>
        <w:rPr>
          <w:rFonts w:ascii="Arial" w:hAnsi="Arial" w:cs="Arial"/>
          <w:b/>
        </w:rPr>
        <w:t xml:space="preserve"> </w:t>
      </w:r>
      <w:r w:rsidRPr="00F94584">
        <w:rPr>
          <w:rFonts w:ascii="Arial" w:hAnsi="Arial" w:cs="Arial"/>
          <w:b/>
        </w:rPr>
        <w:t xml:space="preserve">4 </w:t>
      </w:r>
      <w:r w:rsidRPr="00F94584">
        <w:rPr>
          <w:rFonts w:ascii="Arial" w:eastAsiaTheme="minorHAnsi" w:hAnsi="Arial" w:cs="Arial"/>
        </w:rPr>
        <w:t>Evoluţia cantităţilor de deşeuri provenite din construcţii şi demolări</w:t>
      </w:r>
    </w:p>
    <w:tbl>
      <w:tblPr>
        <w:tblStyle w:val="TableGrid"/>
        <w:tblW w:w="0" w:type="auto"/>
        <w:jc w:val="center"/>
        <w:tblLook w:val="04A0"/>
      </w:tblPr>
      <w:tblGrid>
        <w:gridCol w:w="2499"/>
        <w:gridCol w:w="2499"/>
      </w:tblGrid>
      <w:tr w:rsidR="003F451C" w:rsidRPr="00F94584" w:rsidTr="004E468C">
        <w:trPr>
          <w:jc w:val="center"/>
        </w:trPr>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p>
        </w:tc>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TOTAL</w:t>
            </w:r>
          </w:p>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[tone]</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2008</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51000</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2009</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12790</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2010</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10853</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2011</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10051</w:t>
            </w:r>
          </w:p>
        </w:tc>
      </w:tr>
      <w:tr w:rsidR="003F451C" w:rsidRPr="00F94584" w:rsidTr="004E468C">
        <w:trPr>
          <w:jc w:val="center"/>
        </w:trPr>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2012</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4990</w:t>
            </w:r>
          </w:p>
        </w:tc>
      </w:tr>
    </w:tbl>
    <w:p w:rsidR="003F451C" w:rsidRPr="00F94584" w:rsidRDefault="003F451C" w:rsidP="003F451C">
      <w:pPr>
        <w:pStyle w:val="ListParagraph"/>
        <w:autoSpaceDE w:val="0"/>
        <w:autoSpaceDN w:val="0"/>
        <w:adjustRightInd w:val="0"/>
        <w:rPr>
          <w:rFonts w:ascii="Arial" w:eastAsiaTheme="minorHAnsi" w:hAnsi="Arial" w:cs="Arial"/>
        </w:rPr>
      </w:pPr>
    </w:p>
    <w:p w:rsidR="003F451C" w:rsidRPr="00F94584" w:rsidRDefault="003F451C" w:rsidP="003F451C">
      <w:pPr>
        <w:pStyle w:val="ListParagraph"/>
        <w:autoSpaceDE w:val="0"/>
        <w:autoSpaceDN w:val="0"/>
        <w:adjustRightInd w:val="0"/>
        <w:rPr>
          <w:rFonts w:ascii="Arial" w:eastAsiaTheme="minorHAnsi" w:hAnsi="Arial" w:cs="Arial"/>
        </w:rPr>
      </w:pPr>
      <w:r w:rsidRPr="00F94584">
        <w:rPr>
          <w:rFonts w:ascii="Arial" w:hAnsi="Arial" w:cs="Arial"/>
        </w:rPr>
        <w:t>Figura</w:t>
      </w:r>
      <w:r w:rsidRPr="00F94584">
        <w:rPr>
          <w:rFonts w:ascii="Arial" w:hAnsi="Arial" w:cs="Arial"/>
          <w:b/>
        </w:rPr>
        <w:t xml:space="preserve"> nr. VII.1.1. -</w:t>
      </w:r>
      <w:r>
        <w:rPr>
          <w:rFonts w:ascii="Arial" w:hAnsi="Arial" w:cs="Arial"/>
          <w:b/>
        </w:rPr>
        <w:t xml:space="preserve"> </w:t>
      </w:r>
      <w:r w:rsidRPr="00F94584">
        <w:rPr>
          <w:rFonts w:ascii="Arial" w:hAnsi="Arial" w:cs="Arial"/>
          <w:b/>
        </w:rPr>
        <w:t xml:space="preserve">3  </w:t>
      </w:r>
      <w:r w:rsidRPr="00F94584">
        <w:rPr>
          <w:rFonts w:ascii="Arial" w:eastAsiaTheme="minorHAnsi" w:hAnsi="Arial" w:cs="Arial"/>
        </w:rPr>
        <w:t>Evoluţia cantităţilor de deşeuri provenite din construcţii şi demolări</w:t>
      </w:r>
    </w:p>
    <w:p w:rsidR="003F451C" w:rsidRPr="00F94584" w:rsidRDefault="003F451C" w:rsidP="003F451C">
      <w:pPr>
        <w:pStyle w:val="ListParagraph"/>
        <w:autoSpaceDE w:val="0"/>
        <w:autoSpaceDN w:val="0"/>
        <w:adjustRightInd w:val="0"/>
        <w:rPr>
          <w:rFonts w:ascii="Arial" w:eastAsiaTheme="minorHAnsi" w:hAnsi="Arial" w:cs="Arial"/>
        </w:rPr>
      </w:pPr>
    </w:p>
    <w:p w:rsidR="003F451C" w:rsidRPr="00F94584" w:rsidRDefault="003F451C" w:rsidP="003F451C">
      <w:pPr>
        <w:pStyle w:val="ListParagraph"/>
        <w:autoSpaceDE w:val="0"/>
        <w:autoSpaceDN w:val="0"/>
        <w:adjustRightInd w:val="0"/>
        <w:jc w:val="center"/>
        <w:rPr>
          <w:rFonts w:ascii="Arial" w:eastAsiaTheme="minorHAnsi" w:hAnsi="Arial" w:cs="Arial"/>
        </w:rPr>
      </w:pPr>
      <w:r w:rsidRPr="00F94584">
        <w:rPr>
          <w:rFonts w:ascii="Arial" w:hAnsi="Arial" w:cs="Arial"/>
          <w:noProof/>
        </w:rPr>
        <w:drawing>
          <wp:inline distT="0" distB="0" distL="0" distR="0">
            <wp:extent cx="4872127" cy="3200400"/>
            <wp:effectExtent l="19050" t="0" r="23723" b="0"/>
            <wp:docPr id="111"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05"/>
              </a:graphicData>
            </a:graphic>
          </wp:inline>
        </w:drawing>
      </w:r>
    </w:p>
    <w:p w:rsidR="003F451C" w:rsidRPr="00F94584" w:rsidRDefault="003F451C" w:rsidP="003F451C">
      <w:pPr>
        <w:autoSpaceDE w:val="0"/>
        <w:autoSpaceDN w:val="0"/>
        <w:adjustRightInd w:val="0"/>
        <w:ind w:firstLine="737"/>
        <w:jc w:val="both"/>
        <w:rPr>
          <w:rFonts w:ascii="Arial" w:hAnsi="Arial" w:cs="Arial"/>
          <w:lang w:val="it-IT"/>
        </w:rPr>
      </w:pPr>
    </w:p>
    <w:p w:rsidR="003F451C" w:rsidRPr="00F94584" w:rsidRDefault="003F451C" w:rsidP="003F451C">
      <w:pPr>
        <w:autoSpaceDE w:val="0"/>
        <w:autoSpaceDN w:val="0"/>
        <w:adjustRightInd w:val="0"/>
        <w:ind w:firstLine="737"/>
        <w:jc w:val="both"/>
        <w:rPr>
          <w:rFonts w:ascii="Arial" w:hAnsi="Arial" w:cs="Arial"/>
          <w:lang w:val="it-IT"/>
        </w:rPr>
      </w:pP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lastRenderedPageBreak/>
        <w:t xml:space="preserve">Din cantitatea totală de deșeuri municipale colectată de operatorii de salubritate, ponderea cea mai mare (circa 72 %) este reprezentată de deșeurile menajere și asimilabile acestora, aproape 22% reprezintă deșeurile din servicii municipale și numai </w:t>
      </w:r>
      <w:r w:rsidRPr="00F94584">
        <w:rPr>
          <w:rFonts w:ascii="Arial" w:hAnsi="Arial" w:cs="Arial"/>
          <w:lang w:val="ro-RO"/>
        </w:rPr>
        <w:t>6,4  %</w:t>
      </w:r>
      <w:r w:rsidRPr="00F94584">
        <w:rPr>
          <w:rFonts w:ascii="Arial" w:hAnsi="Arial" w:cs="Arial"/>
          <w:lang w:val="it-IT"/>
        </w:rPr>
        <w:t xml:space="preserve"> deșeuri din construcții și demolări.</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 xml:space="preserve">Datele privind compoziţia deşeurilor menajere sunt estimate pe baza datelor primite de la operatorii de salubritate, nefiind determinată prin măsurători. </w:t>
      </w:r>
    </w:p>
    <w:p w:rsidR="003F451C" w:rsidRPr="00F94584" w:rsidRDefault="003F451C" w:rsidP="003F451C">
      <w:pPr>
        <w:rPr>
          <w:rFonts w:ascii="Arial" w:hAnsi="Arial" w:cs="Arial"/>
          <w:b/>
          <w:lang w:val="it-IT"/>
        </w:rPr>
      </w:pPr>
    </w:p>
    <w:p w:rsidR="003F451C" w:rsidRPr="00F94584" w:rsidRDefault="003F451C" w:rsidP="003F451C">
      <w:pPr>
        <w:rPr>
          <w:rFonts w:ascii="Arial" w:hAnsi="Arial" w:cs="Arial"/>
          <w:b/>
        </w:rPr>
      </w:pPr>
      <w:r w:rsidRPr="00F94584">
        <w:rPr>
          <w:rFonts w:ascii="Arial" w:hAnsi="Arial" w:cs="Arial"/>
          <w:b/>
        </w:rPr>
        <w:t>Figura nr. VII.1.1. -</w:t>
      </w:r>
      <w:r>
        <w:rPr>
          <w:rFonts w:ascii="Arial" w:hAnsi="Arial" w:cs="Arial"/>
          <w:b/>
        </w:rPr>
        <w:t xml:space="preserve"> </w:t>
      </w:r>
      <w:r w:rsidRPr="00F94584">
        <w:rPr>
          <w:rFonts w:ascii="Arial" w:hAnsi="Arial" w:cs="Arial"/>
          <w:b/>
        </w:rPr>
        <w:t xml:space="preserve">4  </w:t>
      </w:r>
      <w:r w:rsidRPr="00F94584">
        <w:rPr>
          <w:rFonts w:ascii="Arial" w:hAnsi="Arial" w:cs="Arial"/>
        </w:rPr>
        <w:t>Estimarea compoziţiei deşeurilor menajere</w:t>
      </w:r>
    </w:p>
    <w:p w:rsidR="003F451C" w:rsidRPr="00F94584" w:rsidRDefault="003F451C" w:rsidP="003F451C">
      <w:pPr>
        <w:jc w:val="center"/>
        <w:rPr>
          <w:rFonts w:ascii="Arial" w:hAnsi="Arial" w:cs="Arial"/>
          <w:b/>
        </w:rPr>
      </w:pPr>
    </w:p>
    <w:p w:rsidR="003F451C" w:rsidRPr="00F94584" w:rsidRDefault="003F451C" w:rsidP="003F451C">
      <w:pPr>
        <w:jc w:val="center"/>
        <w:rPr>
          <w:rFonts w:ascii="Arial" w:hAnsi="Arial" w:cs="Arial"/>
          <w:b/>
        </w:rPr>
      </w:pPr>
      <w:r w:rsidRPr="00F94584">
        <w:rPr>
          <w:rFonts w:ascii="Arial" w:hAnsi="Arial" w:cs="Arial"/>
          <w:b/>
          <w:noProof/>
          <w:lang w:val="ro-RO" w:eastAsia="ro-RO"/>
        </w:rPr>
        <w:drawing>
          <wp:anchor distT="0" distB="15240" distL="114300" distR="114935" simplePos="0" relativeHeight="251664384" behindDoc="0" locked="0" layoutInCell="1" allowOverlap="1">
            <wp:simplePos x="0" y="0"/>
            <wp:positionH relativeFrom="column">
              <wp:posOffset>1300480</wp:posOffset>
            </wp:positionH>
            <wp:positionV relativeFrom="paragraph">
              <wp:posOffset>28575</wp:posOffset>
            </wp:positionV>
            <wp:extent cx="3733165" cy="1957705"/>
            <wp:effectExtent l="19050" t="0" r="635" b="0"/>
            <wp:wrapTight wrapText="bothSides">
              <wp:wrapPolygon edited="0">
                <wp:start x="-110" y="0"/>
                <wp:lineTo x="-110" y="21439"/>
                <wp:lineTo x="21604" y="21439"/>
                <wp:lineTo x="21604" y="0"/>
                <wp:lineTo x="-110" y="0"/>
              </wp:wrapPolygon>
            </wp:wrapTight>
            <wp:docPr id="112" name="Object 2"/>
            <wp:cNvGraphicFramePr>
              <a:graphicFrameLocks xmlns:a="http://schemas.openxmlformats.org/drawingml/2006/main" noChangeAspect="1"/>
            </wp:cNvGraphicFramePr>
            <a:graphic xmlns:a="http://schemas.openxmlformats.org/drawingml/2006/main">
              <a:graphicData uri="http://schemas.openxmlformats.org/drawingml/2006/chart">
                <c:chart xmlns:c="http://schemas.openxmlformats.org/drawingml/2006/chart" xmlns:r="http://schemas.openxmlformats.org/officeDocument/2006/relationships" r:id="rId106"/>
              </a:graphicData>
            </a:graphic>
          </wp:anchor>
        </w:drawing>
      </w: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Pr="00F94584" w:rsidRDefault="003F451C" w:rsidP="003F451C">
      <w:pPr>
        <w:rPr>
          <w:rFonts w:ascii="Arial" w:hAnsi="Arial" w:cs="Arial"/>
          <w:b/>
        </w:rPr>
      </w:pPr>
    </w:p>
    <w:p w:rsidR="003F451C" w:rsidRPr="00F94584" w:rsidRDefault="003F451C" w:rsidP="003F451C">
      <w:pPr>
        <w:jc w:val="both"/>
        <w:rPr>
          <w:rFonts w:ascii="Arial" w:hAnsi="Arial" w:cs="Arial"/>
        </w:rPr>
      </w:pPr>
      <w:r w:rsidRPr="00F94584">
        <w:rPr>
          <w:rFonts w:ascii="Arial" w:hAnsi="Arial" w:cs="Arial"/>
        </w:rPr>
        <w:t>Tabel nr. VII 1.1-</w:t>
      </w:r>
      <w:r>
        <w:rPr>
          <w:rFonts w:ascii="Arial" w:hAnsi="Arial" w:cs="Arial"/>
        </w:rPr>
        <w:t xml:space="preserve"> </w:t>
      </w:r>
      <w:r w:rsidRPr="00F94584">
        <w:rPr>
          <w:rFonts w:ascii="Arial" w:hAnsi="Arial" w:cs="Arial"/>
        </w:rPr>
        <w:t>5 Compoziţia procentuală, pe tip de material, a deșeurilor menajere colectate în 2012</w:t>
      </w:r>
    </w:p>
    <w:p w:rsidR="003F451C" w:rsidRPr="00F94584" w:rsidRDefault="003F451C" w:rsidP="003F451C">
      <w:pPr>
        <w:jc w:val="both"/>
        <w:rPr>
          <w:rFonts w:ascii="Arial" w:hAnsi="Arial" w:cs="Arial"/>
          <w:b/>
        </w:rPr>
      </w:pPr>
      <w:r w:rsidRPr="00F94584">
        <w:rPr>
          <w:rFonts w:ascii="Arial" w:hAnsi="Arial" w:cs="Arial"/>
          <w:b/>
        </w:rPr>
        <w:t xml:space="preserve">                                                </w:t>
      </w:r>
    </w:p>
    <w:tbl>
      <w:tblPr>
        <w:tblW w:w="0" w:type="auto"/>
        <w:jc w:val="center"/>
        <w:tblInd w:w="15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3434"/>
        <w:gridCol w:w="2506"/>
      </w:tblGrid>
      <w:tr w:rsidR="003F451C" w:rsidRPr="00F94584" w:rsidTr="004E468C">
        <w:trPr>
          <w:jc w:val="center"/>
        </w:trPr>
        <w:tc>
          <w:tcPr>
            <w:tcW w:w="3434" w:type="dxa"/>
            <w:shd w:val="clear" w:color="auto" w:fill="E0E0E0"/>
          </w:tcPr>
          <w:p w:rsidR="003F451C" w:rsidRPr="00F94584" w:rsidRDefault="003F451C" w:rsidP="004E468C">
            <w:pPr>
              <w:rPr>
                <w:rFonts w:ascii="Arial" w:hAnsi="Arial" w:cs="Arial"/>
              </w:rPr>
            </w:pPr>
            <w:r w:rsidRPr="00F94584">
              <w:rPr>
                <w:rFonts w:ascii="Arial" w:hAnsi="Arial" w:cs="Arial"/>
              </w:rPr>
              <w:t>Compoziţie</w:t>
            </w:r>
          </w:p>
        </w:tc>
        <w:tc>
          <w:tcPr>
            <w:tcW w:w="2506" w:type="dxa"/>
            <w:shd w:val="clear" w:color="auto" w:fill="E0E0E0"/>
          </w:tcPr>
          <w:p w:rsidR="003F451C" w:rsidRPr="00F94584" w:rsidRDefault="003F451C" w:rsidP="004E468C">
            <w:pPr>
              <w:jc w:val="center"/>
              <w:rPr>
                <w:rFonts w:ascii="Arial" w:hAnsi="Arial" w:cs="Arial"/>
              </w:rPr>
            </w:pPr>
            <w:r w:rsidRPr="00F94584">
              <w:rPr>
                <w:rFonts w:ascii="Arial" w:hAnsi="Arial" w:cs="Arial"/>
              </w:rPr>
              <w:t>Procent %</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Biodegradabile</w:t>
            </w:r>
          </w:p>
        </w:tc>
        <w:tc>
          <w:tcPr>
            <w:tcW w:w="2506" w:type="dxa"/>
          </w:tcPr>
          <w:p w:rsidR="003F451C" w:rsidRPr="00F94584" w:rsidRDefault="003F451C" w:rsidP="004E468C">
            <w:pPr>
              <w:jc w:val="center"/>
              <w:rPr>
                <w:rFonts w:ascii="Arial" w:hAnsi="Arial" w:cs="Arial"/>
              </w:rPr>
            </w:pPr>
            <w:r w:rsidRPr="00F94584">
              <w:rPr>
                <w:rFonts w:ascii="Arial" w:hAnsi="Arial" w:cs="Arial"/>
              </w:rPr>
              <w:t>52</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Hârtie şi carton</w:t>
            </w:r>
          </w:p>
        </w:tc>
        <w:tc>
          <w:tcPr>
            <w:tcW w:w="2506" w:type="dxa"/>
          </w:tcPr>
          <w:p w:rsidR="003F451C" w:rsidRPr="00F94584" w:rsidRDefault="003F451C" w:rsidP="004E468C">
            <w:pPr>
              <w:jc w:val="center"/>
              <w:rPr>
                <w:rFonts w:ascii="Arial" w:hAnsi="Arial" w:cs="Arial"/>
              </w:rPr>
            </w:pPr>
            <w:r w:rsidRPr="00F94584">
              <w:rPr>
                <w:rFonts w:ascii="Arial" w:hAnsi="Arial" w:cs="Arial"/>
              </w:rPr>
              <w:t>11</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Sticla</w:t>
            </w:r>
          </w:p>
        </w:tc>
        <w:tc>
          <w:tcPr>
            <w:tcW w:w="2506" w:type="dxa"/>
          </w:tcPr>
          <w:p w:rsidR="003F451C" w:rsidRPr="00F94584" w:rsidRDefault="003F451C" w:rsidP="004E468C">
            <w:pPr>
              <w:jc w:val="center"/>
              <w:rPr>
                <w:rFonts w:ascii="Arial" w:hAnsi="Arial" w:cs="Arial"/>
              </w:rPr>
            </w:pPr>
            <w:r w:rsidRPr="00F94584">
              <w:rPr>
                <w:rFonts w:ascii="Arial" w:hAnsi="Arial" w:cs="Arial"/>
              </w:rPr>
              <w:t>5</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metal</w:t>
            </w:r>
          </w:p>
        </w:tc>
        <w:tc>
          <w:tcPr>
            <w:tcW w:w="2506" w:type="dxa"/>
          </w:tcPr>
          <w:p w:rsidR="003F451C" w:rsidRPr="00F94584" w:rsidRDefault="003F451C" w:rsidP="004E468C">
            <w:pPr>
              <w:jc w:val="center"/>
              <w:rPr>
                <w:rFonts w:ascii="Arial" w:hAnsi="Arial" w:cs="Arial"/>
              </w:rPr>
            </w:pPr>
            <w:r w:rsidRPr="00F94584">
              <w:rPr>
                <w:rFonts w:ascii="Arial" w:hAnsi="Arial" w:cs="Arial"/>
              </w:rPr>
              <w:t>5</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Material plastic</w:t>
            </w:r>
          </w:p>
        </w:tc>
        <w:tc>
          <w:tcPr>
            <w:tcW w:w="2506" w:type="dxa"/>
          </w:tcPr>
          <w:p w:rsidR="003F451C" w:rsidRPr="00F94584" w:rsidRDefault="003F451C" w:rsidP="004E468C">
            <w:pPr>
              <w:jc w:val="center"/>
              <w:rPr>
                <w:rFonts w:ascii="Arial" w:hAnsi="Arial" w:cs="Arial"/>
              </w:rPr>
            </w:pPr>
            <w:r w:rsidRPr="00F94584">
              <w:rPr>
                <w:rFonts w:ascii="Arial" w:hAnsi="Arial" w:cs="Arial"/>
              </w:rPr>
              <w:t>10</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 xml:space="preserve">Inerte </w:t>
            </w:r>
          </w:p>
        </w:tc>
        <w:tc>
          <w:tcPr>
            <w:tcW w:w="2506" w:type="dxa"/>
          </w:tcPr>
          <w:p w:rsidR="003F451C" w:rsidRPr="00F94584" w:rsidRDefault="003F451C" w:rsidP="004E468C">
            <w:pPr>
              <w:jc w:val="center"/>
              <w:rPr>
                <w:rFonts w:ascii="Arial" w:hAnsi="Arial" w:cs="Arial"/>
              </w:rPr>
            </w:pPr>
            <w:r w:rsidRPr="00F94584">
              <w:rPr>
                <w:rFonts w:ascii="Arial" w:hAnsi="Arial" w:cs="Arial"/>
              </w:rPr>
              <w:t>2</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Lemn</w:t>
            </w:r>
          </w:p>
        </w:tc>
        <w:tc>
          <w:tcPr>
            <w:tcW w:w="2506" w:type="dxa"/>
          </w:tcPr>
          <w:p w:rsidR="003F451C" w:rsidRPr="00F94584" w:rsidRDefault="003F451C" w:rsidP="004E468C">
            <w:pPr>
              <w:jc w:val="center"/>
              <w:rPr>
                <w:rFonts w:ascii="Arial" w:hAnsi="Arial" w:cs="Arial"/>
              </w:rPr>
            </w:pPr>
            <w:r w:rsidRPr="00F94584">
              <w:rPr>
                <w:rFonts w:ascii="Arial" w:hAnsi="Arial" w:cs="Arial"/>
              </w:rPr>
              <w:t>3</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Altele</w:t>
            </w:r>
          </w:p>
        </w:tc>
        <w:tc>
          <w:tcPr>
            <w:tcW w:w="2506" w:type="dxa"/>
          </w:tcPr>
          <w:p w:rsidR="003F451C" w:rsidRPr="00F94584" w:rsidRDefault="003F451C" w:rsidP="004E468C">
            <w:pPr>
              <w:jc w:val="center"/>
              <w:rPr>
                <w:rFonts w:ascii="Arial" w:hAnsi="Arial" w:cs="Arial"/>
              </w:rPr>
            </w:pPr>
            <w:r w:rsidRPr="00F94584">
              <w:rPr>
                <w:rFonts w:ascii="Arial" w:hAnsi="Arial" w:cs="Arial"/>
              </w:rPr>
              <w:t>12</w:t>
            </w:r>
          </w:p>
        </w:tc>
      </w:tr>
      <w:tr w:rsidR="003F451C" w:rsidRPr="00F94584" w:rsidTr="004E468C">
        <w:trPr>
          <w:jc w:val="center"/>
        </w:trPr>
        <w:tc>
          <w:tcPr>
            <w:tcW w:w="3434" w:type="dxa"/>
          </w:tcPr>
          <w:p w:rsidR="003F451C" w:rsidRPr="00F94584" w:rsidRDefault="003F451C" w:rsidP="004E468C">
            <w:pPr>
              <w:rPr>
                <w:rFonts w:ascii="Arial" w:hAnsi="Arial" w:cs="Arial"/>
              </w:rPr>
            </w:pPr>
            <w:r w:rsidRPr="00F94584">
              <w:rPr>
                <w:rFonts w:ascii="Arial" w:hAnsi="Arial" w:cs="Arial"/>
              </w:rPr>
              <w:t>Total</w:t>
            </w:r>
          </w:p>
        </w:tc>
        <w:tc>
          <w:tcPr>
            <w:tcW w:w="2506" w:type="dxa"/>
          </w:tcPr>
          <w:p w:rsidR="003F451C" w:rsidRPr="00F94584" w:rsidRDefault="003F451C" w:rsidP="004E468C">
            <w:pPr>
              <w:jc w:val="center"/>
              <w:rPr>
                <w:rFonts w:ascii="Arial" w:hAnsi="Arial" w:cs="Arial"/>
              </w:rPr>
            </w:pPr>
            <w:r w:rsidRPr="00F94584">
              <w:rPr>
                <w:rFonts w:ascii="Arial" w:hAnsi="Arial" w:cs="Arial"/>
              </w:rPr>
              <w:t>100 %</w:t>
            </w:r>
          </w:p>
        </w:tc>
      </w:tr>
    </w:tbl>
    <w:p w:rsidR="003F451C" w:rsidRPr="00F94584" w:rsidRDefault="003F451C" w:rsidP="003F451C">
      <w:pPr>
        <w:ind w:firstLine="737"/>
        <w:jc w:val="both"/>
        <w:rPr>
          <w:rFonts w:ascii="Arial" w:hAnsi="Arial" w:cs="Arial"/>
        </w:rPr>
      </w:pPr>
    </w:p>
    <w:p w:rsidR="003F451C" w:rsidRPr="00F94584" w:rsidRDefault="003F451C" w:rsidP="003F451C">
      <w:pPr>
        <w:ind w:firstLine="720"/>
        <w:jc w:val="both"/>
        <w:rPr>
          <w:rFonts w:ascii="Arial" w:hAnsi="Arial" w:cs="Arial"/>
        </w:rPr>
      </w:pPr>
      <w:r w:rsidRPr="00F94584">
        <w:rPr>
          <w:rFonts w:ascii="Arial" w:hAnsi="Arial" w:cs="Arial"/>
        </w:rPr>
        <w:t>Trebuie menţionat faptul că, în judeţul Brăila, colectarea deșeurilor municipale nu este generalizată. În tabelul de mai jos se prezintă evoluţia gradului de conectare la serviciul de salubritate în perioada 2008-2012.</w:t>
      </w:r>
    </w:p>
    <w:p w:rsidR="003F451C" w:rsidRPr="00F94584" w:rsidRDefault="003F451C" w:rsidP="003F451C">
      <w:pPr>
        <w:autoSpaceDE w:val="0"/>
        <w:autoSpaceDN w:val="0"/>
        <w:adjustRightInd w:val="0"/>
        <w:ind w:firstLine="737"/>
        <w:jc w:val="both"/>
        <w:rPr>
          <w:rFonts w:ascii="Arial" w:hAnsi="Arial" w:cs="Arial"/>
          <w:b/>
          <w:lang w:val="it-IT"/>
        </w:rPr>
      </w:pP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eastAsiaTheme="minorHAnsi" w:hAnsi="Arial" w:cs="Arial"/>
          <w:lang w:val="ro-RO"/>
        </w:rPr>
        <w:t xml:space="preserve">Tabel nr. </w:t>
      </w:r>
      <w:r w:rsidRPr="00F94584">
        <w:rPr>
          <w:rFonts w:ascii="Arial" w:hAnsi="Arial" w:cs="Arial"/>
        </w:rPr>
        <w:t xml:space="preserve">VII 1.1- 6 </w:t>
      </w:r>
      <w:r w:rsidRPr="00F94584">
        <w:rPr>
          <w:rFonts w:ascii="Arial" w:eastAsiaTheme="minorHAnsi" w:hAnsi="Arial" w:cs="Arial"/>
          <w:lang w:val="ro-RO"/>
        </w:rPr>
        <w:t>Evoluţia gradului de acoperire cu servicii de salubritate pentru deservirea populaţiei</w:t>
      </w:r>
    </w:p>
    <w:p w:rsidR="003F451C" w:rsidRPr="00F94584" w:rsidRDefault="003F451C" w:rsidP="003F451C">
      <w:pPr>
        <w:autoSpaceDE w:val="0"/>
        <w:autoSpaceDN w:val="0"/>
        <w:adjustRightInd w:val="0"/>
        <w:rPr>
          <w:rFonts w:ascii="Arial" w:eastAsiaTheme="minorHAnsi" w:hAnsi="Arial" w:cs="Arial"/>
          <w:lang w:val="ro-RO"/>
        </w:rPr>
      </w:pPr>
    </w:p>
    <w:tbl>
      <w:tblPr>
        <w:tblStyle w:val="TableGrid"/>
        <w:tblW w:w="0" w:type="auto"/>
        <w:jc w:val="center"/>
        <w:tblInd w:w="2518" w:type="dxa"/>
        <w:tblLook w:val="04A0"/>
      </w:tblPr>
      <w:tblGrid>
        <w:gridCol w:w="1418"/>
        <w:gridCol w:w="1701"/>
        <w:gridCol w:w="1559"/>
        <w:gridCol w:w="1701"/>
      </w:tblGrid>
      <w:tr w:rsidR="003F451C" w:rsidRPr="00F94584" w:rsidTr="004E468C">
        <w:trPr>
          <w:jc w:val="center"/>
        </w:trPr>
        <w:tc>
          <w:tcPr>
            <w:tcW w:w="1418"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Anul</w:t>
            </w:r>
          </w:p>
        </w:tc>
        <w:tc>
          <w:tcPr>
            <w:tcW w:w="1701"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TOTAL</w:t>
            </w:r>
          </w:p>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w:t>
            </w:r>
          </w:p>
        </w:tc>
        <w:tc>
          <w:tcPr>
            <w:tcW w:w="155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URBAN</w:t>
            </w:r>
          </w:p>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w:t>
            </w:r>
          </w:p>
        </w:tc>
        <w:tc>
          <w:tcPr>
            <w:tcW w:w="1701"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RURAL</w:t>
            </w:r>
          </w:p>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w:t>
            </w:r>
          </w:p>
        </w:tc>
      </w:tr>
      <w:tr w:rsidR="003F451C" w:rsidRPr="00F94584" w:rsidTr="004E468C">
        <w:trPr>
          <w:jc w:val="center"/>
        </w:trPr>
        <w:tc>
          <w:tcPr>
            <w:tcW w:w="1418"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2008</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38,40</w:t>
            </w:r>
          </w:p>
        </w:tc>
        <w:tc>
          <w:tcPr>
            <w:tcW w:w="155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59,10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0,00</w:t>
            </w:r>
          </w:p>
        </w:tc>
      </w:tr>
      <w:tr w:rsidR="003F451C" w:rsidRPr="00F94584" w:rsidTr="004E468C">
        <w:trPr>
          <w:jc w:val="center"/>
        </w:trPr>
        <w:tc>
          <w:tcPr>
            <w:tcW w:w="1418"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2009</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49,13</w:t>
            </w:r>
          </w:p>
        </w:tc>
        <w:tc>
          <w:tcPr>
            <w:tcW w:w="155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69,17</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11,90</w:t>
            </w:r>
          </w:p>
        </w:tc>
      </w:tr>
      <w:tr w:rsidR="003F451C" w:rsidRPr="00F94584" w:rsidTr="004E468C">
        <w:trPr>
          <w:jc w:val="center"/>
        </w:trPr>
        <w:tc>
          <w:tcPr>
            <w:tcW w:w="1418"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2010</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58,26</w:t>
            </w:r>
          </w:p>
        </w:tc>
        <w:tc>
          <w:tcPr>
            <w:tcW w:w="155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67,63</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40,85</w:t>
            </w:r>
          </w:p>
        </w:tc>
      </w:tr>
      <w:tr w:rsidR="003F451C" w:rsidRPr="00F94584" w:rsidTr="004E468C">
        <w:trPr>
          <w:jc w:val="center"/>
        </w:trPr>
        <w:tc>
          <w:tcPr>
            <w:tcW w:w="1418"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2011</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80,24</w:t>
            </w:r>
          </w:p>
        </w:tc>
        <w:tc>
          <w:tcPr>
            <w:tcW w:w="155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70,36</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96,60</w:t>
            </w:r>
          </w:p>
        </w:tc>
      </w:tr>
      <w:tr w:rsidR="003F451C" w:rsidRPr="00F94584" w:rsidTr="004E468C">
        <w:trPr>
          <w:jc w:val="center"/>
        </w:trPr>
        <w:tc>
          <w:tcPr>
            <w:tcW w:w="1418"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2012</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93,67</w:t>
            </w:r>
          </w:p>
        </w:tc>
        <w:tc>
          <w:tcPr>
            <w:tcW w:w="155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91,88</w:t>
            </w:r>
          </w:p>
        </w:tc>
        <w:tc>
          <w:tcPr>
            <w:tcW w:w="1701"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96,96</w:t>
            </w:r>
          </w:p>
        </w:tc>
      </w:tr>
    </w:tbl>
    <w:p w:rsidR="003F451C" w:rsidRPr="00F94584" w:rsidRDefault="003F451C" w:rsidP="003F451C">
      <w:pPr>
        <w:autoSpaceDE w:val="0"/>
        <w:autoSpaceDN w:val="0"/>
        <w:adjustRightInd w:val="0"/>
        <w:rPr>
          <w:rFonts w:ascii="Arial" w:eastAsiaTheme="minorHAnsi" w:hAnsi="Arial" w:cs="Arial"/>
          <w:lang w:val="ro-RO"/>
        </w:rPr>
      </w:pP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hAnsi="Arial" w:cs="Arial"/>
          <w:b/>
        </w:rPr>
        <w:lastRenderedPageBreak/>
        <w:t xml:space="preserve">Figura nr. VII.1.1. -5  </w:t>
      </w:r>
      <w:r w:rsidRPr="00F94584">
        <w:rPr>
          <w:rFonts w:ascii="Arial" w:eastAsiaTheme="minorHAnsi" w:hAnsi="Arial" w:cs="Arial"/>
          <w:lang w:val="ro-RO"/>
        </w:rPr>
        <w:t>Evoluţia gradului de acoperire cu servicii de salubritate pentru deservirea populaţiei</w:t>
      </w:r>
    </w:p>
    <w:p w:rsidR="003F451C" w:rsidRPr="00F94584" w:rsidRDefault="003F451C" w:rsidP="003F451C">
      <w:pPr>
        <w:autoSpaceDE w:val="0"/>
        <w:autoSpaceDN w:val="0"/>
        <w:adjustRightInd w:val="0"/>
        <w:rPr>
          <w:rFonts w:ascii="Arial" w:eastAsiaTheme="minorHAnsi" w:hAnsi="Arial" w:cs="Arial"/>
          <w:lang w:val="ro-RO"/>
        </w:rPr>
      </w:pPr>
    </w:p>
    <w:p w:rsidR="003F451C" w:rsidRPr="00F94584" w:rsidRDefault="003F451C" w:rsidP="003F451C">
      <w:pPr>
        <w:autoSpaceDE w:val="0"/>
        <w:autoSpaceDN w:val="0"/>
        <w:adjustRightInd w:val="0"/>
        <w:jc w:val="center"/>
        <w:rPr>
          <w:rFonts w:ascii="Arial" w:eastAsiaTheme="minorHAnsi" w:hAnsi="Arial" w:cs="Arial"/>
          <w:lang w:val="ro-RO"/>
        </w:rPr>
      </w:pPr>
      <w:r w:rsidRPr="00F94584">
        <w:rPr>
          <w:rFonts w:ascii="Arial" w:eastAsiaTheme="minorHAnsi" w:hAnsi="Arial" w:cs="Arial"/>
          <w:noProof/>
          <w:lang w:val="ro-RO" w:eastAsia="ro-RO"/>
        </w:rPr>
        <w:drawing>
          <wp:inline distT="0" distB="0" distL="0" distR="0">
            <wp:extent cx="4366344" cy="2813853"/>
            <wp:effectExtent l="19050" t="0" r="15156" b="5547"/>
            <wp:docPr id="113"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07"/>
              </a:graphicData>
            </a:graphic>
          </wp:inline>
        </w:drawing>
      </w:r>
    </w:p>
    <w:p w:rsidR="003F451C" w:rsidRPr="00F94584" w:rsidRDefault="003F451C" w:rsidP="003F451C">
      <w:pPr>
        <w:ind w:firstLine="737"/>
        <w:jc w:val="both"/>
        <w:rPr>
          <w:rFonts w:ascii="Arial" w:hAnsi="Arial" w:cs="Arial"/>
        </w:rPr>
      </w:pPr>
    </w:p>
    <w:p w:rsidR="003F451C" w:rsidRPr="00F94584" w:rsidRDefault="003F451C" w:rsidP="003F451C">
      <w:pPr>
        <w:ind w:firstLine="737"/>
        <w:jc w:val="both"/>
        <w:rPr>
          <w:rFonts w:ascii="Arial" w:hAnsi="Arial" w:cs="Arial"/>
        </w:rPr>
      </w:pPr>
    </w:p>
    <w:p w:rsidR="003F451C" w:rsidRPr="00F94584" w:rsidRDefault="003F451C" w:rsidP="003F451C">
      <w:pPr>
        <w:ind w:firstLine="737"/>
        <w:jc w:val="both"/>
        <w:rPr>
          <w:rFonts w:ascii="Arial" w:hAnsi="Arial" w:cs="Arial"/>
        </w:rPr>
      </w:pPr>
      <w:r w:rsidRPr="00F94584">
        <w:rPr>
          <w:rFonts w:ascii="Arial" w:hAnsi="Arial" w:cs="Arial"/>
        </w:rPr>
        <w:t>Din informațiile de mai sus rezultă o creștere de la an la an a gradului de conectare  la serviciile de salubritate.</w:t>
      </w:r>
    </w:p>
    <w:p w:rsidR="003F451C" w:rsidRPr="00F94584" w:rsidRDefault="003F451C" w:rsidP="003F451C">
      <w:pPr>
        <w:ind w:firstLine="737"/>
        <w:jc w:val="both"/>
        <w:rPr>
          <w:rFonts w:ascii="Arial" w:hAnsi="Arial" w:cs="Arial"/>
        </w:rPr>
      </w:pPr>
    </w:p>
    <w:p w:rsidR="003F451C" w:rsidRPr="00F94584" w:rsidRDefault="003F451C" w:rsidP="003F451C">
      <w:pPr>
        <w:ind w:firstLine="737"/>
        <w:jc w:val="both"/>
        <w:rPr>
          <w:rFonts w:ascii="Arial" w:hAnsi="Arial" w:cs="Arial"/>
        </w:rPr>
      </w:pPr>
      <w:r w:rsidRPr="00F94584">
        <w:rPr>
          <w:rFonts w:ascii="Arial" w:hAnsi="Arial" w:cs="Arial"/>
        </w:rPr>
        <w:t>Cantităţile de deşeuri generate de populaţia care nu este deservită de servicii de salubritate se calculează utilizând următorii indici de generare: 0,9 kg/loc/zi pentru mediul urban și 0,4 kg/loc/zi pentru mediul rural.</w:t>
      </w:r>
    </w:p>
    <w:p w:rsidR="003F451C" w:rsidRPr="00F94584" w:rsidRDefault="003F451C" w:rsidP="003F451C">
      <w:pPr>
        <w:ind w:firstLine="737"/>
        <w:jc w:val="both"/>
        <w:rPr>
          <w:rFonts w:ascii="Arial" w:hAnsi="Arial" w:cs="Arial"/>
        </w:rPr>
      </w:pPr>
      <w:r w:rsidRPr="00F94584">
        <w:rPr>
          <w:rFonts w:ascii="Arial" w:hAnsi="Arial" w:cs="Arial"/>
        </w:rPr>
        <w:t>Astfel, a fost estimată o cantitate de cca. 7303 tone de deșeuri menajere generată de populația care nu este deservită de servicii de salubritate.</w:t>
      </w: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eastAsiaTheme="minorHAnsi" w:hAnsi="Arial" w:cs="Arial"/>
          <w:lang w:val="ro-RO"/>
        </w:rPr>
        <w:t xml:space="preserve">Tabel nr. </w:t>
      </w:r>
      <w:r w:rsidRPr="00F94584">
        <w:rPr>
          <w:rFonts w:ascii="Arial" w:hAnsi="Arial" w:cs="Arial"/>
        </w:rPr>
        <w:t xml:space="preserve">VII 1.1-7 </w:t>
      </w:r>
      <w:r w:rsidRPr="00F94584">
        <w:rPr>
          <w:rFonts w:ascii="Arial" w:eastAsiaTheme="minorHAnsi" w:hAnsi="Arial" w:cs="Arial"/>
          <w:lang w:val="ro-RO"/>
        </w:rPr>
        <w:t>Evoluţia cantităţilor de deşeuri municipale generate şi necolectate</w:t>
      </w:r>
    </w:p>
    <w:p w:rsidR="003F451C" w:rsidRPr="00F94584" w:rsidRDefault="003F451C" w:rsidP="003F451C">
      <w:pPr>
        <w:autoSpaceDE w:val="0"/>
        <w:autoSpaceDN w:val="0"/>
        <w:adjustRightInd w:val="0"/>
        <w:rPr>
          <w:rFonts w:ascii="Arial" w:eastAsiaTheme="minorHAnsi" w:hAnsi="Arial" w:cs="Arial"/>
          <w:lang w:val="ro-RO"/>
        </w:rPr>
      </w:pPr>
    </w:p>
    <w:tbl>
      <w:tblPr>
        <w:tblStyle w:val="TableGrid"/>
        <w:tblW w:w="0" w:type="auto"/>
        <w:tblLook w:val="04A0"/>
      </w:tblPr>
      <w:tblGrid>
        <w:gridCol w:w="2499"/>
        <w:gridCol w:w="2499"/>
        <w:gridCol w:w="2499"/>
        <w:gridCol w:w="2500"/>
      </w:tblGrid>
      <w:tr w:rsidR="003F451C" w:rsidRPr="00F94584" w:rsidTr="004E468C">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Anul</w:t>
            </w:r>
          </w:p>
        </w:tc>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TOTAL</w:t>
            </w:r>
          </w:p>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[tone]</w:t>
            </w:r>
          </w:p>
        </w:tc>
        <w:tc>
          <w:tcPr>
            <w:tcW w:w="2499"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URBAN</w:t>
            </w:r>
          </w:p>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[tone]</w:t>
            </w:r>
          </w:p>
        </w:tc>
        <w:tc>
          <w:tcPr>
            <w:tcW w:w="2500" w:type="dxa"/>
            <w:shd w:val="clear" w:color="auto" w:fill="BFBFBF" w:themeFill="background1" w:themeFillShade="BF"/>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RURAL</w:t>
            </w:r>
          </w:p>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[tone]</w:t>
            </w:r>
          </w:p>
        </w:tc>
      </w:tr>
      <w:tr w:rsidR="003F451C" w:rsidRPr="00F94584" w:rsidTr="004E468C">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2008</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50164,05</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31640,46</w:t>
            </w:r>
          </w:p>
        </w:tc>
        <w:tc>
          <w:tcPr>
            <w:tcW w:w="2500"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18523,60</w:t>
            </w:r>
          </w:p>
        </w:tc>
      </w:tr>
      <w:tr w:rsidR="003F451C" w:rsidRPr="00F94584" w:rsidTr="004E468C">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2009</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39927,57</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23718,36</w:t>
            </w:r>
          </w:p>
        </w:tc>
        <w:tc>
          <w:tcPr>
            <w:tcW w:w="2500"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16209,21</w:t>
            </w:r>
          </w:p>
        </w:tc>
      </w:tr>
      <w:tr w:rsidR="003F451C" w:rsidRPr="00F94584" w:rsidTr="004E468C">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2010</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33211,97</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22368,55</w:t>
            </w:r>
          </w:p>
        </w:tc>
        <w:tc>
          <w:tcPr>
            <w:tcW w:w="2500"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10843,42</w:t>
            </w:r>
          </w:p>
        </w:tc>
      </w:tr>
      <w:tr w:rsidR="003F451C" w:rsidRPr="00F94584" w:rsidTr="004E468C">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2011</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9633,43</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9567,72</w:t>
            </w:r>
          </w:p>
        </w:tc>
        <w:tc>
          <w:tcPr>
            <w:tcW w:w="2500"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65,70</w:t>
            </w:r>
          </w:p>
        </w:tc>
      </w:tr>
      <w:tr w:rsidR="003F451C" w:rsidRPr="00F94584" w:rsidTr="004E468C">
        <w:tc>
          <w:tcPr>
            <w:tcW w:w="2499" w:type="dxa"/>
          </w:tcPr>
          <w:p w:rsidR="003F451C" w:rsidRPr="00F94584" w:rsidRDefault="003F451C" w:rsidP="004E468C">
            <w:pPr>
              <w:autoSpaceDE w:val="0"/>
              <w:autoSpaceDN w:val="0"/>
              <w:adjustRightInd w:val="0"/>
              <w:jc w:val="center"/>
              <w:rPr>
                <w:rFonts w:ascii="Arial" w:hAnsi="Arial" w:cs="Arial"/>
                <w:b/>
              </w:rPr>
            </w:pPr>
            <w:r w:rsidRPr="00F94584">
              <w:rPr>
                <w:rFonts w:ascii="Arial" w:hAnsi="Arial" w:cs="Arial"/>
                <w:b/>
              </w:rPr>
              <w:t>2012</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7302,66</w:t>
            </w:r>
          </w:p>
        </w:tc>
        <w:tc>
          <w:tcPr>
            <w:tcW w:w="2499"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6538,79</w:t>
            </w:r>
          </w:p>
        </w:tc>
        <w:tc>
          <w:tcPr>
            <w:tcW w:w="2500" w:type="dxa"/>
          </w:tcPr>
          <w:p w:rsidR="003F451C" w:rsidRPr="00F94584" w:rsidRDefault="003F451C" w:rsidP="004E468C">
            <w:pPr>
              <w:autoSpaceDE w:val="0"/>
              <w:autoSpaceDN w:val="0"/>
              <w:adjustRightInd w:val="0"/>
              <w:jc w:val="center"/>
              <w:rPr>
                <w:rFonts w:ascii="Arial" w:hAnsi="Arial" w:cs="Arial"/>
              </w:rPr>
            </w:pPr>
            <w:r w:rsidRPr="00F94584">
              <w:rPr>
                <w:rFonts w:ascii="Arial" w:hAnsi="Arial" w:cs="Arial"/>
              </w:rPr>
              <w:t>763,87</w:t>
            </w:r>
          </w:p>
        </w:tc>
      </w:tr>
    </w:tbl>
    <w:p w:rsidR="003F451C" w:rsidRPr="00F94584" w:rsidRDefault="003F451C" w:rsidP="003F451C">
      <w:pPr>
        <w:autoSpaceDE w:val="0"/>
        <w:autoSpaceDN w:val="0"/>
        <w:adjustRightInd w:val="0"/>
        <w:rPr>
          <w:rFonts w:ascii="Arial" w:eastAsiaTheme="minorHAnsi" w:hAnsi="Arial" w:cs="Arial"/>
          <w:lang w:val="ro-RO"/>
        </w:rPr>
      </w:pPr>
    </w:p>
    <w:p w:rsidR="003F451C" w:rsidRDefault="003F451C" w:rsidP="003F451C">
      <w:pPr>
        <w:autoSpaceDE w:val="0"/>
        <w:autoSpaceDN w:val="0"/>
        <w:adjustRightInd w:val="0"/>
        <w:rPr>
          <w:rFonts w:ascii="Arial" w:hAnsi="Arial" w:cs="Arial"/>
          <w:b/>
        </w:rPr>
      </w:pPr>
    </w:p>
    <w:p w:rsidR="003F451C" w:rsidRPr="00F94584" w:rsidRDefault="003F451C" w:rsidP="003F451C">
      <w:pPr>
        <w:autoSpaceDE w:val="0"/>
        <w:autoSpaceDN w:val="0"/>
        <w:adjustRightInd w:val="0"/>
        <w:rPr>
          <w:rFonts w:ascii="Arial" w:eastAsiaTheme="minorHAnsi" w:hAnsi="Arial" w:cs="Arial"/>
          <w:lang w:val="ro-RO"/>
        </w:rPr>
      </w:pPr>
      <w:r w:rsidRPr="00F94584">
        <w:rPr>
          <w:rFonts w:ascii="Arial" w:hAnsi="Arial" w:cs="Arial"/>
          <w:b/>
        </w:rPr>
        <w:t>Figura nr. VII.1.1. -</w:t>
      </w:r>
      <w:r>
        <w:rPr>
          <w:rFonts w:ascii="Arial" w:hAnsi="Arial" w:cs="Arial"/>
          <w:b/>
        </w:rPr>
        <w:t xml:space="preserve"> </w:t>
      </w:r>
      <w:r w:rsidRPr="00F94584">
        <w:rPr>
          <w:rFonts w:ascii="Arial" w:hAnsi="Arial" w:cs="Arial"/>
          <w:b/>
        </w:rPr>
        <w:t xml:space="preserve">6  </w:t>
      </w:r>
      <w:r w:rsidRPr="00F94584">
        <w:rPr>
          <w:rFonts w:ascii="Arial" w:eastAsiaTheme="minorHAnsi" w:hAnsi="Arial" w:cs="Arial"/>
          <w:lang w:val="ro-RO"/>
        </w:rPr>
        <w:t>Evoluţia cantităţilor de deşeuri municipale generate şi necolectate</w:t>
      </w:r>
    </w:p>
    <w:p w:rsidR="003F451C" w:rsidRPr="00F94584" w:rsidRDefault="003F451C" w:rsidP="003F451C">
      <w:pPr>
        <w:autoSpaceDE w:val="0"/>
        <w:autoSpaceDN w:val="0"/>
        <w:adjustRightInd w:val="0"/>
        <w:rPr>
          <w:rFonts w:ascii="Arial" w:eastAsiaTheme="minorHAnsi" w:hAnsi="Arial" w:cs="Arial"/>
          <w:lang w:val="ro-RO"/>
        </w:rPr>
      </w:pPr>
    </w:p>
    <w:p w:rsidR="003F451C" w:rsidRPr="00F94584" w:rsidRDefault="003F451C" w:rsidP="003F451C">
      <w:pPr>
        <w:autoSpaceDE w:val="0"/>
        <w:autoSpaceDN w:val="0"/>
        <w:adjustRightInd w:val="0"/>
        <w:jc w:val="center"/>
        <w:rPr>
          <w:rFonts w:ascii="Arial" w:eastAsiaTheme="minorHAnsi" w:hAnsi="Arial" w:cs="Arial"/>
          <w:lang w:val="ro-RO"/>
        </w:rPr>
      </w:pPr>
      <w:r w:rsidRPr="00F94584">
        <w:rPr>
          <w:rFonts w:ascii="Arial" w:eastAsiaTheme="minorHAnsi" w:hAnsi="Arial" w:cs="Arial"/>
          <w:noProof/>
          <w:lang w:val="ro-RO" w:eastAsia="ro-RO"/>
        </w:rPr>
        <w:lastRenderedPageBreak/>
        <w:drawing>
          <wp:inline distT="0" distB="0" distL="0" distR="0">
            <wp:extent cx="4792321" cy="2855344"/>
            <wp:effectExtent l="19050" t="0" r="27329" b="2156"/>
            <wp:docPr id="114" name="Chart 6"/>
            <wp:cNvGraphicFramePr/>
            <a:graphic xmlns:a="http://schemas.openxmlformats.org/drawingml/2006/main">
              <a:graphicData uri="http://schemas.openxmlformats.org/drawingml/2006/chart">
                <c:chart xmlns:c="http://schemas.openxmlformats.org/drawingml/2006/chart" xmlns:r="http://schemas.openxmlformats.org/officeDocument/2006/relationships" r:id="rId108"/>
              </a:graphicData>
            </a:graphic>
          </wp:inline>
        </w:drawing>
      </w:r>
    </w:p>
    <w:p w:rsidR="003F451C" w:rsidRPr="00F94584" w:rsidRDefault="003F451C" w:rsidP="003F451C">
      <w:pPr>
        <w:autoSpaceDE w:val="0"/>
        <w:autoSpaceDN w:val="0"/>
        <w:adjustRightInd w:val="0"/>
        <w:rPr>
          <w:rFonts w:ascii="Arial" w:eastAsia="Times New Roman" w:hAnsi="Arial" w:cs="Arial"/>
          <w:lang w:val="ro-RO" w:eastAsia="ro-RO"/>
        </w:rPr>
      </w:pPr>
    </w:p>
    <w:p w:rsidR="003F451C" w:rsidRPr="00F94584" w:rsidRDefault="003F451C" w:rsidP="003F451C">
      <w:pPr>
        <w:rPr>
          <w:rFonts w:ascii="Arial" w:hAnsi="Arial" w:cs="Arial"/>
        </w:rPr>
      </w:pPr>
      <w:r w:rsidRPr="00F94584">
        <w:rPr>
          <w:rFonts w:ascii="Arial" w:eastAsiaTheme="minorHAnsi" w:hAnsi="Arial" w:cs="Arial"/>
          <w:lang w:val="ro-RO"/>
        </w:rPr>
        <w:t xml:space="preserve">Tabel nr. </w:t>
      </w:r>
      <w:r w:rsidRPr="00F94584">
        <w:rPr>
          <w:rFonts w:ascii="Arial" w:hAnsi="Arial" w:cs="Arial"/>
        </w:rPr>
        <w:t xml:space="preserve">VII 1.1- 8 </w:t>
      </w:r>
      <w:r w:rsidRPr="00F94584">
        <w:rPr>
          <w:rFonts w:ascii="Arial" w:hAnsi="Arial" w:cs="Arial"/>
          <w:b/>
        </w:rPr>
        <w:t xml:space="preserve">- </w:t>
      </w:r>
      <w:r w:rsidRPr="00F94584">
        <w:rPr>
          <w:rFonts w:ascii="Arial" w:hAnsi="Arial" w:cs="Arial"/>
        </w:rPr>
        <w:t>Deşeuri municipale generate 2008 – 2012</w:t>
      </w:r>
    </w:p>
    <w:p w:rsidR="003F451C" w:rsidRPr="00F94584" w:rsidRDefault="003F451C" w:rsidP="003F451C">
      <w:pPr>
        <w:rPr>
          <w:rFonts w:ascii="Arial" w:hAnsi="Arial" w:cs="Arial"/>
        </w:rPr>
      </w:pPr>
    </w:p>
    <w:p w:rsidR="003F451C" w:rsidRPr="00F94584" w:rsidRDefault="003F451C" w:rsidP="003F451C">
      <w:pPr>
        <w:rPr>
          <w:rFonts w:ascii="Arial" w:hAnsi="Arial" w:cs="Arial"/>
          <w:b/>
        </w:rPr>
      </w:pPr>
    </w:p>
    <w:tbl>
      <w:tblPr>
        <w:tblStyle w:val="TableGrid"/>
        <w:tblW w:w="0" w:type="auto"/>
        <w:jc w:val="center"/>
        <w:tblInd w:w="959" w:type="dxa"/>
        <w:tblLook w:val="04A0"/>
      </w:tblPr>
      <w:tblGrid>
        <w:gridCol w:w="1012"/>
        <w:gridCol w:w="2808"/>
        <w:gridCol w:w="884"/>
        <w:gridCol w:w="884"/>
        <w:gridCol w:w="939"/>
        <w:gridCol w:w="986"/>
        <w:gridCol w:w="992"/>
      </w:tblGrid>
      <w:tr w:rsidR="003F451C" w:rsidRPr="00F94584" w:rsidTr="004E468C">
        <w:trPr>
          <w:jc w:val="center"/>
        </w:trPr>
        <w:tc>
          <w:tcPr>
            <w:tcW w:w="1012" w:type="dxa"/>
            <w:shd w:val="clear" w:color="auto" w:fill="BFBFBF" w:themeFill="background1" w:themeFillShade="BF"/>
          </w:tcPr>
          <w:p w:rsidR="003F451C" w:rsidRPr="00F94584" w:rsidRDefault="003F451C" w:rsidP="004E468C">
            <w:pPr>
              <w:rPr>
                <w:rFonts w:ascii="Arial" w:hAnsi="Arial" w:cs="Arial"/>
                <w:b/>
                <w:sz w:val="20"/>
                <w:szCs w:val="20"/>
              </w:rPr>
            </w:pPr>
          </w:p>
        </w:tc>
        <w:tc>
          <w:tcPr>
            <w:tcW w:w="2808" w:type="dxa"/>
            <w:shd w:val="clear" w:color="auto" w:fill="BFBFBF" w:themeFill="background1" w:themeFillShade="BF"/>
          </w:tcPr>
          <w:p w:rsidR="003F451C" w:rsidRPr="00F94584" w:rsidRDefault="003F451C" w:rsidP="004E468C">
            <w:pPr>
              <w:rPr>
                <w:rFonts w:ascii="Arial" w:hAnsi="Arial" w:cs="Arial"/>
                <w:b/>
                <w:sz w:val="20"/>
                <w:szCs w:val="20"/>
              </w:rPr>
            </w:pPr>
            <w:r w:rsidRPr="00F94584">
              <w:rPr>
                <w:rFonts w:ascii="Arial" w:hAnsi="Arial" w:cs="Arial"/>
                <w:b/>
                <w:sz w:val="20"/>
                <w:szCs w:val="20"/>
              </w:rPr>
              <w:t>Deşeuri municipale</w:t>
            </w:r>
          </w:p>
        </w:tc>
        <w:tc>
          <w:tcPr>
            <w:tcW w:w="884" w:type="dxa"/>
            <w:shd w:val="clear" w:color="auto" w:fill="BFBFBF" w:themeFill="background1" w:themeFillShade="BF"/>
          </w:tcPr>
          <w:p w:rsidR="003F451C" w:rsidRPr="00F94584" w:rsidRDefault="003F451C" w:rsidP="004E468C">
            <w:pPr>
              <w:jc w:val="center"/>
              <w:rPr>
                <w:rFonts w:ascii="Arial" w:hAnsi="Arial" w:cs="Arial"/>
                <w:b/>
                <w:sz w:val="20"/>
                <w:szCs w:val="20"/>
              </w:rPr>
            </w:pPr>
            <w:r w:rsidRPr="00F94584">
              <w:rPr>
                <w:rFonts w:ascii="Arial" w:hAnsi="Arial" w:cs="Arial"/>
                <w:b/>
                <w:sz w:val="20"/>
                <w:szCs w:val="20"/>
              </w:rPr>
              <w:t xml:space="preserve">2008 </w:t>
            </w:r>
          </w:p>
          <w:p w:rsidR="003F451C" w:rsidRPr="00F94584" w:rsidRDefault="003F451C" w:rsidP="004E468C">
            <w:pPr>
              <w:jc w:val="center"/>
              <w:rPr>
                <w:rFonts w:ascii="Arial" w:hAnsi="Arial" w:cs="Arial"/>
                <w:b/>
                <w:sz w:val="20"/>
                <w:szCs w:val="20"/>
              </w:rPr>
            </w:pPr>
            <w:r w:rsidRPr="00F94584">
              <w:rPr>
                <w:rFonts w:ascii="Arial" w:hAnsi="Arial" w:cs="Arial"/>
                <w:b/>
                <w:sz w:val="20"/>
                <w:szCs w:val="20"/>
              </w:rPr>
              <w:sym w:font="Symbol" w:char="F05B"/>
            </w:r>
            <w:r w:rsidRPr="00F94584">
              <w:rPr>
                <w:rFonts w:ascii="Arial" w:hAnsi="Arial" w:cs="Arial"/>
                <w:b/>
                <w:sz w:val="20"/>
                <w:szCs w:val="20"/>
              </w:rPr>
              <w:t>t</w:t>
            </w:r>
            <w:r w:rsidRPr="00F94584">
              <w:rPr>
                <w:rFonts w:ascii="Arial" w:hAnsi="Arial" w:cs="Arial"/>
                <w:b/>
                <w:sz w:val="20"/>
                <w:szCs w:val="20"/>
              </w:rPr>
              <w:sym w:font="Symbol" w:char="F05D"/>
            </w:r>
          </w:p>
        </w:tc>
        <w:tc>
          <w:tcPr>
            <w:tcW w:w="884" w:type="dxa"/>
            <w:shd w:val="clear" w:color="auto" w:fill="BFBFBF" w:themeFill="background1" w:themeFillShade="BF"/>
          </w:tcPr>
          <w:p w:rsidR="003F451C" w:rsidRPr="00F94584" w:rsidRDefault="003F451C" w:rsidP="004E468C">
            <w:pPr>
              <w:jc w:val="center"/>
              <w:rPr>
                <w:rFonts w:ascii="Arial" w:hAnsi="Arial" w:cs="Arial"/>
                <w:b/>
                <w:sz w:val="20"/>
                <w:szCs w:val="20"/>
              </w:rPr>
            </w:pPr>
            <w:r w:rsidRPr="00F94584">
              <w:rPr>
                <w:rFonts w:ascii="Arial" w:hAnsi="Arial" w:cs="Arial"/>
                <w:b/>
                <w:sz w:val="20"/>
                <w:szCs w:val="20"/>
              </w:rPr>
              <w:t>2009</w:t>
            </w:r>
          </w:p>
          <w:p w:rsidR="003F451C" w:rsidRPr="00F94584" w:rsidRDefault="003F451C" w:rsidP="004E468C">
            <w:pPr>
              <w:jc w:val="center"/>
              <w:rPr>
                <w:rFonts w:ascii="Arial" w:hAnsi="Arial" w:cs="Arial"/>
                <w:b/>
                <w:sz w:val="20"/>
                <w:szCs w:val="20"/>
              </w:rPr>
            </w:pPr>
            <w:r w:rsidRPr="00F94584">
              <w:rPr>
                <w:rFonts w:ascii="Arial" w:hAnsi="Arial" w:cs="Arial"/>
                <w:b/>
                <w:sz w:val="20"/>
                <w:szCs w:val="20"/>
              </w:rPr>
              <w:sym w:font="Symbol" w:char="F05B"/>
            </w:r>
            <w:r w:rsidRPr="00F94584">
              <w:rPr>
                <w:rFonts w:ascii="Arial" w:hAnsi="Arial" w:cs="Arial"/>
                <w:b/>
                <w:sz w:val="20"/>
                <w:szCs w:val="20"/>
              </w:rPr>
              <w:t>t</w:t>
            </w:r>
            <w:r w:rsidRPr="00F94584">
              <w:rPr>
                <w:rFonts w:ascii="Arial" w:hAnsi="Arial" w:cs="Arial"/>
                <w:b/>
                <w:sz w:val="20"/>
                <w:szCs w:val="20"/>
              </w:rPr>
              <w:sym w:font="Symbol" w:char="F05D"/>
            </w:r>
          </w:p>
        </w:tc>
        <w:tc>
          <w:tcPr>
            <w:tcW w:w="939" w:type="dxa"/>
            <w:shd w:val="clear" w:color="auto" w:fill="BFBFBF" w:themeFill="background1" w:themeFillShade="BF"/>
          </w:tcPr>
          <w:p w:rsidR="003F451C" w:rsidRPr="00F94584" w:rsidRDefault="003F451C" w:rsidP="004E468C">
            <w:pPr>
              <w:jc w:val="center"/>
              <w:rPr>
                <w:rFonts w:ascii="Arial" w:hAnsi="Arial" w:cs="Arial"/>
                <w:b/>
                <w:sz w:val="20"/>
                <w:szCs w:val="20"/>
              </w:rPr>
            </w:pPr>
            <w:r w:rsidRPr="00F94584">
              <w:rPr>
                <w:rFonts w:ascii="Arial" w:hAnsi="Arial" w:cs="Arial"/>
                <w:b/>
                <w:sz w:val="20"/>
                <w:szCs w:val="20"/>
              </w:rPr>
              <w:t>2010</w:t>
            </w:r>
          </w:p>
          <w:p w:rsidR="003F451C" w:rsidRPr="00F94584" w:rsidRDefault="003F451C" w:rsidP="004E468C">
            <w:pPr>
              <w:jc w:val="center"/>
              <w:rPr>
                <w:rFonts w:ascii="Arial" w:hAnsi="Arial" w:cs="Arial"/>
                <w:b/>
                <w:sz w:val="20"/>
                <w:szCs w:val="20"/>
              </w:rPr>
            </w:pPr>
            <w:r w:rsidRPr="00F94584">
              <w:rPr>
                <w:rFonts w:ascii="Arial" w:hAnsi="Arial" w:cs="Arial"/>
                <w:b/>
                <w:sz w:val="20"/>
                <w:szCs w:val="20"/>
              </w:rPr>
              <w:sym w:font="Symbol" w:char="F05B"/>
            </w:r>
            <w:r w:rsidRPr="00F94584">
              <w:rPr>
                <w:rFonts w:ascii="Arial" w:hAnsi="Arial" w:cs="Arial"/>
                <w:b/>
                <w:sz w:val="20"/>
                <w:szCs w:val="20"/>
              </w:rPr>
              <w:t>t</w:t>
            </w:r>
            <w:r w:rsidRPr="00F94584">
              <w:rPr>
                <w:rFonts w:ascii="Arial" w:hAnsi="Arial" w:cs="Arial"/>
                <w:b/>
                <w:sz w:val="20"/>
                <w:szCs w:val="20"/>
              </w:rPr>
              <w:sym w:font="Symbol" w:char="F05D"/>
            </w:r>
          </w:p>
        </w:tc>
        <w:tc>
          <w:tcPr>
            <w:tcW w:w="986" w:type="dxa"/>
            <w:shd w:val="clear" w:color="auto" w:fill="BFBFBF" w:themeFill="background1" w:themeFillShade="BF"/>
          </w:tcPr>
          <w:p w:rsidR="003F451C" w:rsidRPr="00F94584" w:rsidRDefault="003F451C" w:rsidP="004E468C">
            <w:pPr>
              <w:jc w:val="center"/>
              <w:rPr>
                <w:rFonts w:ascii="Arial" w:hAnsi="Arial" w:cs="Arial"/>
                <w:b/>
                <w:sz w:val="20"/>
                <w:szCs w:val="20"/>
              </w:rPr>
            </w:pPr>
            <w:r w:rsidRPr="00F94584">
              <w:rPr>
                <w:rFonts w:ascii="Arial" w:hAnsi="Arial" w:cs="Arial"/>
                <w:b/>
                <w:sz w:val="20"/>
                <w:szCs w:val="20"/>
              </w:rPr>
              <w:t xml:space="preserve">2011 </w:t>
            </w:r>
          </w:p>
          <w:p w:rsidR="003F451C" w:rsidRPr="00F94584" w:rsidRDefault="003F451C" w:rsidP="004E468C">
            <w:pPr>
              <w:jc w:val="center"/>
              <w:rPr>
                <w:rFonts w:ascii="Arial" w:hAnsi="Arial" w:cs="Arial"/>
                <w:b/>
                <w:sz w:val="20"/>
                <w:szCs w:val="20"/>
              </w:rPr>
            </w:pPr>
            <w:r w:rsidRPr="00F94584">
              <w:rPr>
                <w:rFonts w:ascii="Arial" w:hAnsi="Arial" w:cs="Arial"/>
                <w:b/>
                <w:sz w:val="20"/>
                <w:szCs w:val="20"/>
              </w:rPr>
              <w:sym w:font="Symbol" w:char="F05B"/>
            </w:r>
            <w:r w:rsidRPr="00F94584">
              <w:rPr>
                <w:rFonts w:ascii="Arial" w:hAnsi="Arial" w:cs="Arial"/>
                <w:b/>
                <w:sz w:val="20"/>
                <w:szCs w:val="20"/>
              </w:rPr>
              <w:t>t</w:t>
            </w:r>
            <w:r w:rsidRPr="00F94584">
              <w:rPr>
                <w:rFonts w:ascii="Arial" w:hAnsi="Arial" w:cs="Arial"/>
                <w:b/>
                <w:sz w:val="20"/>
                <w:szCs w:val="20"/>
              </w:rPr>
              <w:sym w:font="Symbol" w:char="F05D"/>
            </w:r>
          </w:p>
        </w:tc>
        <w:tc>
          <w:tcPr>
            <w:tcW w:w="992" w:type="dxa"/>
            <w:shd w:val="clear" w:color="auto" w:fill="BFBFBF" w:themeFill="background1" w:themeFillShade="BF"/>
          </w:tcPr>
          <w:p w:rsidR="003F451C" w:rsidRPr="00F94584" w:rsidRDefault="003F451C" w:rsidP="004E468C">
            <w:pPr>
              <w:jc w:val="center"/>
              <w:rPr>
                <w:rFonts w:ascii="Arial" w:hAnsi="Arial" w:cs="Arial"/>
                <w:b/>
                <w:sz w:val="20"/>
                <w:szCs w:val="20"/>
              </w:rPr>
            </w:pPr>
            <w:r w:rsidRPr="00F94584">
              <w:rPr>
                <w:rFonts w:ascii="Arial" w:hAnsi="Arial" w:cs="Arial"/>
                <w:b/>
                <w:sz w:val="20"/>
                <w:szCs w:val="20"/>
              </w:rPr>
              <w:t xml:space="preserve">2012 </w:t>
            </w:r>
          </w:p>
          <w:p w:rsidR="003F451C" w:rsidRPr="00F94584" w:rsidRDefault="003F451C" w:rsidP="004E468C">
            <w:pPr>
              <w:jc w:val="center"/>
              <w:rPr>
                <w:rFonts w:ascii="Arial" w:hAnsi="Arial" w:cs="Arial"/>
                <w:b/>
                <w:sz w:val="20"/>
                <w:szCs w:val="20"/>
              </w:rPr>
            </w:pPr>
            <w:r w:rsidRPr="00F94584">
              <w:rPr>
                <w:rFonts w:ascii="Arial" w:hAnsi="Arial" w:cs="Arial"/>
                <w:b/>
                <w:sz w:val="20"/>
                <w:szCs w:val="20"/>
              </w:rPr>
              <w:sym w:font="Symbol" w:char="F05B"/>
            </w:r>
            <w:r w:rsidRPr="00F94584">
              <w:rPr>
                <w:rFonts w:ascii="Arial" w:hAnsi="Arial" w:cs="Arial"/>
                <w:b/>
                <w:sz w:val="20"/>
                <w:szCs w:val="20"/>
              </w:rPr>
              <w:t>t</w:t>
            </w:r>
            <w:r w:rsidRPr="00F94584">
              <w:rPr>
                <w:rFonts w:ascii="Arial" w:hAnsi="Arial" w:cs="Arial"/>
                <w:b/>
                <w:sz w:val="20"/>
                <w:szCs w:val="20"/>
              </w:rPr>
              <w:sym w:font="Symbol" w:char="F05D"/>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1</w:t>
            </w:r>
          </w:p>
        </w:tc>
        <w:tc>
          <w:tcPr>
            <w:tcW w:w="2808" w:type="dxa"/>
          </w:tcPr>
          <w:p w:rsidR="003F451C" w:rsidRPr="00F94584" w:rsidRDefault="003F451C" w:rsidP="004E468C">
            <w:pPr>
              <w:rPr>
                <w:rFonts w:ascii="Arial" w:hAnsi="Arial" w:cs="Arial"/>
                <w:b/>
                <w:sz w:val="20"/>
                <w:szCs w:val="20"/>
              </w:rPr>
            </w:pPr>
            <w:r w:rsidRPr="00F94584">
              <w:rPr>
                <w:rFonts w:ascii="Arial" w:hAnsi="Arial" w:cs="Arial"/>
                <w:sz w:val="20"/>
                <w:szCs w:val="20"/>
              </w:rPr>
              <w:t>Deşeuri menajere colectate</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54244</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48570</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59488</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50712</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49271</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1.1</w:t>
            </w:r>
          </w:p>
        </w:tc>
        <w:tc>
          <w:tcPr>
            <w:tcW w:w="2808" w:type="dxa"/>
          </w:tcPr>
          <w:p w:rsidR="003F451C" w:rsidRPr="00F94584" w:rsidRDefault="003F451C" w:rsidP="00882FB1">
            <w:pPr>
              <w:numPr>
                <w:ilvl w:val="0"/>
                <w:numId w:val="66"/>
              </w:numPr>
              <w:rPr>
                <w:rFonts w:ascii="Arial" w:hAnsi="Arial" w:cs="Arial"/>
                <w:sz w:val="20"/>
                <w:szCs w:val="20"/>
              </w:rPr>
            </w:pPr>
            <w:r w:rsidRPr="00F94584">
              <w:rPr>
                <w:rFonts w:ascii="Arial" w:hAnsi="Arial" w:cs="Arial"/>
                <w:sz w:val="20"/>
                <w:szCs w:val="20"/>
              </w:rPr>
              <w:t>în amestec</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54244</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48570</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59413,3</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50620,5</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49161,3</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1.2</w:t>
            </w:r>
          </w:p>
        </w:tc>
        <w:tc>
          <w:tcPr>
            <w:tcW w:w="2808" w:type="dxa"/>
          </w:tcPr>
          <w:p w:rsidR="003F451C" w:rsidRPr="00F94584" w:rsidRDefault="003F451C" w:rsidP="00882FB1">
            <w:pPr>
              <w:numPr>
                <w:ilvl w:val="0"/>
                <w:numId w:val="66"/>
              </w:numPr>
              <w:rPr>
                <w:rFonts w:ascii="Arial" w:hAnsi="Arial" w:cs="Arial"/>
                <w:sz w:val="20"/>
                <w:szCs w:val="20"/>
              </w:rPr>
            </w:pPr>
            <w:r w:rsidRPr="00F94584">
              <w:rPr>
                <w:rFonts w:ascii="Arial" w:hAnsi="Arial" w:cs="Arial"/>
                <w:sz w:val="20"/>
                <w:szCs w:val="20"/>
              </w:rPr>
              <w:t>selectiv</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0</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0</w:t>
            </w:r>
          </w:p>
        </w:tc>
        <w:tc>
          <w:tcPr>
            <w:tcW w:w="939" w:type="dxa"/>
          </w:tcPr>
          <w:p w:rsidR="003F451C" w:rsidRPr="00B86C8F" w:rsidRDefault="003F451C" w:rsidP="004E468C">
            <w:pPr>
              <w:jc w:val="center"/>
              <w:rPr>
                <w:rFonts w:ascii="Arial" w:hAnsi="Arial" w:cs="Arial"/>
                <w:sz w:val="20"/>
                <w:szCs w:val="20"/>
              </w:rPr>
            </w:pPr>
            <w:r w:rsidRPr="00B86C8F">
              <w:rPr>
                <w:rFonts w:ascii="Arial" w:hAnsi="Arial" w:cs="Arial"/>
                <w:sz w:val="20"/>
                <w:szCs w:val="20"/>
                <w:lang w:val="it-IT"/>
              </w:rPr>
              <w:t>74,7</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91,5</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109,7</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2</w:t>
            </w:r>
          </w:p>
        </w:tc>
        <w:tc>
          <w:tcPr>
            <w:tcW w:w="2808" w:type="dxa"/>
          </w:tcPr>
          <w:p w:rsidR="003F451C" w:rsidRPr="00F94584" w:rsidRDefault="003F451C" w:rsidP="004E468C">
            <w:pPr>
              <w:rPr>
                <w:rFonts w:ascii="Arial" w:hAnsi="Arial" w:cs="Arial"/>
                <w:b/>
                <w:sz w:val="20"/>
                <w:szCs w:val="20"/>
              </w:rPr>
            </w:pPr>
            <w:r w:rsidRPr="00F94584">
              <w:rPr>
                <w:rFonts w:ascii="Arial" w:hAnsi="Arial" w:cs="Arial"/>
                <w:sz w:val="20"/>
                <w:szCs w:val="20"/>
                <w:lang w:val="it-IT"/>
              </w:rPr>
              <w:t>Deşeuri din servicii municipale (stradale, pieţe, grădini, parcuri şi spaţii verzi)</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16238</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18089</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14279</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14072</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16710</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3</w:t>
            </w:r>
          </w:p>
        </w:tc>
        <w:tc>
          <w:tcPr>
            <w:tcW w:w="2808" w:type="dxa"/>
          </w:tcPr>
          <w:p w:rsidR="003F451C" w:rsidRPr="00F94584" w:rsidRDefault="003F451C" w:rsidP="004E468C">
            <w:pPr>
              <w:rPr>
                <w:rFonts w:ascii="Arial" w:hAnsi="Arial" w:cs="Arial"/>
                <w:sz w:val="20"/>
                <w:szCs w:val="20"/>
              </w:rPr>
            </w:pPr>
            <w:r w:rsidRPr="00F94584">
              <w:rPr>
                <w:rFonts w:ascii="Arial" w:hAnsi="Arial" w:cs="Arial"/>
                <w:sz w:val="20"/>
                <w:szCs w:val="20"/>
              </w:rPr>
              <w:t>Deşeuri din construcţii şi demolări</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0</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12790</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10853</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10051</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4990</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4=1+2+3</w:t>
            </w:r>
          </w:p>
        </w:tc>
        <w:tc>
          <w:tcPr>
            <w:tcW w:w="2808" w:type="dxa"/>
          </w:tcPr>
          <w:p w:rsidR="003F451C" w:rsidRPr="00F94584" w:rsidRDefault="003F451C" w:rsidP="004E468C">
            <w:pPr>
              <w:rPr>
                <w:rFonts w:ascii="Arial" w:hAnsi="Arial" w:cs="Arial"/>
                <w:sz w:val="20"/>
                <w:szCs w:val="20"/>
              </w:rPr>
            </w:pPr>
            <w:r w:rsidRPr="00F94584">
              <w:rPr>
                <w:rFonts w:ascii="Arial" w:hAnsi="Arial" w:cs="Arial"/>
                <w:sz w:val="20"/>
                <w:szCs w:val="20"/>
              </w:rPr>
              <w:t>Total deşeuri municipale colectate</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70482</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79449</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84620</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74835</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70971</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5</w:t>
            </w:r>
          </w:p>
        </w:tc>
        <w:tc>
          <w:tcPr>
            <w:tcW w:w="2808" w:type="dxa"/>
          </w:tcPr>
          <w:p w:rsidR="003F451C" w:rsidRPr="00F94584" w:rsidRDefault="003F451C" w:rsidP="004E468C">
            <w:pPr>
              <w:rPr>
                <w:rFonts w:ascii="Arial" w:hAnsi="Arial" w:cs="Arial"/>
                <w:sz w:val="20"/>
                <w:szCs w:val="20"/>
              </w:rPr>
            </w:pPr>
            <w:r w:rsidRPr="00F94584">
              <w:rPr>
                <w:rFonts w:ascii="Arial" w:hAnsi="Arial" w:cs="Arial"/>
                <w:sz w:val="20"/>
                <w:szCs w:val="20"/>
              </w:rPr>
              <w:t>Deşeuri menajere necolectate</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50164</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39927</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33212</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9633</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7302</w:t>
            </w:r>
          </w:p>
        </w:tc>
      </w:tr>
      <w:tr w:rsidR="003F451C" w:rsidRPr="00F94584" w:rsidTr="004E468C">
        <w:trPr>
          <w:jc w:val="center"/>
        </w:trPr>
        <w:tc>
          <w:tcPr>
            <w:tcW w:w="1012" w:type="dxa"/>
          </w:tcPr>
          <w:p w:rsidR="003F451C" w:rsidRPr="00F94584" w:rsidRDefault="003F451C" w:rsidP="004E468C">
            <w:pPr>
              <w:rPr>
                <w:rFonts w:ascii="Arial" w:hAnsi="Arial" w:cs="Arial"/>
                <w:b/>
                <w:sz w:val="20"/>
                <w:szCs w:val="20"/>
              </w:rPr>
            </w:pPr>
            <w:r w:rsidRPr="00F94584">
              <w:rPr>
                <w:rFonts w:ascii="Arial" w:hAnsi="Arial" w:cs="Arial"/>
                <w:b/>
                <w:sz w:val="20"/>
                <w:szCs w:val="20"/>
              </w:rPr>
              <w:t>6=4+5</w:t>
            </w:r>
          </w:p>
        </w:tc>
        <w:tc>
          <w:tcPr>
            <w:tcW w:w="2808" w:type="dxa"/>
          </w:tcPr>
          <w:p w:rsidR="003F451C" w:rsidRPr="00F94584" w:rsidRDefault="003F451C" w:rsidP="004E468C">
            <w:pPr>
              <w:rPr>
                <w:rFonts w:ascii="Arial" w:hAnsi="Arial" w:cs="Arial"/>
                <w:sz w:val="20"/>
                <w:szCs w:val="20"/>
              </w:rPr>
            </w:pPr>
            <w:r w:rsidRPr="00F94584">
              <w:rPr>
                <w:rFonts w:ascii="Arial" w:hAnsi="Arial" w:cs="Arial"/>
                <w:sz w:val="20"/>
                <w:szCs w:val="20"/>
              </w:rPr>
              <w:t>Total deşeuri municipale generate</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120646</w:t>
            </w:r>
          </w:p>
        </w:tc>
        <w:tc>
          <w:tcPr>
            <w:tcW w:w="884" w:type="dxa"/>
          </w:tcPr>
          <w:p w:rsidR="003F451C" w:rsidRPr="00B86C8F" w:rsidRDefault="003F451C" w:rsidP="004E468C">
            <w:pPr>
              <w:rPr>
                <w:rFonts w:ascii="Arial" w:hAnsi="Arial" w:cs="Arial"/>
                <w:sz w:val="20"/>
                <w:szCs w:val="20"/>
              </w:rPr>
            </w:pPr>
            <w:r w:rsidRPr="00B86C8F">
              <w:rPr>
                <w:rFonts w:ascii="Arial" w:hAnsi="Arial" w:cs="Arial"/>
                <w:sz w:val="20"/>
                <w:szCs w:val="20"/>
              </w:rPr>
              <w:t>119376</w:t>
            </w:r>
          </w:p>
        </w:tc>
        <w:tc>
          <w:tcPr>
            <w:tcW w:w="939" w:type="dxa"/>
          </w:tcPr>
          <w:p w:rsidR="003F451C" w:rsidRPr="00B86C8F" w:rsidRDefault="003F451C" w:rsidP="004E468C">
            <w:pPr>
              <w:rPr>
                <w:rFonts w:ascii="Arial" w:hAnsi="Arial" w:cs="Arial"/>
                <w:sz w:val="20"/>
                <w:szCs w:val="20"/>
              </w:rPr>
            </w:pPr>
            <w:r w:rsidRPr="00B86C8F">
              <w:rPr>
                <w:rFonts w:ascii="Arial" w:hAnsi="Arial" w:cs="Arial"/>
                <w:sz w:val="20"/>
                <w:szCs w:val="20"/>
              </w:rPr>
              <w:t>117832</w:t>
            </w:r>
          </w:p>
        </w:tc>
        <w:tc>
          <w:tcPr>
            <w:tcW w:w="986" w:type="dxa"/>
          </w:tcPr>
          <w:p w:rsidR="003F451C" w:rsidRPr="00B86C8F" w:rsidRDefault="003F451C" w:rsidP="004E468C">
            <w:pPr>
              <w:rPr>
                <w:rFonts w:ascii="Arial" w:hAnsi="Arial" w:cs="Arial"/>
                <w:sz w:val="20"/>
                <w:szCs w:val="20"/>
              </w:rPr>
            </w:pPr>
            <w:r w:rsidRPr="00B86C8F">
              <w:rPr>
                <w:rFonts w:ascii="Arial" w:hAnsi="Arial" w:cs="Arial"/>
                <w:sz w:val="20"/>
                <w:szCs w:val="20"/>
              </w:rPr>
              <w:t>84468</w:t>
            </w:r>
          </w:p>
        </w:tc>
        <w:tc>
          <w:tcPr>
            <w:tcW w:w="992" w:type="dxa"/>
          </w:tcPr>
          <w:p w:rsidR="003F451C" w:rsidRPr="00B86C8F" w:rsidRDefault="003F451C" w:rsidP="004E468C">
            <w:pPr>
              <w:rPr>
                <w:rFonts w:ascii="Arial" w:hAnsi="Arial" w:cs="Arial"/>
                <w:sz w:val="20"/>
                <w:szCs w:val="20"/>
              </w:rPr>
            </w:pPr>
            <w:r w:rsidRPr="00B86C8F">
              <w:rPr>
                <w:rFonts w:ascii="Arial" w:hAnsi="Arial" w:cs="Arial"/>
                <w:sz w:val="20"/>
                <w:szCs w:val="20"/>
              </w:rPr>
              <w:t>78273</w:t>
            </w:r>
          </w:p>
        </w:tc>
      </w:tr>
    </w:tbl>
    <w:p w:rsidR="003F451C" w:rsidRPr="00F94584" w:rsidRDefault="003F451C" w:rsidP="003F451C">
      <w:pPr>
        <w:rPr>
          <w:rFonts w:ascii="Arial" w:hAnsi="Arial" w:cs="Arial"/>
          <w:b/>
        </w:rPr>
      </w:pPr>
    </w:p>
    <w:p w:rsidR="003F451C" w:rsidRPr="00F94584" w:rsidRDefault="003F451C" w:rsidP="003F451C">
      <w:pPr>
        <w:ind w:firstLine="737"/>
        <w:jc w:val="both"/>
        <w:rPr>
          <w:rFonts w:ascii="Arial" w:hAnsi="Arial" w:cs="Arial"/>
          <w:b/>
          <w:i/>
        </w:rPr>
      </w:pPr>
    </w:p>
    <w:p w:rsidR="003F451C" w:rsidRPr="00F94584" w:rsidRDefault="003F451C" w:rsidP="003F451C">
      <w:pPr>
        <w:ind w:firstLine="737"/>
        <w:jc w:val="both"/>
        <w:rPr>
          <w:rFonts w:ascii="Arial" w:hAnsi="Arial" w:cs="Arial"/>
          <w:b/>
          <w:i/>
        </w:rPr>
      </w:pPr>
      <w:r w:rsidRPr="00F94584">
        <w:rPr>
          <w:rFonts w:ascii="Arial" w:hAnsi="Arial" w:cs="Arial"/>
          <w:b/>
          <w:i/>
        </w:rPr>
        <w:t>Gestionarea deșeurilor municipale</w:t>
      </w:r>
    </w:p>
    <w:p w:rsidR="003F451C" w:rsidRPr="00F94584" w:rsidRDefault="003F451C" w:rsidP="003F451C">
      <w:pPr>
        <w:ind w:firstLine="737"/>
        <w:jc w:val="both"/>
        <w:rPr>
          <w:rFonts w:ascii="Arial" w:hAnsi="Arial" w:cs="Arial"/>
        </w:rPr>
      </w:pPr>
    </w:p>
    <w:p w:rsidR="003F451C" w:rsidRPr="00F94584" w:rsidRDefault="003F451C" w:rsidP="003F451C">
      <w:pPr>
        <w:ind w:firstLine="737"/>
        <w:jc w:val="both"/>
        <w:rPr>
          <w:rFonts w:ascii="Arial" w:hAnsi="Arial" w:cs="Arial"/>
        </w:rPr>
      </w:pPr>
      <w:r w:rsidRPr="00F94584">
        <w:rPr>
          <w:rFonts w:ascii="Arial" w:hAnsi="Arial" w:cs="Arial"/>
        </w:rPr>
        <w:t>Gestionarea deşeurilor municipale presupune colectarea, transportul, valorificarea şi eliminarea acestora, inclusiv monitorizarea depozitelor de deșeuri după închidere.</w:t>
      </w:r>
    </w:p>
    <w:p w:rsidR="003F451C" w:rsidRPr="00F94584" w:rsidRDefault="003F451C" w:rsidP="003F451C">
      <w:pPr>
        <w:ind w:firstLine="737"/>
        <w:jc w:val="both"/>
        <w:rPr>
          <w:rFonts w:ascii="Arial" w:hAnsi="Arial" w:cs="Arial"/>
        </w:rPr>
      </w:pPr>
      <w:r w:rsidRPr="00F94584">
        <w:rPr>
          <w:rFonts w:ascii="Arial" w:hAnsi="Arial" w:cs="Arial"/>
        </w:rPr>
        <w:t>Responsabilitatea pentru gestionarea deșeurilor municipale aparţine administraţiilor publice locale, care, prin mijloace proprii sau prin concesionarea serviciului de salubrizare către un operator autorizat, trebuie să asigure colectarea (inclusiv colectarea separată), transportul, tratarea, valorificarea și eliminarea finală a acestor deșeuri.</w:t>
      </w:r>
    </w:p>
    <w:p w:rsidR="003F451C" w:rsidRPr="00F94584" w:rsidRDefault="003F451C" w:rsidP="003F451C">
      <w:pPr>
        <w:ind w:firstLine="737"/>
        <w:jc w:val="both"/>
        <w:rPr>
          <w:rFonts w:ascii="Arial" w:hAnsi="Arial" w:cs="Arial"/>
        </w:rPr>
      </w:pPr>
      <w:r w:rsidRPr="00F94584">
        <w:rPr>
          <w:rFonts w:ascii="Arial" w:hAnsi="Arial" w:cs="Arial"/>
        </w:rPr>
        <w:t>Cea de-a doua variantă este aplicată în municipiul Brăila pentru serviciul de salubrizare.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Din anul 2010 s-a organizat colectarea deşeurilor menajere de la populaţie şi în localităţile care nu erau deservite de servicii specializate prin amenajarea a 10 puncte de colectare zonală a deşeurilor menajere  (conform t</w:t>
      </w:r>
      <w:r w:rsidRPr="00F94584">
        <w:rPr>
          <w:rFonts w:ascii="Arial" w:hAnsi="Arial" w:cs="Arial"/>
        </w:rPr>
        <w:t>abelului nr. 6.3.3</w:t>
      </w:r>
      <w:r w:rsidRPr="00F94584">
        <w:rPr>
          <w:rFonts w:ascii="Arial" w:hAnsi="Arial" w:cs="Arial"/>
          <w:lang w:val="ro-RO"/>
        </w:rPr>
        <w:t>)</w:t>
      </w:r>
      <w:r w:rsidRPr="00F94584">
        <w:rPr>
          <w:rFonts w:ascii="Arial" w:hAnsi="Arial" w:cs="Arial"/>
          <w:lang w:val="it-IT"/>
        </w:rPr>
        <w:t xml:space="preserve"> dotate cu containere de mare capacitate (32 mc / 11 t) la care sunt arondate câte 3-4 comune (34 comune în total). </w:t>
      </w:r>
    </w:p>
    <w:p w:rsidR="003F451C" w:rsidRPr="00F94584" w:rsidRDefault="003F451C" w:rsidP="003F451C">
      <w:pPr>
        <w:suppressAutoHyphens/>
        <w:jc w:val="both"/>
        <w:rPr>
          <w:rFonts w:ascii="Arial" w:hAnsi="Arial" w:cs="Arial"/>
          <w:b/>
        </w:rPr>
      </w:pPr>
    </w:p>
    <w:p w:rsidR="003F451C" w:rsidRPr="00F94584" w:rsidRDefault="003F451C" w:rsidP="003F451C">
      <w:pPr>
        <w:suppressAutoHyphens/>
        <w:jc w:val="both"/>
        <w:rPr>
          <w:rFonts w:ascii="Arial" w:hAnsi="Arial" w:cs="Arial"/>
          <w:b/>
        </w:rPr>
      </w:pPr>
      <w:r w:rsidRPr="00F94584">
        <w:rPr>
          <w:rFonts w:ascii="Arial" w:hAnsi="Arial" w:cs="Arial"/>
          <w:b/>
        </w:rPr>
        <w:t>Eliminarea deşeurilor municipale</w:t>
      </w:r>
    </w:p>
    <w:p w:rsidR="003F451C" w:rsidRPr="00F94584" w:rsidRDefault="003F451C" w:rsidP="003F451C">
      <w:pPr>
        <w:ind w:firstLine="737"/>
        <w:jc w:val="both"/>
        <w:rPr>
          <w:rFonts w:ascii="Arial" w:hAnsi="Arial" w:cs="Arial"/>
        </w:rPr>
      </w:pPr>
      <w:r w:rsidRPr="00F94584">
        <w:rPr>
          <w:rFonts w:ascii="Arial" w:hAnsi="Arial" w:cs="Arial"/>
        </w:rPr>
        <w:lastRenderedPageBreak/>
        <w:t>La nivelul anului 2012, din cantitatea de deșeuri municipale colectată de operatorii de salubritate a fost eliminată prin depozitare, cantitatea valorificată prin reciclare materială sau valorificare energetic fiind foarte mică (sub 1%).</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Ca urmare a gradului redus de colectare separată a deşeurilor municipale şi inexistenţei instalaţiilor pentru tratarea deşeurilor municipale, aprox. 98% din cantităţile generate sunt eliminate, iar principala modalitate de eliminare a deşeurilor menajere şi asimilabile acestora este depozitarea.</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În judeţul Brăila funcţionează două depozite de deşeuri municipale, unul conform situat în localitatea Muchea, administrat de SC Tracon SRL Brăila şi unul neconform situat în localitatea Făurei, administrat de Primăria Făurei, programat să sisteze depozitarea în anul 2017.</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lang w:val="ro-RO"/>
        </w:rPr>
        <w:t>Depozitul conform Muchea funcţionează din anul 2002, deservind practic tot judeţul, excepţie făcând localităţile Făurei şi Ianca. Suprafaţa totală proiectată a depozitului este de 18.08 ha. În luna noiembrie 2013</w:t>
      </w:r>
      <w:r w:rsidRPr="00F94584">
        <w:rPr>
          <w:rFonts w:ascii="Arial" w:hAnsi="Arial" w:cs="Arial"/>
          <w:lang w:val="ro-RO" w:eastAsia="ro-RO"/>
        </w:rPr>
        <w:t xml:space="preserve">, </w:t>
      </w:r>
      <w:r w:rsidRPr="00F94584">
        <w:rPr>
          <w:rFonts w:ascii="Arial" w:hAnsi="Arial" w:cs="Arial"/>
          <w:lang w:val="ro-RO"/>
        </w:rPr>
        <w:t xml:space="preserve">s-a sistat depozitarea în celula nr. 1 și s-a pus în funcțiune celula nr. 2 a cărei construcția a fost finalizată din trim. III 2010. În paralel s-au demarat lucrările de acoperire provizorie a celulei nr.1. Depozitul a fost proiectat să funcţioneze până în anul 2026. Cantitatea de deşeuri colectată de la populaţie şi eliminată anual pe acest depozit este prezentată în tabelul următor: </w:t>
      </w:r>
    </w:p>
    <w:p w:rsidR="003F451C" w:rsidRPr="00F94584" w:rsidRDefault="003F451C" w:rsidP="003F451C">
      <w:pPr>
        <w:autoSpaceDE w:val="0"/>
        <w:autoSpaceDN w:val="0"/>
        <w:adjustRightInd w:val="0"/>
        <w:ind w:firstLine="737"/>
        <w:jc w:val="both"/>
        <w:rPr>
          <w:rFonts w:ascii="Arial" w:hAnsi="Arial" w:cs="Arial"/>
          <w:lang w:val="ro-RO"/>
        </w:rPr>
      </w:pPr>
    </w:p>
    <w:p w:rsidR="003F451C" w:rsidRPr="00F94584" w:rsidRDefault="003F451C" w:rsidP="003F451C">
      <w:pPr>
        <w:jc w:val="both"/>
        <w:rPr>
          <w:rFonts w:ascii="Arial" w:hAnsi="Arial" w:cs="Arial"/>
          <w:b/>
          <w:lang w:val="it-IT"/>
        </w:rPr>
      </w:pPr>
      <w:r w:rsidRPr="00F94584">
        <w:rPr>
          <w:rFonts w:ascii="Arial" w:hAnsi="Arial" w:cs="Arial"/>
          <w:lang w:val="ro-RO"/>
        </w:rPr>
        <w:t xml:space="preserve"> </w:t>
      </w:r>
      <w:r w:rsidRPr="00F94584">
        <w:rPr>
          <w:rFonts w:ascii="Arial" w:eastAsiaTheme="minorHAnsi" w:hAnsi="Arial" w:cs="Arial"/>
          <w:lang w:val="ro-RO"/>
        </w:rPr>
        <w:t xml:space="preserve">Tabel nr. </w:t>
      </w:r>
      <w:r w:rsidRPr="00F94584">
        <w:rPr>
          <w:rFonts w:ascii="Arial" w:hAnsi="Arial" w:cs="Arial"/>
        </w:rPr>
        <w:t>VII 1.1- 9</w:t>
      </w:r>
      <w:r w:rsidRPr="00F94584">
        <w:rPr>
          <w:rFonts w:ascii="Arial" w:hAnsi="Arial" w:cs="Arial"/>
          <w:b/>
          <w:lang w:val="it-IT"/>
        </w:rPr>
        <w:t xml:space="preserve">- </w:t>
      </w:r>
      <w:r w:rsidRPr="00F94584">
        <w:rPr>
          <w:rFonts w:ascii="Arial" w:hAnsi="Arial" w:cs="Arial"/>
          <w:lang w:val="it-IT"/>
        </w:rPr>
        <w:t>Cantitatea de deşeuri eliminată în depozite ecologice</w:t>
      </w:r>
    </w:p>
    <w:tbl>
      <w:tblPr>
        <w:tblW w:w="10080" w:type="dxa"/>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1242"/>
        <w:gridCol w:w="1638"/>
        <w:gridCol w:w="2520"/>
        <w:gridCol w:w="4680"/>
      </w:tblGrid>
      <w:tr w:rsidR="003F451C" w:rsidRPr="00F94584" w:rsidTr="004E468C">
        <w:tc>
          <w:tcPr>
            <w:tcW w:w="1242"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Denumire depozit</w:t>
            </w:r>
          </w:p>
        </w:tc>
        <w:tc>
          <w:tcPr>
            <w:tcW w:w="1638"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Operator</w:t>
            </w:r>
          </w:p>
        </w:tc>
        <w:tc>
          <w:tcPr>
            <w:tcW w:w="2520"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Autorizaţie de mediu</w:t>
            </w:r>
          </w:p>
        </w:tc>
        <w:tc>
          <w:tcPr>
            <w:tcW w:w="4680" w:type="dxa"/>
            <w:shd w:val="clear" w:color="auto" w:fill="E0E0E0"/>
          </w:tcPr>
          <w:p w:rsidR="003F451C" w:rsidRPr="00F94584" w:rsidRDefault="003F451C" w:rsidP="004E468C">
            <w:pPr>
              <w:jc w:val="center"/>
              <w:rPr>
                <w:rFonts w:ascii="Arial" w:hAnsi="Arial" w:cs="Arial"/>
                <w:b/>
                <w:lang w:val="it-IT"/>
              </w:rPr>
            </w:pPr>
            <w:r w:rsidRPr="00F94584">
              <w:rPr>
                <w:rFonts w:ascii="Arial" w:hAnsi="Arial" w:cs="Arial"/>
                <w:b/>
                <w:lang w:val="it-IT"/>
              </w:rPr>
              <w:t xml:space="preserve">Cantitate de deşeuri depozitată în </w:t>
            </w:r>
            <w:r w:rsidRPr="00F94584">
              <w:rPr>
                <w:rFonts w:ascii="Arial" w:hAnsi="Arial" w:cs="Arial"/>
                <w:lang w:val="it-IT"/>
              </w:rPr>
              <w:t>2008/2009/2010/2011/2012</w:t>
            </w:r>
            <w:r w:rsidRPr="00F94584">
              <w:rPr>
                <w:rFonts w:ascii="Arial" w:hAnsi="Arial" w:cs="Arial"/>
                <w:b/>
                <w:lang w:val="it-IT"/>
              </w:rPr>
              <w:t>/2013/2014</w:t>
            </w:r>
          </w:p>
          <w:p w:rsidR="003F451C" w:rsidRPr="00F94584" w:rsidRDefault="003F451C" w:rsidP="004E468C">
            <w:pPr>
              <w:jc w:val="center"/>
              <w:rPr>
                <w:rFonts w:ascii="Arial" w:hAnsi="Arial" w:cs="Arial"/>
                <w:b/>
                <w:lang w:val="it-IT"/>
              </w:rPr>
            </w:pPr>
            <w:r w:rsidRPr="00F94584">
              <w:rPr>
                <w:rFonts w:ascii="Arial" w:hAnsi="Arial" w:cs="Arial"/>
                <w:b/>
                <w:lang w:val="it-IT"/>
              </w:rPr>
              <w:t>[tone]</w:t>
            </w:r>
          </w:p>
        </w:tc>
      </w:tr>
      <w:tr w:rsidR="003F451C" w:rsidRPr="00F94584" w:rsidTr="004E468C">
        <w:trPr>
          <w:trHeight w:val="374"/>
        </w:trPr>
        <w:tc>
          <w:tcPr>
            <w:tcW w:w="1242" w:type="dxa"/>
          </w:tcPr>
          <w:p w:rsidR="003F451C" w:rsidRPr="00F94584" w:rsidRDefault="003F451C" w:rsidP="004E468C">
            <w:pPr>
              <w:jc w:val="center"/>
              <w:rPr>
                <w:rFonts w:ascii="Arial" w:hAnsi="Arial" w:cs="Arial"/>
              </w:rPr>
            </w:pPr>
            <w:r w:rsidRPr="00F94584">
              <w:rPr>
                <w:rFonts w:ascii="Arial" w:hAnsi="Arial" w:cs="Arial"/>
              </w:rPr>
              <w:t>Muchea</w:t>
            </w:r>
          </w:p>
        </w:tc>
        <w:tc>
          <w:tcPr>
            <w:tcW w:w="1638" w:type="dxa"/>
          </w:tcPr>
          <w:p w:rsidR="003F451C" w:rsidRPr="00F94584" w:rsidRDefault="003F451C" w:rsidP="004E468C">
            <w:pPr>
              <w:jc w:val="center"/>
              <w:rPr>
                <w:rFonts w:ascii="Arial" w:hAnsi="Arial" w:cs="Arial"/>
              </w:rPr>
            </w:pPr>
            <w:r w:rsidRPr="00F94584">
              <w:rPr>
                <w:rFonts w:ascii="Arial" w:hAnsi="Arial" w:cs="Arial"/>
              </w:rPr>
              <w:t>SC Tracon SRL</w:t>
            </w:r>
          </w:p>
          <w:p w:rsidR="003F451C" w:rsidRPr="00F94584" w:rsidRDefault="003F451C" w:rsidP="004E468C">
            <w:pPr>
              <w:jc w:val="center"/>
              <w:rPr>
                <w:rFonts w:ascii="Arial" w:hAnsi="Arial" w:cs="Arial"/>
              </w:rPr>
            </w:pPr>
            <w:r w:rsidRPr="00F94584">
              <w:rPr>
                <w:rFonts w:ascii="Arial" w:hAnsi="Arial" w:cs="Arial"/>
              </w:rPr>
              <w:t>Brăila</w:t>
            </w:r>
          </w:p>
        </w:tc>
        <w:tc>
          <w:tcPr>
            <w:tcW w:w="2520" w:type="dxa"/>
          </w:tcPr>
          <w:p w:rsidR="003F451C" w:rsidRPr="00F94584" w:rsidRDefault="003F451C" w:rsidP="004E468C">
            <w:pPr>
              <w:jc w:val="center"/>
              <w:rPr>
                <w:rFonts w:ascii="Arial" w:hAnsi="Arial" w:cs="Arial"/>
              </w:rPr>
            </w:pPr>
            <w:r w:rsidRPr="00F94584">
              <w:rPr>
                <w:rFonts w:ascii="Arial" w:hAnsi="Arial" w:cs="Arial"/>
              </w:rPr>
              <w:t xml:space="preserve">AIM nr. 10/22.11.2011 </w:t>
            </w:r>
          </w:p>
        </w:tc>
        <w:tc>
          <w:tcPr>
            <w:tcW w:w="4680" w:type="dxa"/>
          </w:tcPr>
          <w:p w:rsidR="003F451C" w:rsidRPr="00F94584" w:rsidRDefault="003F451C" w:rsidP="004E468C">
            <w:pPr>
              <w:jc w:val="center"/>
              <w:rPr>
                <w:rFonts w:ascii="Arial" w:hAnsi="Arial" w:cs="Arial"/>
                <w:sz w:val="22"/>
                <w:szCs w:val="22"/>
              </w:rPr>
            </w:pPr>
            <w:r w:rsidRPr="00F94584">
              <w:rPr>
                <w:rFonts w:ascii="Arial" w:hAnsi="Arial" w:cs="Arial"/>
                <w:sz w:val="22"/>
                <w:szCs w:val="22"/>
              </w:rPr>
              <w:t xml:space="preserve"> 70935 / 66020/62246/62837/72687/</w:t>
            </w:r>
            <w:r w:rsidRPr="00F94584">
              <w:rPr>
                <w:rFonts w:ascii="Arial" w:hAnsi="Arial" w:cs="Arial"/>
                <w:b/>
                <w:sz w:val="22"/>
                <w:szCs w:val="22"/>
              </w:rPr>
              <w:t>80642/76869,98</w:t>
            </w:r>
          </w:p>
        </w:tc>
      </w:tr>
    </w:tbl>
    <w:p w:rsidR="003F451C" w:rsidRPr="00F94584" w:rsidRDefault="003F451C" w:rsidP="003F451C">
      <w:pPr>
        <w:autoSpaceDE w:val="0"/>
        <w:autoSpaceDN w:val="0"/>
        <w:adjustRightInd w:val="0"/>
        <w:ind w:firstLine="737"/>
        <w:jc w:val="both"/>
        <w:rPr>
          <w:rFonts w:ascii="Arial" w:hAnsi="Arial" w:cs="Arial"/>
          <w:b/>
        </w:rPr>
      </w:pPr>
    </w:p>
    <w:p w:rsidR="003F451C" w:rsidRPr="00F94584" w:rsidRDefault="003F451C" w:rsidP="003F451C">
      <w:pPr>
        <w:ind w:firstLine="737"/>
        <w:jc w:val="both"/>
        <w:rPr>
          <w:rFonts w:ascii="Arial" w:hAnsi="Arial" w:cs="Arial"/>
          <w:b/>
          <w:lang w:val="it-IT"/>
        </w:rPr>
      </w:pPr>
      <w:r w:rsidRPr="00F94584">
        <w:rPr>
          <w:rFonts w:ascii="Arial" w:hAnsi="Arial" w:cs="Arial"/>
          <w:b/>
          <w:lang w:val="ro-RO"/>
        </w:rPr>
        <w:t>Depozitul neconform Făurei</w:t>
      </w:r>
      <w:r w:rsidRPr="00F94584">
        <w:rPr>
          <w:rFonts w:ascii="Arial" w:hAnsi="Arial" w:cs="Arial"/>
          <w:lang w:val="ro-RO"/>
        </w:rPr>
        <w:t xml:space="preserve"> are o suprafaţă de </w:t>
      </w:r>
      <w:smartTag w:uri="urn:schemas-microsoft-com:office:smarttags" w:element="metricconverter">
        <w:smartTagPr>
          <w:attr w:name="ProductID" w:val="1.5 ha"/>
        </w:smartTagPr>
        <w:r w:rsidRPr="00F94584">
          <w:rPr>
            <w:rFonts w:ascii="Arial" w:hAnsi="Arial" w:cs="Arial"/>
            <w:lang w:val="ro-RO"/>
          </w:rPr>
          <w:t>1.5 ha</w:t>
        </w:r>
      </w:smartTag>
      <w:r w:rsidRPr="00F94584">
        <w:rPr>
          <w:rFonts w:ascii="Arial" w:hAnsi="Arial" w:cs="Arial"/>
          <w:lang w:val="ro-RO"/>
        </w:rPr>
        <w:t xml:space="preserve"> şi o capacitate de 33000 mc cu un grad de umplere de peste 95%. Acesta este în operare și </w:t>
      </w:r>
      <w:r w:rsidRPr="00F94584">
        <w:rPr>
          <w:rFonts w:ascii="Arial" w:hAnsi="Arial" w:cs="Arial"/>
          <w:bCs/>
          <w:lang w:val="ro-RO"/>
        </w:rPr>
        <w:t>urmează să fie sistată depozitarea deșeurilor în anul 2017. Pentru protecția solului și freaticului în programul de conformare anexat autorizației de mediu a fost prevăzută realizarea unui sistem de colectare a levigatului astfel încât acesta să nu se mai infiltreze în sol. Lucrările au fost finalizate în trim. IV 2014.</w:t>
      </w:r>
    </w:p>
    <w:p w:rsidR="003F451C" w:rsidRDefault="003F451C" w:rsidP="003F451C">
      <w:pPr>
        <w:rPr>
          <w:rFonts w:ascii="Arial" w:eastAsiaTheme="minorHAnsi" w:hAnsi="Arial" w:cs="Arial"/>
          <w:lang w:val="ro-RO"/>
        </w:rPr>
      </w:pPr>
      <w:r>
        <w:rPr>
          <w:rFonts w:ascii="Arial" w:eastAsiaTheme="minorHAnsi" w:hAnsi="Arial" w:cs="Arial"/>
          <w:lang w:val="ro-RO"/>
        </w:rPr>
        <w:t xml:space="preserve"> </w:t>
      </w:r>
    </w:p>
    <w:p w:rsidR="003F451C" w:rsidRDefault="003F451C" w:rsidP="003F451C">
      <w:pPr>
        <w:rPr>
          <w:rFonts w:ascii="Arial" w:hAnsi="Arial" w:cs="Arial"/>
          <w:lang w:val="it-IT"/>
        </w:rPr>
      </w:pPr>
      <w:r w:rsidRPr="00F94584">
        <w:rPr>
          <w:rFonts w:ascii="Arial" w:eastAsiaTheme="minorHAnsi" w:hAnsi="Arial" w:cs="Arial"/>
          <w:lang w:val="ro-RO"/>
        </w:rPr>
        <w:t xml:space="preserve">Tabel nr. </w:t>
      </w:r>
      <w:r w:rsidRPr="00F94584">
        <w:rPr>
          <w:rFonts w:ascii="Arial" w:hAnsi="Arial" w:cs="Arial"/>
        </w:rPr>
        <w:t xml:space="preserve">VII 1.1-10 </w:t>
      </w:r>
      <w:r w:rsidRPr="00F94584">
        <w:rPr>
          <w:rFonts w:ascii="Arial" w:hAnsi="Arial" w:cs="Arial"/>
          <w:b/>
          <w:lang w:val="it-IT"/>
        </w:rPr>
        <w:t xml:space="preserve">- </w:t>
      </w:r>
      <w:r w:rsidRPr="00F94584">
        <w:rPr>
          <w:rFonts w:ascii="Arial" w:hAnsi="Arial" w:cs="Arial"/>
          <w:lang w:val="it-IT"/>
        </w:rPr>
        <w:t>Deşeuri municipale depozitate în depozite urbane neconforme 2011-2013</w:t>
      </w:r>
    </w:p>
    <w:p w:rsidR="003F451C" w:rsidRDefault="003F451C" w:rsidP="003F451C">
      <w:pPr>
        <w:rPr>
          <w:rFonts w:ascii="Arial" w:hAnsi="Arial" w:cs="Arial"/>
          <w:lang w:val="it-IT"/>
        </w:rPr>
      </w:pPr>
    </w:p>
    <w:p w:rsidR="003F451C" w:rsidRPr="00F94584" w:rsidRDefault="003F451C" w:rsidP="003F451C">
      <w:pPr>
        <w:rPr>
          <w:rFonts w:ascii="Arial" w:hAnsi="Arial" w:cs="Arial"/>
          <w:lang w:val="it-IT"/>
        </w:rPr>
      </w:pPr>
    </w:p>
    <w:p w:rsidR="003F451C" w:rsidRPr="00F94584" w:rsidRDefault="003F451C" w:rsidP="003F451C">
      <w:pPr>
        <w:rPr>
          <w:rFonts w:ascii="Arial" w:hAnsi="Arial" w:cs="Arial"/>
        </w:rPr>
      </w:pPr>
    </w:p>
    <w:tbl>
      <w:tblPr>
        <w:tblW w:w="0" w:type="auto"/>
        <w:jc w:val="center"/>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1472"/>
        <w:gridCol w:w="1543"/>
        <w:gridCol w:w="1598"/>
        <w:gridCol w:w="1599"/>
        <w:gridCol w:w="1517"/>
      </w:tblGrid>
      <w:tr w:rsidR="003F451C" w:rsidRPr="00F94584" w:rsidTr="004E468C">
        <w:trPr>
          <w:jc w:val="center"/>
        </w:trPr>
        <w:tc>
          <w:tcPr>
            <w:tcW w:w="1472" w:type="dxa"/>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Denumire depozit</w:t>
            </w:r>
          </w:p>
        </w:tc>
        <w:tc>
          <w:tcPr>
            <w:tcW w:w="1543" w:type="dxa"/>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Operator</w:t>
            </w:r>
          </w:p>
        </w:tc>
        <w:tc>
          <w:tcPr>
            <w:tcW w:w="1598" w:type="dxa"/>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Cantitate deşeuri depozitată în 2011</w:t>
            </w:r>
          </w:p>
          <w:p w:rsidR="003F451C" w:rsidRPr="00F94584" w:rsidRDefault="003F451C" w:rsidP="004E468C">
            <w:pPr>
              <w:jc w:val="center"/>
              <w:rPr>
                <w:rFonts w:ascii="Arial" w:hAnsi="Arial" w:cs="Arial"/>
                <w:b/>
              </w:rPr>
            </w:pPr>
            <w:r w:rsidRPr="00F94584">
              <w:rPr>
                <w:rFonts w:ascii="Arial" w:hAnsi="Arial" w:cs="Arial"/>
                <w:b/>
              </w:rPr>
              <w:t>t</w:t>
            </w:r>
          </w:p>
        </w:tc>
        <w:tc>
          <w:tcPr>
            <w:tcW w:w="1599" w:type="dxa"/>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Cantitate deşeuri depozitată în 2012</w:t>
            </w:r>
          </w:p>
          <w:p w:rsidR="003F451C" w:rsidRPr="00F94584" w:rsidRDefault="003F451C" w:rsidP="004E468C">
            <w:pPr>
              <w:jc w:val="center"/>
              <w:rPr>
                <w:rFonts w:ascii="Arial" w:hAnsi="Arial" w:cs="Arial"/>
                <w:b/>
              </w:rPr>
            </w:pPr>
            <w:r w:rsidRPr="00F94584">
              <w:rPr>
                <w:rFonts w:ascii="Arial" w:hAnsi="Arial" w:cs="Arial"/>
                <w:b/>
              </w:rPr>
              <w:t>t</w:t>
            </w:r>
          </w:p>
        </w:tc>
        <w:tc>
          <w:tcPr>
            <w:tcW w:w="1517" w:type="dxa"/>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Cantitate deşeuri depozitată în 2013</w:t>
            </w:r>
          </w:p>
          <w:p w:rsidR="003F451C" w:rsidRPr="00F94584" w:rsidRDefault="003F451C" w:rsidP="004E468C">
            <w:pPr>
              <w:jc w:val="center"/>
              <w:rPr>
                <w:rFonts w:ascii="Arial" w:hAnsi="Arial" w:cs="Arial"/>
                <w:b/>
              </w:rPr>
            </w:pPr>
            <w:r w:rsidRPr="00F94584">
              <w:rPr>
                <w:rFonts w:ascii="Arial" w:hAnsi="Arial" w:cs="Arial"/>
                <w:b/>
              </w:rPr>
              <w:t>t</w:t>
            </w:r>
          </w:p>
        </w:tc>
      </w:tr>
      <w:tr w:rsidR="003F451C" w:rsidRPr="00F94584" w:rsidTr="004E468C">
        <w:trPr>
          <w:jc w:val="center"/>
        </w:trPr>
        <w:tc>
          <w:tcPr>
            <w:tcW w:w="1472" w:type="dxa"/>
            <w:vAlign w:val="center"/>
          </w:tcPr>
          <w:p w:rsidR="003F451C" w:rsidRPr="00F94584" w:rsidRDefault="003F451C" w:rsidP="004E468C">
            <w:pPr>
              <w:jc w:val="center"/>
              <w:rPr>
                <w:rFonts w:ascii="Arial" w:hAnsi="Arial" w:cs="Arial"/>
              </w:rPr>
            </w:pPr>
            <w:r w:rsidRPr="00F94584">
              <w:rPr>
                <w:rFonts w:ascii="Arial" w:hAnsi="Arial" w:cs="Arial"/>
              </w:rPr>
              <w:t>Făurei</w:t>
            </w:r>
          </w:p>
        </w:tc>
        <w:tc>
          <w:tcPr>
            <w:tcW w:w="1543" w:type="dxa"/>
            <w:vAlign w:val="center"/>
          </w:tcPr>
          <w:p w:rsidR="003F451C" w:rsidRPr="00F94584" w:rsidRDefault="003F451C" w:rsidP="004E468C">
            <w:pPr>
              <w:jc w:val="center"/>
              <w:rPr>
                <w:rFonts w:ascii="Arial" w:hAnsi="Arial" w:cs="Arial"/>
              </w:rPr>
            </w:pPr>
            <w:r w:rsidRPr="00F94584">
              <w:rPr>
                <w:rFonts w:ascii="Arial" w:hAnsi="Arial" w:cs="Arial"/>
              </w:rPr>
              <w:t>Direcţia Serviciilor Publice Făurei</w:t>
            </w:r>
          </w:p>
        </w:tc>
        <w:tc>
          <w:tcPr>
            <w:tcW w:w="1598" w:type="dxa"/>
            <w:vAlign w:val="center"/>
          </w:tcPr>
          <w:p w:rsidR="003F451C" w:rsidRPr="00F94584" w:rsidRDefault="003F451C" w:rsidP="004E468C">
            <w:pPr>
              <w:jc w:val="center"/>
              <w:rPr>
                <w:rFonts w:ascii="Arial" w:hAnsi="Arial" w:cs="Arial"/>
              </w:rPr>
            </w:pPr>
            <w:r w:rsidRPr="00F94584">
              <w:rPr>
                <w:rFonts w:ascii="Arial" w:hAnsi="Arial" w:cs="Arial"/>
              </w:rPr>
              <w:t>627</w:t>
            </w:r>
          </w:p>
        </w:tc>
        <w:tc>
          <w:tcPr>
            <w:tcW w:w="1599" w:type="dxa"/>
            <w:vAlign w:val="center"/>
          </w:tcPr>
          <w:p w:rsidR="003F451C" w:rsidRPr="00F94584" w:rsidRDefault="003F451C" w:rsidP="004E468C">
            <w:pPr>
              <w:jc w:val="center"/>
              <w:rPr>
                <w:rFonts w:ascii="Arial" w:hAnsi="Arial" w:cs="Arial"/>
              </w:rPr>
            </w:pPr>
            <w:r w:rsidRPr="00F94584">
              <w:rPr>
                <w:rFonts w:ascii="Arial" w:hAnsi="Arial" w:cs="Arial"/>
              </w:rPr>
              <w:t>295</w:t>
            </w:r>
          </w:p>
        </w:tc>
        <w:tc>
          <w:tcPr>
            <w:tcW w:w="1517" w:type="dxa"/>
            <w:vAlign w:val="center"/>
          </w:tcPr>
          <w:p w:rsidR="003F451C" w:rsidRPr="00F94584" w:rsidRDefault="003F451C" w:rsidP="004E468C">
            <w:pPr>
              <w:jc w:val="center"/>
              <w:rPr>
                <w:rFonts w:ascii="Arial" w:hAnsi="Arial" w:cs="Arial"/>
              </w:rPr>
            </w:pPr>
            <w:r w:rsidRPr="00F94584">
              <w:rPr>
                <w:rFonts w:ascii="Arial" w:hAnsi="Arial" w:cs="Arial"/>
              </w:rPr>
              <w:t>128.45</w:t>
            </w:r>
          </w:p>
        </w:tc>
      </w:tr>
    </w:tbl>
    <w:p w:rsidR="003F451C" w:rsidRPr="00F94584" w:rsidRDefault="003F451C" w:rsidP="003F451C">
      <w:pPr>
        <w:rPr>
          <w:rFonts w:ascii="Arial" w:hAnsi="Arial" w:cs="Arial"/>
          <w:bCs/>
        </w:rPr>
      </w:pPr>
    </w:p>
    <w:p w:rsidR="003F451C" w:rsidRDefault="003F451C" w:rsidP="003F451C">
      <w:pPr>
        <w:rPr>
          <w:rFonts w:ascii="Arial" w:hAnsi="Arial" w:cs="Arial"/>
          <w:b/>
        </w:rPr>
      </w:pPr>
    </w:p>
    <w:p w:rsidR="003F451C" w:rsidRDefault="003F451C" w:rsidP="003F451C">
      <w:pPr>
        <w:rPr>
          <w:rFonts w:ascii="Arial" w:hAnsi="Arial" w:cs="Arial"/>
          <w:lang w:val="ro-RO"/>
        </w:rPr>
      </w:pPr>
      <w:r w:rsidRPr="00F94584">
        <w:rPr>
          <w:rFonts w:ascii="Arial" w:hAnsi="Arial" w:cs="Arial"/>
          <w:b/>
        </w:rPr>
        <w:t xml:space="preserve">Figura nr. VII.1.1. -7  </w:t>
      </w:r>
      <w:r w:rsidRPr="00F94584">
        <w:rPr>
          <w:rFonts w:ascii="Arial" w:hAnsi="Arial" w:cs="Arial"/>
          <w:lang w:val="it-IT"/>
        </w:rPr>
        <w:t>Deș</w:t>
      </w:r>
      <w:r w:rsidRPr="00F94584">
        <w:rPr>
          <w:rFonts w:ascii="Arial" w:hAnsi="Arial" w:cs="Arial"/>
          <w:lang w:val="ro-RO"/>
        </w:rPr>
        <w:t>euri municipale eliminate prin depozitare</w:t>
      </w:r>
    </w:p>
    <w:p w:rsidR="003F451C" w:rsidRPr="00F94584" w:rsidRDefault="003F451C" w:rsidP="003F451C">
      <w:pPr>
        <w:rPr>
          <w:rFonts w:ascii="Arial" w:hAnsi="Arial" w:cs="Arial"/>
          <w:b/>
          <w:lang w:val="it-IT"/>
        </w:rPr>
      </w:pPr>
      <w:r w:rsidRPr="00F94584">
        <w:rPr>
          <w:rFonts w:ascii="Arial" w:hAnsi="Arial" w:cs="Arial"/>
          <w:b/>
          <w:noProof/>
          <w:lang w:val="ro-RO" w:eastAsia="ro-RO"/>
        </w:rPr>
        <w:lastRenderedPageBreak/>
        <w:drawing>
          <wp:inline distT="0" distB="0" distL="0" distR="0">
            <wp:extent cx="6142008" cy="3510951"/>
            <wp:effectExtent l="19050" t="0" r="0" b="0"/>
            <wp:docPr id="115" name="Object 3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09"/>
              </a:graphicData>
            </a:graphic>
          </wp:inline>
        </w:drawing>
      </w:r>
    </w:p>
    <w:p w:rsidR="003F451C" w:rsidRPr="00F94584" w:rsidRDefault="003F451C" w:rsidP="003F451C">
      <w:pPr>
        <w:tabs>
          <w:tab w:val="left" w:leader="dot" w:pos="8640"/>
        </w:tabs>
        <w:ind w:right="360"/>
        <w:jc w:val="center"/>
        <w:rPr>
          <w:rFonts w:ascii="Arial" w:hAnsi="Arial" w:cs="Arial"/>
          <w:b/>
          <w:lang w:val="it-IT"/>
        </w:rPr>
      </w:pPr>
    </w:p>
    <w:p w:rsidR="003F451C" w:rsidRDefault="003F451C" w:rsidP="003F451C">
      <w:pPr>
        <w:ind w:firstLine="737"/>
        <w:jc w:val="both"/>
        <w:rPr>
          <w:rFonts w:ascii="Arial" w:hAnsi="Arial" w:cs="Arial"/>
        </w:rPr>
      </w:pPr>
      <w:r w:rsidRPr="00F94584">
        <w:rPr>
          <w:rFonts w:ascii="Arial" w:hAnsi="Arial" w:cs="Arial"/>
        </w:rPr>
        <w:t>Eliminarea deșeurilor municipale se realizează exclusiv prin depozitare.Până în prezent, în județul Brăila nu au fost puse în funcţiune instalaţii pentru incinerarea deşeurilor municipale.</w:t>
      </w:r>
    </w:p>
    <w:p w:rsidR="003F451C" w:rsidRPr="00F94584" w:rsidRDefault="003F451C" w:rsidP="003F451C">
      <w:pPr>
        <w:ind w:firstLine="737"/>
        <w:jc w:val="both"/>
        <w:rPr>
          <w:rFonts w:ascii="Arial" w:hAnsi="Arial" w:cs="Arial"/>
        </w:rPr>
      </w:pPr>
    </w:p>
    <w:p w:rsidR="003F451C" w:rsidRPr="00F94584" w:rsidRDefault="003F451C" w:rsidP="003F451C">
      <w:pPr>
        <w:autoSpaceDE w:val="0"/>
        <w:autoSpaceDN w:val="0"/>
        <w:adjustRightInd w:val="0"/>
        <w:rPr>
          <w:rFonts w:ascii="Calibri" w:eastAsia="Times New Roman" w:hAnsi="Calibri" w:cs="Calibri"/>
          <w:lang w:val="ro-RO" w:eastAsia="ro-RO"/>
        </w:rPr>
      </w:pPr>
      <w:r w:rsidRPr="00F94584">
        <w:rPr>
          <w:rFonts w:ascii="Arial" w:hAnsi="Arial" w:cs="Arial"/>
          <w:b/>
          <w:lang w:val="pt-BR"/>
        </w:rPr>
        <w:t xml:space="preserve"> </w:t>
      </w:r>
      <w:r w:rsidRPr="00F94584">
        <w:rPr>
          <w:rFonts w:ascii="Arial" w:eastAsiaTheme="minorHAnsi" w:hAnsi="Arial" w:cs="Arial"/>
          <w:lang w:val="ro-RO"/>
        </w:rPr>
        <w:t xml:space="preserve">Tabel nr. </w:t>
      </w:r>
      <w:r w:rsidRPr="00F94584">
        <w:rPr>
          <w:rFonts w:ascii="Arial" w:hAnsi="Arial" w:cs="Arial"/>
        </w:rPr>
        <w:t>VII 1.1- 11</w:t>
      </w:r>
      <w:r w:rsidRPr="00F94584">
        <w:rPr>
          <w:rFonts w:ascii="Arial" w:eastAsia="Times New Roman" w:hAnsi="Arial" w:cs="Arial"/>
          <w:lang w:val="ro-RO" w:eastAsia="ro-RO"/>
        </w:rPr>
        <w:t xml:space="preserve">Informaţii specifice privind deşeurile municipale, în perioada 2008-2012 </w:t>
      </w:r>
    </w:p>
    <w:p w:rsidR="003F451C" w:rsidRPr="00F94584" w:rsidRDefault="003F451C" w:rsidP="003F451C">
      <w:pPr>
        <w:rPr>
          <w:rFonts w:ascii="Arial" w:hAnsi="Arial" w:cs="Arial"/>
          <w:b/>
        </w:rPr>
      </w:pPr>
    </w:p>
    <w:tbl>
      <w:tblPr>
        <w:tblStyle w:val="TableGrid"/>
        <w:tblW w:w="0" w:type="auto"/>
        <w:jc w:val="center"/>
        <w:tblLook w:val="04A0"/>
      </w:tblPr>
      <w:tblGrid>
        <w:gridCol w:w="4130"/>
        <w:gridCol w:w="1145"/>
        <w:gridCol w:w="1218"/>
        <w:gridCol w:w="1218"/>
        <w:gridCol w:w="1218"/>
        <w:gridCol w:w="1351"/>
      </w:tblGrid>
      <w:tr w:rsidR="003F451C" w:rsidRPr="009875A5" w:rsidTr="004E468C">
        <w:trPr>
          <w:jc w:val="center"/>
        </w:trPr>
        <w:tc>
          <w:tcPr>
            <w:tcW w:w="4728" w:type="dxa"/>
            <w:shd w:val="clear" w:color="auto" w:fill="BFBFBF" w:themeFill="background1" w:themeFillShade="BF"/>
          </w:tcPr>
          <w:p w:rsidR="003F451C" w:rsidRPr="009875A5" w:rsidRDefault="003F451C" w:rsidP="004E468C">
            <w:pPr>
              <w:autoSpaceDE w:val="0"/>
              <w:autoSpaceDN w:val="0"/>
              <w:adjustRightInd w:val="0"/>
              <w:jc w:val="both"/>
              <w:rPr>
                <w:rFonts w:ascii="Arial" w:hAnsi="Arial" w:cs="Arial"/>
                <w:lang w:val="it-IT"/>
              </w:rPr>
            </w:pPr>
          </w:p>
        </w:tc>
        <w:tc>
          <w:tcPr>
            <w:tcW w:w="1161" w:type="dxa"/>
            <w:shd w:val="clear" w:color="auto" w:fill="BFBFBF" w:themeFill="background1" w:themeFillShade="BF"/>
          </w:tcPr>
          <w:p w:rsidR="003F451C" w:rsidRPr="009875A5" w:rsidRDefault="003F451C" w:rsidP="004E468C">
            <w:pPr>
              <w:autoSpaceDE w:val="0"/>
              <w:autoSpaceDN w:val="0"/>
              <w:adjustRightInd w:val="0"/>
              <w:jc w:val="both"/>
              <w:rPr>
                <w:rFonts w:ascii="Arial" w:hAnsi="Arial" w:cs="Arial"/>
                <w:b/>
                <w:lang w:val="it-IT"/>
              </w:rPr>
            </w:pPr>
            <w:r w:rsidRPr="009875A5">
              <w:rPr>
                <w:rFonts w:ascii="Arial" w:hAnsi="Arial" w:cs="Arial"/>
                <w:b/>
                <w:lang w:val="it-IT"/>
              </w:rPr>
              <w:t>2008</w:t>
            </w:r>
          </w:p>
        </w:tc>
        <w:tc>
          <w:tcPr>
            <w:tcW w:w="1050" w:type="dxa"/>
            <w:shd w:val="clear" w:color="auto" w:fill="BFBFBF" w:themeFill="background1" w:themeFillShade="BF"/>
          </w:tcPr>
          <w:p w:rsidR="003F451C" w:rsidRPr="009875A5" w:rsidRDefault="003F451C" w:rsidP="004E468C">
            <w:pPr>
              <w:autoSpaceDE w:val="0"/>
              <w:autoSpaceDN w:val="0"/>
              <w:adjustRightInd w:val="0"/>
              <w:jc w:val="both"/>
              <w:rPr>
                <w:rFonts w:ascii="Arial" w:hAnsi="Arial" w:cs="Arial"/>
                <w:b/>
                <w:lang w:val="it-IT"/>
              </w:rPr>
            </w:pPr>
            <w:r w:rsidRPr="009875A5">
              <w:rPr>
                <w:rFonts w:ascii="Arial" w:hAnsi="Arial" w:cs="Arial"/>
                <w:b/>
                <w:lang w:val="it-IT"/>
              </w:rPr>
              <w:t>2009</w:t>
            </w:r>
          </w:p>
        </w:tc>
        <w:tc>
          <w:tcPr>
            <w:tcW w:w="1078" w:type="dxa"/>
            <w:shd w:val="clear" w:color="auto" w:fill="BFBFBF" w:themeFill="background1" w:themeFillShade="BF"/>
          </w:tcPr>
          <w:p w:rsidR="003F451C" w:rsidRPr="009875A5" w:rsidRDefault="003F451C" w:rsidP="004E468C">
            <w:pPr>
              <w:autoSpaceDE w:val="0"/>
              <w:autoSpaceDN w:val="0"/>
              <w:adjustRightInd w:val="0"/>
              <w:jc w:val="both"/>
              <w:rPr>
                <w:rFonts w:ascii="Arial" w:hAnsi="Arial" w:cs="Arial"/>
                <w:b/>
                <w:lang w:val="it-IT"/>
              </w:rPr>
            </w:pPr>
            <w:r w:rsidRPr="009875A5">
              <w:rPr>
                <w:rFonts w:ascii="Arial" w:hAnsi="Arial" w:cs="Arial"/>
                <w:b/>
                <w:lang w:val="it-IT"/>
              </w:rPr>
              <w:t>2010</w:t>
            </w:r>
          </w:p>
        </w:tc>
        <w:tc>
          <w:tcPr>
            <w:tcW w:w="1036" w:type="dxa"/>
            <w:shd w:val="clear" w:color="auto" w:fill="BFBFBF" w:themeFill="background1" w:themeFillShade="BF"/>
          </w:tcPr>
          <w:p w:rsidR="003F451C" w:rsidRPr="009875A5" w:rsidRDefault="003F451C" w:rsidP="004E468C">
            <w:pPr>
              <w:autoSpaceDE w:val="0"/>
              <w:autoSpaceDN w:val="0"/>
              <w:adjustRightInd w:val="0"/>
              <w:jc w:val="both"/>
              <w:rPr>
                <w:rFonts w:ascii="Arial" w:hAnsi="Arial" w:cs="Arial"/>
                <w:b/>
                <w:lang w:val="it-IT"/>
              </w:rPr>
            </w:pPr>
            <w:r w:rsidRPr="009875A5">
              <w:rPr>
                <w:rFonts w:ascii="Arial" w:hAnsi="Arial" w:cs="Arial"/>
                <w:b/>
                <w:lang w:val="it-IT"/>
              </w:rPr>
              <w:t>2011</w:t>
            </w:r>
          </w:p>
        </w:tc>
        <w:tc>
          <w:tcPr>
            <w:tcW w:w="944" w:type="dxa"/>
            <w:shd w:val="clear" w:color="auto" w:fill="BFBFBF" w:themeFill="background1" w:themeFillShade="BF"/>
          </w:tcPr>
          <w:p w:rsidR="003F451C" w:rsidRPr="009875A5" w:rsidRDefault="003F451C" w:rsidP="004E468C">
            <w:pPr>
              <w:autoSpaceDE w:val="0"/>
              <w:autoSpaceDN w:val="0"/>
              <w:adjustRightInd w:val="0"/>
              <w:jc w:val="both"/>
              <w:rPr>
                <w:rFonts w:ascii="Arial" w:hAnsi="Arial" w:cs="Arial"/>
                <w:b/>
                <w:lang w:val="it-IT"/>
              </w:rPr>
            </w:pPr>
            <w:r w:rsidRPr="009875A5">
              <w:rPr>
                <w:rFonts w:ascii="Arial" w:hAnsi="Arial" w:cs="Arial"/>
                <w:b/>
                <w:lang w:val="it-IT"/>
              </w:rPr>
              <w:t>2012</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rPr>
              <w:t>Gradul de conectare la serviciul de salubritate (%)</w:t>
            </w:r>
          </w:p>
        </w:tc>
        <w:tc>
          <w:tcPr>
            <w:tcW w:w="1161" w:type="dxa"/>
          </w:tcPr>
          <w:p w:rsidR="003F451C" w:rsidRPr="009875A5" w:rsidRDefault="003F451C" w:rsidP="004E468C">
            <w:pPr>
              <w:autoSpaceDE w:val="0"/>
              <w:autoSpaceDN w:val="0"/>
              <w:adjustRightInd w:val="0"/>
              <w:jc w:val="both"/>
              <w:rPr>
                <w:rFonts w:ascii="Arial" w:hAnsi="Arial" w:cs="Arial"/>
                <w:lang w:val="it-IT"/>
              </w:rPr>
            </w:pPr>
          </w:p>
        </w:tc>
        <w:tc>
          <w:tcPr>
            <w:tcW w:w="1050" w:type="dxa"/>
          </w:tcPr>
          <w:p w:rsidR="003F451C" w:rsidRPr="009875A5" w:rsidRDefault="003F451C" w:rsidP="004E468C">
            <w:pPr>
              <w:autoSpaceDE w:val="0"/>
              <w:autoSpaceDN w:val="0"/>
              <w:adjustRightInd w:val="0"/>
              <w:jc w:val="both"/>
              <w:rPr>
                <w:rFonts w:ascii="Arial" w:hAnsi="Arial" w:cs="Arial"/>
                <w:lang w:val="it-IT"/>
              </w:rPr>
            </w:pPr>
          </w:p>
        </w:tc>
        <w:tc>
          <w:tcPr>
            <w:tcW w:w="1078" w:type="dxa"/>
          </w:tcPr>
          <w:p w:rsidR="003F451C" w:rsidRPr="009875A5" w:rsidRDefault="003F451C" w:rsidP="004E468C">
            <w:pPr>
              <w:autoSpaceDE w:val="0"/>
              <w:autoSpaceDN w:val="0"/>
              <w:adjustRightInd w:val="0"/>
              <w:jc w:val="both"/>
              <w:rPr>
                <w:rFonts w:ascii="Arial" w:hAnsi="Arial" w:cs="Arial"/>
                <w:lang w:val="it-IT"/>
              </w:rPr>
            </w:pPr>
          </w:p>
        </w:tc>
        <w:tc>
          <w:tcPr>
            <w:tcW w:w="1036" w:type="dxa"/>
          </w:tcPr>
          <w:p w:rsidR="003F451C" w:rsidRPr="009875A5" w:rsidRDefault="003F451C" w:rsidP="004E468C">
            <w:pPr>
              <w:autoSpaceDE w:val="0"/>
              <w:autoSpaceDN w:val="0"/>
              <w:adjustRightInd w:val="0"/>
              <w:jc w:val="both"/>
              <w:rPr>
                <w:rFonts w:ascii="Arial" w:hAnsi="Arial" w:cs="Arial"/>
                <w:lang w:val="it-IT"/>
              </w:rPr>
            </w:pPr>
          </w:p>
        </w:tc>
        <w:tc>
          <w:tcPr>
            <w:tcW w:w="944" w:type="dxa"/>
          </w:tcPr>
          <w:p w:rsidR="003F451C" w:rsidRPr="009875A5" w:rsidRDefault="003F451C" w:rsidP="004E468C">
            <w:pPr>
              <w:autoSpaceDE w:val="0"/>
              <w:autoSpaceDN w:val="0"/>
              <w:adjustRightInd w:val="0"/>
              <w:jc w:val="both"/>
              <w:rPr>
                <w:rFonts w:ascii="Arial" w:hAnsi="Arial" w:cs="Arial"/>
                <w:lang w:val="it-IT"/>
              </w:rPr>
            </w:pP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lang w:val="it-IT"/>
              </w:rPr>
              <w:t>Mediul urban</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59.1</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69.17</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67.63</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70.36</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91.88</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lang w:val="it-IT"/>
              </w:rPr>
              <w:t>Mediul rural</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11.9</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40.85</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96.5</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96.96</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rPr>
              <w:t>Cantitatea de deşeuri municipale colectate selectiv (tone)</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74.53</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87.08</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78.07</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rPr>
              <w:t>Cantitatea de deşeuri municipale reciclate (tone)</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67.79</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68.26</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78.07</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rPr>
              <w:t>Cantitatea de deşeuri biodegradabile din deşeurile municipale depozitate (mii tone)</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rPr>
              <w:t>43539,2</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rPr>
              <w:t>38073.78</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rPr>
              <w:t>28746,56</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rPr>
              <w:t>29037.59</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30916,015</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rPr>
              <w:t>Numărul de depozite municipale conforme în operare</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r>
      <w:tr w:rsidR="003F451C" w:rsidRPr="009875A5" w:rsidTr="004E468C">
        <w:trPr>
          <w:jc w:val="center"/>
        </w:trPr>
        <w:tc>
          <w:tcPr>
            <w:tcW w:w="4728" w:type="dxa"/>
          </w:tcPr>
          <w:p w:rsidR="003F451C" w:rsidRPr="009875A5" w:rsidRDefault="003F451C" w:rsidP="004E468C">
            <w:pPr>
              <w:autoSpaceDE w:val="0"/>
              <w:autoSpaceDN w:val="0"/>
              <w:adjustRightInd w:val="0"/>
              <w:rPr>
                <w:rFonts w:ascii="Arial" w:hAnsi="Arial" w:cs="Arial"/>
                <w:lang w:val="it-IT"/>
              </w:rPr>
            </w:pPr>
            <w:r w:rsidRPr="009875A5">
              <w:rPr>
                <w:rFonts w:ascii="Arial" w:hAnsi="Arial" w:cs="Arial"/>
              </w:rPr>
              <w:t>Numărul staţiilor de transfer şi/sau sortare existente</w:t>
            </w:r>
          </w:p>
        </w:tc>
        <w:tc>
          <w:tcPr>
            <w:tcW w:w="1161"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50"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0</w:t>
            </w:r>
          </w:p>
        </w:tc>
        <w:tc>
          <w:tcPr>
            <w:tcW w:w="1078"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c>
          <w:tcPr>
            <w:tcW w:w="1036"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c>
          <w:tcPr>
            <w:tcW w:w="944" w:type="dxa"/>
          </w:tcPr>
          <w:p w:rsidR="003F451C" w:rsidRPr="009875A5" w:rsidRDefault="003F451C" w:rsidP="004E468C">
            <w:pPr>
              <w:autoSpaceDE w:val="0"/>
              <w:autoSpaceDN w:val="0"/>
              <w:adjustRightInd w:val="0"/>
              <w:jc w:val="both"/>
              <w:rPr>
                <w:rFonts w:ascii="Arial" w:hAnsi="Arial" w:cs="Arial"/>
                <w:lang w:val="it-IT"/>
              </w:rPr>
            </w:pPr>
            <w:r w:rsidRPr="009875A5">
              <w:rPr>
                <w:rFonts w:ascii="Arial" w:hAnsi="Arial" w:cs="Arial"/>
                <w:lang w:val="it-IT"/>
              </w:rPr>
              <w:t>1</w:t>
            </w:r>
          </w:p>
        </w:tc>
      </w:tr>
    </w:tbl>
    <w:p w:rsidR="003F451C" w:rsidRPr="00F94584" w:rsidRDefault="003F451C" w:rsidP="003F451C">
      <w:pPr>
        <w:rPr>
          <w:rFonts w:ascii="Arial" w:hAnsi="Arial" w:cs="Arial"/>
          <w:b/>
          <w:lang w:val="ro-RO"/>
        </w:rPr>
      </w:pPr>
    </w:p>
    <w:p w:rsidR="003F451C" w:rsidRPr="00F94584" w:rsidRDefault="003F451C" w:rsidP="003F451C">
      <w:pPr>
        <w:rPr>
          <w:rFonts w:ascii="Arial" w:hAnsi="Arial" w:cs="Arial"/>
          <w:b/>
          <w:lang w:val="ro-RO"/>
        </w:rPr>
      </w:pPr>
      <w:r w:rsidRPr="00F94584">
        <w:rPr>
          <w:rFonts w:ascii="Arial" w:hAnsi="Arial" w:cs="Arial"/>
          <w:b/>
          <w:lang w:val="ro-RO"/>
        </w:rPr>
        <w:t>Deşeuri biodegradabile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O componentă majoră a deşeurilor municipale o reprezintă deşeurile biodegradabile (deşeurile organice care pot fi descompuse de către microorganisme). Din cauza poluării generate de descompunerea acestor deşeuri în depozite (în special emisia de gaze cu efect de seră şi levigat), se impune reducerea treptată a cantităţilor eliminate prin depozitare, astfel încât, în anul 2016 doar 35% din cantitatea de deşeuri biodegradabile eliminată în anul 1995 să mai poată fi depozitată.</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it-IT"/>
        </w:rPr>
        <w:lastRenderedPageBreak/>
        <w:t xml:space="preserve">Conform Legii 211/2011 privind regimul deşeurilor, biodeşeurile sunt deşeuri biodegradabile provenite din grădini şi parcuri, deşeurile alimentare sau cele provenite din bucătăriile gospodăriilor private, restaurantelor, firmelor de catering ori din magazine de vânzare cu amănuntul, compatibile cu deşeurile provenite din unităţile de prelucrare a produselor alimentare. </w:t>
      </w:r>
      <w:r w:rsidRPr="00F94584">
        <w:rPr>
          <w:rFonts w:ascii="Arial" w:hAnsi="Arial" w:cs="Arial"/>
          <w:lang w:val="ro-RO"/>
        </w:rPr>
        <w:t>Aceste deşeuri reprezintă un procent de aprox. 60% din cantitatea de deşeuri municipale în mediul urban şi 80% din cantitatea de deşeuri generată în mediul rural.</w:t>
      </w:r>
    </w:p>
    <w:p w:rsidR="003F451C" w:rsidRPr="00F94584" w:rsidRDefault="003F451C" w:rsidP="003F451C">
      <w:pPr>
        <w:autoSpaceDE w:val="0"/>
        <w:autoSpaceDN w:val="0"/>
        <w:adjustRightInd w:val="0"/>
        <w:jc w:val="both"/>
        <w:rPr>
          <w:rFonts w:ascii="Arial" w:hAnsi="Arial" w:cs="Arial"/>
          <w:lang w:val="ro-RO"/>
        </w:rPr>
      </w:pPr>
      <w:r w:rsidRPr="00F94584">
        <w:rPr>
          <w:rFonts w:ascii="Arial" w:hAnsi="Arial" w:cs="Arial"/>
          <w:lang w:val="ro-RO"/>
        </w:rPr>
        <w:t>La ora actuală nu există facilități speciale de colectare separată și tratare a acestor deșeuri. Soluţiile de recuperare/reciclare şi reducere a materiilor biodegradabile depozitate care se pot aplica sunt :</w:t>
      </w:r>
    </w:p>
    <w:p w:rsidR="003F451C" w:rsidRPr="00F94584" w:rsidRDefault="003F451C" w:rsidP="003F451C">
      <w:pPr>
        <w:autoSpaceDE w:val="0"/>
        <w:autoSpaceDN w:val="0"/>
        <w:adjustRightInd w:val="0"/>
        <w:ind w:left="709"/>
        <w:jc w:val="both"/>
        <w:rPr>
          <w:rFonts w:ascii="Arial" w:hAnsi="Arial" w:cs="Arial"/>
          <w:lang w:val="ro-RO"/>
        </w:rPr>
      </w:pPr>
      <w:r w:rsidRPr="00F94584">
        <w:rPr>
          <w:rFonts w:ascii="Arial" w:hAnsi="Arial" w:cs="Arial"/>
          <w:lang w:val="ro-RO"/>
        </w:rPr>
        <w:t>- compostarea (degradarea aerobă);</w:t>
      </w:r>
    </w:p>
    <w:p w:rsidR="003F451C" w:rsidRPr="00F94584" w:rsidRDefault="003F451C" w:rsidP="003F451C">
      <w:pPr>
        <w:autoSpaceDE w:val="0"/>
        <w:autoSpaceDN w:val="0"/>
        <w:adjustRightInd w:val="0"/>
        <w:ind w:left="709"/>
        <w:jc w:val="both"/>
        <w:rPr>
          <w:rFonts w:ascii="Arial" w:hAnsi="Arial" w:cs="Arial"/>
          <w:lang w:val="ro-RO"/>
        </w:rPr>
      </w:pPr>
      <w:r w:rsidRPr="00F94584">
        <w:rPr>
          <w:rFonts w:ascii="Arial" w:hAnsi="Arial" w:cs="Arial"/>
          <w:lang w:val="ro-RO"/>
        </w:rPr>
        <w:t>- degradarea anaerobă cu producerea şi colectarea de biogaz,</w:t>
      </w:r>
    </w:p>
    <w:p w:rsidR="003F451C" w:rsidRPr="00F94584" w:rsidRDefault="003F451C" w:rsidP="003F451C">
      <w:pPr>
        <w:autoSpaceDE w:val="0"/>
        <w:autoSpaceDN w:val="0"/>
        <w:adjustRightInd w:val="0"/>
        <w:ind w:left="709"/>
        <w:jc w:val="both"/>
        <w:rPr>
          <w:rFonts w:ascii="Arial" w:hAnsi="Arial" w:cs="Arial"/>
          <w:lang w:val="it-IT"/>
        </w:rPr>
      </w:pPr>
      <w:r w:rsidRPr="00F94584">
        <w:rPr>
          <w:rFonts w:ascii="Arial" w:hAnsi="Arial" w:cs="Arial"/>
          <w:lang w:val="it-IT"/>
        </w:rPr>
        <w:t>- tratare mecano - biologică (degradare aerobă) cu producere de deşeuri stabilizate, depozitabile.</w:t>
      </w:r>
    </w:p>
    <w:p w:rsidR="003F451C" w:rsidRPr="00F94584" w:rsidRDefault="003F451C" w:rsidP="003F451C">
      <w:pPr>
        <w:autoSpaceDE w:val="0"/>
        <w:autoSpaceDN w:val="0"/>
        <w:adjustRightInd w:val="0"/>
        <w:ind w:left="709"/>
        <w:jc w:val="both"/>
        <w:rPr>
          <w:rFonts w:ascii="Arial" w:hAnsi="Arial" w:cs="Arial"/>
          <w:lang w:val="it-IT"/>
        </w:rPr>
      </w:pPr>
    </w:p>
    <w:p w:rsidR="003F451C" w:rsidRPr="00F94584" w:rsidRDefault="003F451C" w:rsidP="003F451C">
      <w:pPr>
        <w:jc w:val="both"/>
        <w:rPr>
          <w:rFonts w:ascii="Arial" w:hAnsi="Arial" w:cs="Arial"/>
          <w:lang w:val="it-IT"/>
        </w:rPr>
      </w:pPr>
      <w:r w:rsidRPr="00F94584">
        <w:rPr>
          <w:rFonts w:ascii="Arial" w:hAnsi="Arial" w:cs="Arial"/>
          <w:b/>
        </w:rPr>
        <w:t>Tabel nr.VII.1.1-12</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2769"/>
        <w:gridCol w:w="1235"/>
        <w:gridCol w:w="1012"/>
        <w:gridCol w:w="1134"/>
        <w:gridCol w:w="1234"/>
        <w:gridCol w:w="1134"/>
        <w:gridCol w:w="1371"/>
      </w:tblGrid>
      <w:tr w:rsidR="003F451C" w:rsidRPr="00F94584" w:rsidTr="004E468C">
        <w:tc>
          <w:tcPr>
            <w:tcW w:w="2769" w:type="dxa"/>
            <w:shd w:val="clear" w:color="auto" w:fill="BFBFBF"/>
            <w:vAlign w:val="center"/>
          </w:tcPr>
          <w:p w:rsidR="003F451C" w:rsidRPr="00F94584" w:rsidRDefault="003F451C" w:rsidP="004E468C">
            <w:pPr>
              <w:jc w:val="center"/>
              <w:rPr>
                <w:rFonts w:ascii="Arial" w:hAnsi="Arial" w:cs="Arial"/>
                <w:lang w:val="it-IT"/>
              </w:rPr>
            </w:pPr>
          </w:p>
        </w:tc>
        <w:tc>
          <w:tcPr>
            <w:tcW w:w="1235" w:type="dxa"/>
            <w:shd w:val="clear" w:color="auto" w:fill="BFBFBF"/>
            <w:vAlign w:val="center"/>
          </w:tcPr>
          <w:p w:rsidR="003F451C" w:rsidRPr="00F94584" w:rsidRDefault="003F451C" w:rsidP="004E468C">
            <w:pPr>
              <w:jc w:val="center"/>
              <w:rPr>
                <w:rFonts w:ascii="Arial" w:hAnsi="Arial" w:cs="Arial"/>
                <w:b/>
              </w:rPr>
            </w:pPr>
            <w:r w:rsidRPr="00F94584">
              <w:rPr>
                <w:rFonts w:ascii="Arial" w:hAnsi="Arial" w:cs="Arial"/>
                <w:b/>
              </w:rPr>
              <w:t>1995</w:t>
            </w:r>
          </w:p>
        </w:tc>
        <w:tc>
          <w:tcPr>
            <w:tcW w:w="1012" w:type="dxa"/>
            <w:shd w:val="clear" w:color="auto" w:fill="BFBFBF"/>
          </w:tcPr>
          <w:p w:rsidR="003F451C" w:rsidRPr="00F94584" w:rsidRDefault="003F451C" w:rsidP="004E468C">
            <w:pPr>
              <w:jc w:val="center"/>
              <w:rPr>
                <w:rFonts w:ascii="Arial" w:hAnsi="Arial" w:cs="Arial"/>
                <w:b/>
              </w:rPr>
            </w:pPr>
            <w:r w:rsidRPr="00F94584">
              <w:rPr>
                <w:rFonts w:ascii="Arial" w:hAnsi="Arial" w:cs="Arial"/>
                <w:b/>
              </w:rPr>
              <w:t>2008</w:t>
            </w:r>
          </w:p>
        </w:tc>
        <w:tc>
          <w:tcPr>
            <w:tcW w:w="1134" w:type="dxa"/>
            <w:shd w:val="clear" w:color="auto" w:fill="BFBFBF"/>
            <w:vAlign w:val="center"/>
          </w:tcPr>
          <w:p w:rsidR="003F451C" w:rsidRPr="00F94584" w:rsidRDefault="003F451C" w:rsidP="004E468C">
            <w:pPr>
              <w:jc w:val="center"/>
              <w:rPr>
                <w:rFonts w:ascii="Arial" w:hAnsi="Arial" w:cs="Arial"/>
                <w:b/>
              </w:rPr>
            </w:pPr>
            <w:r w:rsidRPr="00F94584">
              <w:rPr>
                <w:rFonts w:ascii="Arial" w:hAnsi="Arial" w:cs="Arial"/>
                <w:b/>
              </w:rPr>
              <w:t>2009</w:t>
            </w:r>
          </w:p>
        </w:tc>
        <w:tc>
          <w:tcPr>
            <w:tcW w:w="1234" w:type="dxa"/>
            <w:shd w:val="clear" w:color="auto" w:fill="BFBFBF"/>
            <w:vAlign w:val="center"/>
          </w:tcPr>
          <w:p w:rsidR="003F451C" w:rsidRPr="00F94584" w:rsidRDefault="003F451C" w:rsidP="004E468C">
            <w:pPr>
              <w:jc w:val="center"/>
              <w:rPr>
                <w:rFonts w:ascii="Arial" w:hAnsi="Arial" w:cs="Arial"/>
                <w:b/>
              </w:rPr>
            </w:pPr>
            <w:r w:rsidRPr="00F94584">
              <w:rPr>
                <w:rFonts w:ascii="Arial" w:hAnsi="Arial" w:cs="Arial"/>
                <w:b/>
              </w:rPr>
              <w:t>2010</w:t>
            </w:r>
          </w:p>
        </w:tc>
        <w:tc>
          <w:tcPr>
            <w:tcW w:w="1134" w:type="dxa"/>
            <w:shd w:val="clear" w:color="auto" w:fill="BFBFBF"/>
            <w:vAlign w:val="center"/>
          </w:tcPr>
          <w:p w:rsidR="003F451C" w:rsidRPr="00F94584" w:rsidRDefault="003F451C" w:rsidP="004E468C">
            <w:pPr>
              <w:jc w:val="center"/>
              <w:rPr>
                <w:rFonts w:ascii="Arial" w:hAnsi="Arial" w:cs="Arial"/>
                <w:b/>
              </w:rPr>
            </w:pPr>
            <w:r w:rsidRPr="00F94584">
              <w:rPr>
                <w:rFonts w:ascii="Arial" w:hAnsi="Arial" w:cs="Arial"/>
                <w:b/>
              </w:rPr>
              <w:t>2011</w:t>
            </w:r>
          </w:p>
        </w:tc>
        <w:tc>
          <w:tcPr>
            <w:tcW w:w="1371" w:type="dxa"/>
            <w:shd w:val="clear" w:color="auto" w:fill="BFBFBF"/>
            <w:vAlign w:val="center"/>
          </w:tcPr>
          <w:p w:rsidR="003F451C" w:rsidRPr="00F94584" w:rsidRDefault="003F451C" w:rsidP="004E468C">
            <w:pPr>
              <w:jc w:val="center"/>
              <w:rPr>
                <w:rFonts w:ascii="Arial" w:hAnsi="Arial" w:cs="Arial"/>
                <w:b/>
                <w:lang w:val="it-IT"/>
              </w:rPr>
            </w:pPr>
            <w:r w:rsidRPr="00F94584">
              <w:rPr>
                <w:rFonts w:ascii="Arial" w:hAnsi="Arial" w:cs="Arial"/>
                <w:b/>
                <w:lang w:val="it-IT"/>
              </w:rPr>
              <w:t>2012</w:t>
            </w:r>
          </w:p>
        </w:tc>
      </w:tr>
      <w:tr w:rsidR="003F451C" w:rsidRPr="00F94584" w:rsidTr="004E468C">
        <w:tc>
          <w:tcPr>
            <w:tcW w:w="2769" w:type="dxa"/>
            <w:vAlign w:val="center"/>
          </w:tcPr>
          <w:p w:rsidR="003F451C" w:rsidRPr="00F94584" w:rsidRDefault="003F451C" w:rsidP="004E468C">
            <w:pPr>
              <w:jc w:val="center"/>
              <w:rPr>
                <w:rFonts w:ascii="Arial" w:hAnsi="Arial" w:cs="Arial"/>
                <w:lang w:val="it-IT"/>
              </w:rPr>
            </w:pPr>
            <w:r w:rsidRPr="00F94584">
              <w:rPr>
                <w:rFonts w:ascii="Arial" w:hAnsi="Arial" w:cs="Arial"/>
                <w:b/>
              </w:rPr>
              <w:t>Cantitate de deşeuri biodegradabile depozitată</w:t>
            </w:r>
          </w:p>
        </w:tc>
        <w:tc>
          <w:tcPr>
            <w:tcW w:w="1235"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82763,73</w:t>
            </w:r>
          </w:p>
        </w:tc>
        <w:tc>
          <w:tcPr>
            <w:tcW w:w="1012" w:type="dxa"/>
          </w:tcPr>
          <w:p w:rsidR="003F451C" w:rsidRPr="00F94584" w:rsidRDefault="003F451C" w:rsidP="004E468C">
            <w:pPr>
              <w:jc w:val="center"/>
              <w:rPr>
                <w:rFonts w:ascii="Arial" w:hAnsi="Arial" w:cs="Arial"/>
                <w:b/>
                <w:sz w:val="22"/>
                <w:szCs w:val="22"/>
              </w:rPr>
            </w:pPr>
          </w:p>
          <w:p w:rsidR="003F451C" w:rsidRPr="00F94584" w:rsidRDefault="003F451C" w:rsidP="004E468C">
            <w:pPr>
              <w:jc w:val="center"/>
              <w:rPr>
                <w:rFonts w:ascii="Arial" w:hAnsi="Arial" w:cs="Arial"/>
                <w:b/>
                <w:sz w:val="22"/>
                <w:szCs w:val="22"/>
              </w:rPr>
            </w:pPr>
            <w:r w:rsidRPr="00F94584">
              <w:rPr>
                <w:rFonts w:ascii="Arial" w:hAnsi="Arial" w:cs="Arial"/>
                <w:b/>
                <w:sz w:val="22"/>
                <w:szCs w:val="22"/>
              </w:rPr>
              <w:t>43539,2</w:t>
            </w:r>
          </w:p>
        </w:tc>
        <w:tc>
          <w:tcPr>
            <w:tcW w:w="11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41152,29</w:t>
            </w:r>
          </w:p>
        </w:tc>
        <w:tc>
          <w:tcPr>
            <w:tcW w:w="12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28746,56</w:t>
            </w:r>
          </w:p>
        </w:tc>
        <w:tc>
          <w:tcPr>
            <w:tcW w:w="11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29037,59</w:t>
            </w:r>
          </w:p>
        </w:tc>
        <w:tc>
          <w:tcPr>
            <w:tcW w:w="1371" w:type="dxa"/>
            <w:vAlign w:val="center"/>
          </w:tcPr>
          <w:p w:rsidR="003F451C" w:rsidRPr="00F94584" w:rsidRDefault="003F451C" w:rsidP="004E468C">
            <w:pPr>
              <w:jc w:val="center"/>
              <w:rPr>
                <w:rFonts w:ascii="Arial" w:hAnsi="Arial" w:cs="Arial"/>
                <w:b/>
                <w:sz w:val="22"/>
                <w:szCs w:val="22"/>
                <w:lang w:val="it-IT"/>
              </w:rPr>
            </w:pPr>
            <w:r w:rsidRPr="00F94584">
              <w:rPr>
                <w:rFonts w:ascii="Arial" w:hAnsi="Arial" w:cs="Arial"/>
                <w:b/>
                <w:sz w:val="22"/>
                <w:szCs w:val="22"/>
                <w:lang w:val="it-IT"/>
              </w:rPr>
              <w:t>30916,015</w:t>
            </w:r>
          </w:p>
        </w:tc>
      </w:tr>
      <w:tr w:rsidR="003F451C" w:rsidRPr="00F94584" w:rsidTr="004E468C">
        <w:tc>
          <w:tcPr>
            <w:tcW w:w="2769" w:type="dxa"/>
            <w:vAlign w:val="center"/>
          </w:tcPr>
          <w:p w:rsidR="003F451C" w:rsidRPr="00F94584" w:rsidRDefault="003F451C" w:rsidP="004E468C">
            <w:pPr>
              <w:jc w:val="center"/>
              <w:rPr>
                <w:rFonts w:ascii="Arial" w:hAnsi="Arial" w:cs="Arial"/>
                <w:lang w:val="it-IT"/>
              </w:rPr>
            </w:pPr>
            <w:r w:rsidRPr="00F94584">
              <w:rPr>
                <w:rFonts w:ascii="Arial" w:hAnsi="Arial" w:cs="Arial"/>
                <w:b/>
              </w:rPr>
              <w:t>Cantitate de deşeuri biodegradabile depozitată faţă de 1995 ( %)</w:t>
            </w:r>
          </w:p>
        </w:tc>
        <w:tc>
          <w:tcPr>
            <w:tcW w:w="1235" w:type="dxa"/>
            <w:vAlign w:val="center"/>
          </w:tcPr>
          <w:p w:rsidR="003F451C" w:rsidRPr="00F94584" w:rsidRDefault="003F451C" w:rsidP="004E468C">
            <w:pPr>
              <w:jc w:val="center"/>
              <w:rPr>
                <w:rFonts w:ascii="Arial" w:hAnsi="Arial" w:cs="Arial"/>
                <w:sz w:val="22"/>
                <w:szCs w:val="22"/>
                <w:lang w:val="it-IT"/>
              </w:rPr>
            </w:pPr>
            <w:r>
              <w:rPr>
                <w:rFonts w:ascii="Arial" w:hAnsi="Arial" w:cs="Arial"/>
                <w:sz w:val="22"/>
                <w:szCs w:val="22"/>
                <w:lang w:val="it-IT"/>
              </w:rPr>
              <w:t>-</w:t>
            </w:r>
          </w:p>
        </w:tc>
        <w:tc>
          <w:tcPr>
            <w:tcW w:w="1012" w:type="dxa"/>
          </w:tcPr>
          <w:p w:rsidR="003F451C" w:rsidRPr="00F94584" w:rsidRDefault="003F451C" w:rsidP="004E468C">
            <w:pPr>
              <w:jc w:val="center"/>
              <w:rPr>
                <w:rFonts w:ascii="Arial" w:hAnsi="Arial" w:cs="Arial"/>
                <w:b/>
                <w:sz w:val="22"/>
                <w:szCs w:val="22"/>
              </w:rPr>
            </w:pPr>
          </w:p>
          <w:p w:rsidR="003F451C" w:rsidRPr="00F94584" w:rsidRDefault="003F451C" w:rsidP="004E468C">
            <w:pPr>
              <w:jc w:val="center"/>
              <w:rPr>
                <w:rFonts w:ascii="Arial" w:hAnsi="Arial" w:cs="Arial"/>
                <w:b/>
                <w:sz w:val="22"/>
                <w:szCs w:val="22"/>
              </w:rPr>
            </w:pPr>
          </w:p>
          <w:p w:rsidR="003F451C" w:rsidRPr="00F94584" w:rsidRDefault="003F451C" w:rsidP="004E468C">
            <w:pPr>
              <w:jc w:val="center"/>
              <w:rPr>
                <w:rFonts w:ascii="Arial" w:hAnsi="Arial" w:cs="Arial"/>
                <w:b/>
                <w:sz w:val="22"/>
                <w:szCs w:val="22"/>
              </w:rPr>
            </w:pPr>
            <w:r w:rsidRPr="00F94584">
              <w:rPr>
                <w:rFonts w:ascii="Arial" w:hAnsi="Arial" w:cs="Arial"/>
                <w:b/>
                <w:sz w:val="22"/>
                <w:szCs w:val="22"/>
              </w:rPr>
              <w:t>52,6 %</w:t>
            </w:r>
          </w:p>
        </w:tc>
        <w:tc>
          <w:tcPr>
            <w:tcW w:w="11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49,72 %</w:t>
            </w:r>
          </w:p>
        </w:tc>
        <w:tc>
          <w:tcPr>
            <w:tcW w:w="12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34,73 %</w:t>
            </w:r>
          </w:p>
        </w:tc>
        <w:tc>
          <w:tcPr>
            <w:tcW w:w="11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35,08 %</w:t>
            </w:r>
          </w:p>
        </w:tc>
        <w:tc>
          <w:tcPr>
            <w:tcW w:w="1371" w:type="dxa"/>
            <w:vAlign w:val="center"/>
          </w:tcPr>
          <w:p w:rsidR="003F451C" w:rsidRPr="00F94584" w:rsidRDefault="003F451C" w:rsidP="004E468C">
            <w:pPr>
              <w:jc w:val="center"/>
              <w:rPr>
                <w:rFonts w:ascii="Arial" w:hAnsi="Arial" w:cs="Arial"/>
                <w:b/>
                <w:sz w:val="22"/>
                <w:szCs w:val="22"/>
                <w:lang w:val="it-IT"/>
              </w:rPr>
            </w:pPr>
          </w:p>
          <w:p w:rsidR="003F451C" w:rsidRPr="00F94584" w:rsidRDefault="003F451C" w:rsidP="004E468C">
            <w:pPr>
              <w:jc w:val="center"/>
              <w:rPr>
                <w:rFonts w:ascii="Arial" w:hAnsi="Arial" w:cs="Arial"/>
                <w:b/>
                <w:sz w:val="22"/>
                <w:szCs w:val="22"/>
                <w:lang w:val="it-IT"/>
              </w:rPr>
            </w:pPr>
            <w:r w:rsidRPr="00F94584">
              <w:rPr>
                <w:rFonts w:ascii="Arial" w:hAnsi="Arial" w:cs="Arial"/>
                <w:b/>
                <w:sz w:val="22"/>
                <w:szCs w:val="22"/>
                <w:lang w:val="it-IT"/>
              </w:rPr>
              <w:t>37,35 %</w:t>
            </w:r>
          </w:p>
          <w:p w:rsidR="003F451C" w:rsidRPr="00F94584" w:rsidRDefault="003F451C" w:rsidP="004E468C">
            <w:pPr>
              <w:jc w:val="center"/>
              <w:rPr>
                <w:rFonts w:ascii="Arial" w:hAnsi="Arial" w:cs="Arial"/>
                <w:b/>
                <w:sz w:val="22"/>
                <w:szCs w:val="22"/>
                <w:lang w:val="it-IT"/>
              </w:rPr>
            </w:pPr>
          </w:p>
        </w:tc>
      </w:tr>
      <w:tr w:rsidR="003F451C" w:rsidRPr="00F94584" w:rsidTr="004E468C">
        <w:tc>
          <w:tcPr>
            <w:tcW w:w="2769" w:type="dxa"/>
            <w:vAlign w:val="center"/>
          </w:tcPr>
          <w:p w:rsidR="003F451C" w:rsidRPr="00F94584" w:rsidRDefault="003F451C" w:rsidP="004E468C">
            <w:pPr>
              <w:jc w:val="center"/>
              <w:rPr>
                <w:rFonts w:ascii="Arial" w:hAnsi="Arial" w:cs="Arial"/>
                <w:lang w:val="it-IT"/>
              </w:rPr>
            </w:pPr>
            <w:r w:rsidRPr="00F94584">
              <w:rPr>
                <w:rFonts w:ascii="Arial" w:hAnsi="Arial" w:cs="Arial"/>
                <w:b/>
              </w:rPr>
              <w:t>Reducerea cantităţii de deşeuri biodegradabile generate faţă de 1995 (%)</w:t>
            </w:r>
          </w:p>
        </w:tc>
        <w:tc>
          <w:tcPr>
            <w:tcW w:w="1235" w:type="dxa"/>
            <w:vAlign w:val="center"/>
          </w:tcPr>
          <w:p w:rsidR="003F451C" w:rsidRPr="00F94584" w:rsidRDefault="003F451C" w:rsidP="004E468C">
            <w:pPr>
              <w:jc w:val="center"/>
              <w:rPr>
                <w:rFonts w:ascii="Arial" w:hAnsi="Arial" w:cs="Arial"/>
                <w:sz w:val="22"/>
                <w:szCs w:val="22"/>
                <w:lang w:val="it-IT"/>
              </w:rPr>
            </w:pPr>
            <w:r>
              <w:rPr>
                <w:rFonts w:ascii="Arial" w:hAnsi="Arial" w:cs="Arial"/>
                <w:sz w:val="22"/>
                <w:szCs w:val="22"/>
                <w:lang w:val="it-IT"/>
              </w:rPr>
              <w:t>-</w:t>
            </w:r>
          </w:p>
        </w:tc>
        <w:tc>
          <w:tcPr>
            <w:tcW w:w="1012" w:type="dxa"/>
          </w:tcPr>
          <w:p w:rsidR="003F451C" w:rsidRPr="00F94584" w:rsidRDefault="003F451C" w:rsidP="004E468C">
            <w:pPr>
              <w:jc w:val="center"/>
              <w:rPr>
                <w:rFonts w:ascii="Arial" w:hAnsi="Arial" w:cs="Arial"/>
                <w:b/>
                <w:sz w:val="22"/>
                <w:szCs w:val="22"/>
              </w:rPr>
            </w:pPr>
          </w:p>
          <w:p w:rsidR="003F451C" w:rsidRPr="00F94584" w:rsidRDefault="003F451C" w:rsidP="004E468C">
            <w:pPr>
              <w:jc w:val="center"/>
              <w:rPr>
                <w:rFonts w:ascii="Arial" w:hAnsi="Arial" w:cs="Arial"/>
                <w:b/>
                <w:sz w:val="22"/>
                <w:szCs w:val="22"/>
              </w:rPr>
            </w:pPr>
          </w:p>
          <w:p w:rsidR="003F451C" w:rsidRPr="00F94584" w:rsidRDefault="003F451C" w:rsidP="004E468C">
            <w:pPr>
              <w:jc w:val="center"/>
              <w:rPr>
                <w:rFonts w:ascii="Arial" w:hAnsi="Arial" w:cs="Arial"/>
                <w:b/>
                <w:sz w:val="22"/>
                <w:szCs w:val="22"/>
              </w:rPr>
            </w:pPr>
            <w:r w:rsidRPr="00F94584">
              <w:rPr>
                <w:rFonts w:ascii="Arial" w:hAnsi="Arial" w:cs="Arial"/>
                <w:b/>
                <w:sz w:val="22"/>
                <w:szCs w:val="22"/>
              </w:rPr>
              <w:t>47,4 %</w:t>
            </w:r>
          </w:p>
        </w:tc>
        <w:tc>
          <w:tcPr>
            <w:tcW w:w="11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50.28 %</w:t>
            </w:r>
          </w:p>
        </w:tc>
        <w:tc>
          <w:tcPr>
            <w:tcW w:w="12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65,27 %</w:t>
            </w:r>
          </w:p>
        </w:tc>
        <w:tc>
          <w:tcPr>
            <w:tcW w:w="1134" w:type="dxa"/>
            <w:vAlign w:val="center"/>
          </w:tcPr>
          <w:p w:rsidR="003F451C" w:rsidRPr="00F94584" w:rsidRDefault="003F451C" w:rsidP="004E468C">
            <w:pPr>
              <w:jc w:val="center"/>
              <w:rPr>
                <w:rFonts w:ascii="Arial" w:hAnsi="Arial" w:cs="Arial"/>
                <w:b/>
                <w:sz w:val="22"/>
                <w:szCs w:val="22"/>
              </w:rPr>
            </w:pPr>
            <w:r w:rsidRPr="00F94584">
              <w:rPr>
                <w:rFonts w:ascii="Arial" w:hAnsi="Arial" w:cs="Arial"/>
                <w:b/>
                <w:sz w:val="22"/>
                <w:szCs w:val="22"/>
              </w:rPr>
              <w:t>64,92 %</w:t>
            </w:r>
          </w:p>
        </w:tc>
        <w:tc>
          <w:tcPr>
            <w:tcW w:w="1371" w:type="dxa"/>
            <w:vAlign w:val="center"/>
          </w:tcPr>
          <w:p w:rsidR="003F451C" w:rsidRPr="00F94584" w:rsidRDefault="003F451C" w:rsidP="004E468C">
            <w:pPr>
              <w:jc w:val="center"/>
              <w:rPr>
                <w:rFonts w:ascii="Arial" w:hAnsi="Arial" w:cs="Arial"/>
                <w:b/>
                <w:sz w:val="22"/>
                <w:szCs w:val="22"/>
                <w:lang w:val="it-IT"/>
              </w:rPr>
            </w:pPr>
            <w:r w:rsidRPr="00F94584">
              <w:rPr>
                <w:rFonts w:ascii="Arial" w:hAnsi="Arial" w:cs="Arial"/>
                <w:b/>
                <w:sz w:val="22"/>
                <w:szCs w:val="22"/>
                <w:lang w:val="it-IT"/>
              </w:rPr>
              <w:t>63,65 %</w:t>
            </w:r>
          </w:p>
        </w:tc>
      </w:tr>
    </w:tbl>
    <w:p w:rsidR="003F451C" w:rsidRPr="00F94584" w:rsidRDefault="003F451C" w:rsidP="003F451C">
      <w:pPr>
        <w:jc w:val="both"/>
        <w:rPr>
          <w:rFonts w:ascii="Arial" w:hAnsi="Arial" w:cs="Arial"/>
          <w:b/>
        </w:rPr>
      </w:pPr>
    </w:p>
    <w:p w:rsidR="003F451C" w:rsidRPr="00F94584" w:rsidRDefault="003F451C" w:rsidP="003F451C">
      <w:pPr>
        <w:jc w:val="both"/>
        <w:rPr>
          <w:rFonts w:ascii="Arial" w:hAnsi="Arial" w:cs="Arial"/>
          <w:lang w:val="it-IT"/>
        </w:rPr>
      </w:pPr>
      <w:r w:rsidRPr="00F94584">
        <w:rPr>
          <w:rFonts w:ascii="Arial" w:hAnsi="Arial" w:cs="Arial"/>
          <w:b/>
        </w:rPr>
        <w:t>Tabel nr.VII.1.1-13</w:t>
      </w:r>
    </w:p>
    <w:p w:rsidR="003F451C" w:rsidRPr="00F94584" w:rsidRDefault="003F451C" w:rsidP="003F451C">
      <w:pPr>
        <w:jc w:val="both"/>
        <w:rPr>
          <w:rFonts w:ascii="Arial" w:hAnsi="Arial" w:cs="Arial"/>
          <w:lang w:val="it-IT"/>
        </w:rPr>
      </w:pPr>
      <w:r w:rsidRPr="00F94584">
        <w:rPr>
          <w:rFonts w:ascii="Arial" w:hAnsi="Arial" w:cs="Arial"/>
          <w:b/>
        </w:rPr>
        <w:t xml:space="preserve">- </w:t>
      </w:r>
      <w:r w:rsidRPr="00F94584">
        <w:rPr>
          <w:rFonts w:ascii="Arial" w:hAnsi="Arial" w:cs="Arial"/>
        </w:rPr>
        <w:t>Deşeuri biodegradabile colectate/valorificate</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tblPr>
      <w:tblGrid>
        <w:gridCol w:w="1360"/>
        <w:gridCol w:w="1334"/>
        <w:gridCol w:w="1417"/>
        <w:gridCol w:w="1276"/>
        <w:gridCol w:w="1276"/>
        <w:gridCol w:w="1077"/>
        <w:gridCol w:w="2250"/>
      </w:tblGrid>
      <w:tr w:rsidR="003F451C" w:rsidRPr="00F94584" w:rsidTr="004E468C">
        <w:tc>
          <w:tcPr>
            <w:tcW w:w="1360" w:type="dxa"/>
            <w:vMerge w:val="restart"/>
            <w:shd w:val="clear" w:color="auto" w:fill="D9D9D9"/>
            <w:vAlign w:val="center"/>
          </w:tcPr>
          <w:p w:rsidR="003F451C" w:rsidRPr="00F94584" w:rsidRDefault="003F451C" w:rsidP="004E468C">
            <w:pPr>
              <w:jc w:val="center"/>
              <w:rPr>
                <w:rFonts w:ascii="Arial" w:hAnsi="Arial" w:cs="Arial"/>
                <w:lang w:val="it-IT"/>
              </w:rPr>
            </w:pPr>
            <w:r w:rsidRPr="00F94584">
              <w:rPr>
                <w:rFonts w:ascii="Arial" w:hAnsi="Arial" w:cs="Arial"/>
                <w:b/>
              </w:rPr>
              <w:t>Judeţ</w:t>
            </w:r>
          </w:p>
        </w:tc>
        <w:tc>
          <w:tcPr>
            <w:tcW w:w="6380" w:type="dxa"/>
            <w:gridSpan w:val="5"/>
            <w:shd w:val="clear" w:color="auto" w:fill="D9D9D9"/>
            <w:vAlign w:val="center"/>
          </w:tcPr>
          <w:p w:rsidR="003F451C" w:rsidRPr="00F94584" w:rsidRDefault="003F451C" w:rsidP="004E468C">
            <w:pPr>
              <w:jc w:val="center"/>
              <w:rPr>
                <w:rFonts w:ascii="Arial" w:hAnsi="Arial" w:cs="Arial"/>
                <w:lang w:val="it-IT"/>
              </w:rPr>
            </w:pPr>
            <w:r w:rsidRPr="00F94584">
              <w:rPr>
                <w:rFonts w:ascii="Arial" w:hAnsi="Arial" w:cs="Arial"/>
                <w:b/>
              </w:rPr>
              <w:t>Cantitate de deşeuri biodegradabile colectată în amestec şi depozitată</w:t>
            </w:r>
          </w:p>
        </w:tc>
        <w:tc>
          <w:tcPr>
            <w:tcW w:w="2250" w:type="dxa"/>
            <w:shd w:val="clear" w:color="auto" w:fill="D9D9D9"/>
          </w:tcPr>
          <w:p w:rsidR="003F451C" w:rsidRPr="00F94584" w:rsidRDefault="003F451C" w:rsidP="004E468C">
            <w:pPr>
              <w:jc w:val="center"/>
              <w:rPr>
                <w:rFonts w:ascii="Arial" w:hAnsi="Arial" w:cs="Arial"/>
                <w:lang w:val="it-IT"/>
              </w:rPr>
            </w:pPr>
            <w:r w:rsidRPr="00F94584">
              <w:rPr>
                <w:rFonts w:ascii="Arial" w:hAnsi="Arial" w:cs="Arial"/>
                <w:b/>
              </w:rPr>
              <w:t>Cantitate de deşeuri biodegradabile valorificată</w:t>
            </w:r>
          </w:p>
        </w:tc>
      </w:tr>
      <w:tr w:rsidR="003F451C" w:rsidRPr="00F94584" w:rsidTr="004E468C">
        <w:tc>
          <w:tcPr>
            <w:tcW w:w="1360" w:type="dxa"/>
            <w:vMerge/>
            <w:shd w:val="clear" w:color="auto" w:fill="D9D9D9"/>
          </w:tcPr>
          <w:p w:rsidR="003F451C" w:rsidRPr="00F94584" w:rsidRDefault="003F451C" w:rsidP="004E468C">
            <w:pPr>
              <w:jc w:val="center"/>
              <w:rPr>
                <w:rFonts w:ascii="Arial" w:hAnsi="Arial" w:cs="Arial"/>
                <w:lang w:val="it-IT"/>
              </w:rPr>
            </w:pPr>
          </w:p>
        </w:tc>
        <w:tc>
          <w:tcPr>
            <w:tcW w:w="1334" w:type="dxa"/>
            <w:shd w:val="clear" w:color="auto" w:fill="D9D9D9"/>
          </w:tcPr>
          <w:p w:rsidR="003F451C" w:rsidRPr="00F94584" w:rsidRDefault="003F451C" w:rsidP="004E468C">
            <w:pPr>
              <w:jc w:val="center"/>
              <w:rPr>
                <w:rFonts w:ascii="Arial" w:hAnsi="Arial" w:cs="Arial"/>
                <w:b/>
              </w:rPr>
            </w:pPr>
            <w:r w:rsidRPr="00F94584">
              <w:rPr>
                <w:rFonts w:ascii="Arial" w:hAnsi="Arial" w:cs="Arial"/>
                <w:b/>
              </w:rPr>
              <w:t>2008</w:t>
            </w:r>
          </w:p>
        </w:tc>
        <w:tc>
          <w:tcPr>
            <w:tcW w:w="1417" w:type="dxa"/>
            <w:shd w:val="clear" w:color="auto" w:fill="D9D9D9"/>
          </w:tcPr>
          <w:p w:rsidR="003F451C" w:rsidRPr="00F94584" w:rsidRDefault="003F451C" w:rsidP="004E468C">
            <w:pPr>
              <w:jc w:val="center"/>
              <w:rPr>
                <w:rFonts w:ascii="Arial" w:hAnsi="Arial" w:cs="Arial"/>
                <w:b/>
              </w:rPr>
            </w:pPr>
            <w:r w:rsidRPr="00F94584">
              <w:rPr>
                <w:rFonts w:ascii="Arial" w:hAnsi="Arial" w:cs="Arial"/>
                <w:b/>
              </w:rPr>
              <w:t>2009</w:t>
            </w:r>
          </w:p>
        </w:tc>
        <w:tc>
          <w:tcPr>
            <w:tcW w:w="1276" w:type="dxa"/>
            <w:shd w:val="clear" w:color="auto" w:fill="D9D9D9"/>
          </w:tcPr>
          <w:p w:rsidR="003F451C" w:rsidRPr="00F94584" w:rsidRDefault="003F451C" w:rsidP="004E468C">
            <w:pPr>
              <w:suppressAutoHyphens/>
              <w:jc w:val="center"/>
              <w:rPr>
                <w:rFonts w:ascii="Arial" w:hAnsi="Arial" w:cs="Arial"/>
                <w:b/>
              </w:rPr>
            </w:pPr>
            <w:r w:rsidRPr="00F94584">
              <w:rPr>
                <w:rFonts w:ascii="Arial" w:hAnsi="Arial" w:cs="Arial"/>
                <w:b/>
              </w:rPr>
              <w:t>2010</w:t>
            </w:r>
          </w:p>
        </w:tc>
        <w:tc>
          <w:tcPr>
            <w:tcW w:w="1276" w:type="dxa"/>
            <w:shd w:val="clear" w:color="auto" w:fill="D9D9D9"/>
          </w:tcPr>
          <w:p w:rsidR="003F451C" w:rsidRPr="00F94584" w:rsidRDefault="003F451C" w:rsidP="004E468C">
            <w:pPr>
              <w:suppressAutoHyphens/>
              <w:jc w:val="center"/>
              <w:rPr>
                <w:rFonts w:ascii="Arial" w:hAnsi="Arial" w:cs="Arial"/>
                <w:b/>
              </w:rPr>
            </w:pPr>
            <w:r w:rsidRPr="00F94584">
              <w:rPr>
                <w:rFonts w:ascii="Arial" w:hAnsi="Arial" w:cs="Arial"/>
                <w:b/>
              </w:rPr>
              <w:t>2011</w:t>
            </w:r>
          </w:p>
        </w:tc>
        <w:tc>
          <w:tcPr>
            <w:tcW w:w="1077" w:type="dxa"/>
            <w:shd w:val="clear" w:color="auto" w:fill="D9D9D9"/>
          </w:tcPr>
          <w:p w:rsidR="003F451C" w:rsidRPr="00F94584" w:rsidRDefault="003F451C" w:rsidP="004E468C">
            <w:pPr>
              <w:jc w:val="center"/>
              <w:rPr>
                <w:rFonts w:ascii="Arial" w:hAnsi="Arial" w:cs="Arial"/>
                <w:b/>
                <w:lang w:val="it-IT"/>
              </w:rPr>
            </w:pPr>
            <w:r w:rsidRPr="00F94584">
              <w:rPr>
                <w:rFonts w:ascii="Arial" w:hAnsi="Arial" w:cs="Arial"/>
                <w:b/>
                <w:lang w:val="it-IT"/>
              </w:rPr>
              <w:t>2012</w:t>
            </w:r>
          </w:p>
        </w:tc>
        <w:tc>
          <w:tcPr>
            <w:tcW w:w="2250" w:type="dxa"/>
            <w:shd w:val="clear" w:color="auto" w:fill="D9D9D9"/>
          </w:tcPr>
          <w:p w:rsidR="003F451C" w:rsidRPr="00F94584" w:rsidRDefault="003F451C" w:rsidP="004E468C">
            <w:pPr>
              <w:jc w:val="center"/>
              <w:rPr>
                <w:rFonts w:ascii="Arial" w:hAnsi="Arial" w:cs="Arial"/>
                <w:lang w:val="it-IT"/>
              </w:rPr>
            </w:pPr>
            <w:r w:rsidRPr="00F94584">
              <w:rPr>
                <w:rFonts w:ascii="Arial" w:hAnsi="Arial" w:cs="Arial"/>
                <w:b/>
              </w:rPr>
              <w:t>2007 – 2012</w:t>
            </w:r>
          </w:p>
        </w:tc>
      </w:tr>
      <w:tr w:rsidR="003F451C" w:rsidRPr="00F94584" w:rsidTr="004E468C">
        <w:tc>
          <w:tcPr>
            <w:tcW w:w="1360" w:type="dxa"/>
          </w:tcPr>
          <w:p w:rsidR="003F451C" w:rsidRPr="00F94584" w:rsidRDefault="003F451C" w:rsidP="004E468C">
            <w:pPr>
              <w:jc w:val="center"/>
              <w:rPr>
                <w:rFonts w:ascii="Arial" w:hAnsi="Arial" w:cs="Arial"/>
                <w:lang w:val="it-IT"/>
              </w:rPr>
            </w:pPr>
            <w:r w:rsidRPr="00F94584">
              <w:rPr>
                <w:rFonts w:ascii="Arial" w:hAnsi="Arial" w:cs="Arial"/>
                <w:b/>
              </w:rPr>
              <w:t>Brăila</w:t>
            </w:r>
          </w:p>
        </w:tc>
        <w:tc>
          <w:tcPr>
            <w:tcW w:w="1334" w:type="dxa"/>
          </w:tcPr>
          <w:p w:rsidR="003F451C" w:rsidRPr="00F94584" w:rsidRDefault="003F451C" w:rsidP="004E468C">
            <w:pPr>
              <w:jc w:val="center"/>
              <w:rPr>
                <w:rFonts w:ascii="Arial" w:hAnsi="Arial" w:cs="Arial"/>
              </w:rPr>
            </w:pPr>
            <w:r w:rsidRPr="00F94584">
              <w:rPr>
                <w:rFonts w:ascii="Arial" w:hAnsi="Arial" w:cs="Arial"/>
              </w:rPr>
              <w:t xml:space="preserve">43539,2 </w:t>
            </w:r>
          </w:p>
        </w:tc>
        <w:tc>
          <w:tcPr>
            <w:tcW w:w="1417" w:type="dxa"/>
          </w:tcPr>
          <w:p w:rsidR="003F451C" w:rsidRPr="00F94584" w:rsidRDefault="003F451C" w:rsidP="004E468C">
            <w:pPr>
              <w:jc w:val="center"/>
              <w:rPr>
                <w:rFonts w:ascii="Arial" w:hAnsi="Arial" w:cs="Arial"/>
              </w:rPr>
            </w:pPr>
            <w:r w:rsidRPr="00F94584">
              <w:rPr>
                <w:rFonts w:ascii="Arial" w:hAnsi="Arial" w:cs="Arial"/>
              </w:rPr>
              <w:t>38073,78</w:t>
            </w:r>
          </w:p>
        </w:tc>
        <w:tc>
          <w:tcPr>
            <w:tcW w:w="1276" w:type="dxa"/>
          </w:tcPr>
          <w:p w:rsidR="003F451C" w:rsidRPr="00F94584" w:rsidRDefault="003F451C" w:rsidP="004E468C">
            <w:pPr>
              <w:suppressAutoHyphens/>
              <w:jc w:val="center"/>
              <w:rPr>
                <w:rFonts w:ascii="Arial" w:hAnsi="Arial" w:cs="Arial"/>
              </w:rPr>
            </w:pPr>
            <w:r w:rsidRPr="00F94584">
              <w:rPr>
                <w:rFonts w:ascii="Arial" w:hAnsi="Arial" w:cs="Arial"/>
              </w:rPr>
              <w:t>28746,56</w:t>
            </w:r>
          </w:p>
        </w:tc>
        <w:tc>
          <w:tcPr>
            <w:tcW w:w="1276" w:type="dxa"/>
          </w:tcPr>
          <w:p w:rsidR="003F451C" w:rsidRPr="00F94584" w:rsidRDefault="003F451C" w:rsidP="004E468C">
            <w:pPr>
              <w:suppressAutoHyphens/>
              <w:jc w:val="center"/>
              <w:rPr>
                <w:rFonts w:ascii="Arial" w:hAnsi="Arial" w:cs="Arial"/>
              </w:rPr>
            </w:pPr>
            <w:r w:rsidRPr="00F94584">
              <w:rPr>
                <w:rFonts w:ascii="Arial" w:hAnsi="Arial" w:cs="Arial"/>
              </w:rPr>
              <w:t>29037.59</w:t>
            </w:r>
          </w:p>
        </w:tc>
        <w:tc>
          <w:tcPr>
            <w:tcW w:w="1077" w:type="dxa"/>
          </w:tcPr>
          <w:p w:rsidR="003F451C" w:rsidRPr="00F94584" w:rsidRDefault="003F451C" w:rsidP="004E468C">
            <w:pPr>
              <w:jc w:val="center"/>
              <w:rPr>
                <w:rFonts w:ascii="Arial" w:hAnsi="Arial" w:cs="Arial"/>
                <w:lang w:val="it-IT"/>
              </w:rPr>
            </w:pPr>
            <w:r w:rsidRPr="00F94584">
              <w:rPr>
                <w:rFonts w:ascii="Arial" w:hAnsi="Arial" w:cs="Arial"/>
                <w:lang w:val="it-IT"/>
              </w:rPr>
              <w:t>3000</w:t>
            </w:r>
          </w:p>
        </w:tc>
        <w:tc>
          <w:tcPr>
            <w:tcW w:w="2250" w:type="dxa"/>
          </w:tcPr>
          <w:p w:rsidR="003F451C" w:rsidRPr="00F94584" w:rsidRDefault="003F451C" w:rsidP="004E468C">
            <w:pPr>
              <w:jc w:val="center"/>
              <w:rPr>
                <w:rFonts w:ascii="Arial" w:hAnsi="Arial" w:cs="Arial"/>
                <w:lang w:val="it-IT"/>
              </w:rPr>
            </w:pPr>
            <w:r w:rsidRPr="00F94584">
              <w:rPr>
                <w:rFonts w:ascii="Arial" w:hAnsi="Arial" w:cs="Arial"/>
                <w:lang w:val="it-IT"/>
              </w:rPr>
              <w:t>5069</w:t>
            </w:r>
          </w:p>
        </w:tc>
      </w:tr>
    </w:tbl>
    <w:p w:rsidR="003F451C" w:rsidRPr="00F94584" w:rsidRDefault="003F451C" w:rsidP="003F451C">
      <w:pPr>
        <w:jc w:val="both"/>
        <w:rPr>
          <w:rFonts w:ascii="Arial" w:hAnsi="Arial" w:cs="Arial"/>
          <w:lang w:val="it-IT"/>
        </w:rPr>
      </w:pP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Compostarea deşeurilor menajere este o alternativă viabilă la incinerarea sau depozitarea deşeurilor după operaţia de separare. Este bine cunoscut faptul că materialele care ridică probleme în depozitele de deşeuri sunt deşeurile organice (biodegradabile), care prin transformare degajă metan ce contribuie la încălzirea globală, răspândesc mirosuri neplăcute şi acizi care devin toxici contaminând terenul şi apele subterane. Compostarea elimină aceste materiale organice din depozite şi este un proces mai ieftin şi mai ecologic decât incinerarea.</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În municipiul Brăila nu se face o colectare separată a materialului biodegradabil, dar în mediul rural populaţia practică metode de reutilizare în gospodăriile proprii.</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În anul 2006 Consiliul Judeţean în cadrul programului Phare CES </w:t>
      </w:r>
      <w:smartTag w:uri="urn:schemas-microsoft-com:office:smarttags" w:element="metricconverter">
        <w:smartTagPr>
          <w:attr w:name="ProductID" w:val="2004 a"/>
        </w:smartTagPr>
        <w:r w:rsidRPr="00F94584">
          <w:rPr>
            <w:rFonts w:ascii="Arial" w:hAnsi="Arial" w:cs="Arial"/>
            <w:lang w:val="ro-RO"/>
          </w:rPr>
          <w:t>2004 a</w:t>
        </w:r>
      </w:smartTag>
      <w:r w:rsidRPr="00F94584">
        <w:rPr>
          <w:rFonts w:ascii="Arial" w:hAnsi="Arial" w:cs="Arial"/>
          <w:lang w:val="ro-RO"/>
        </w:rPr>
        <w:t xml:space="preserve"> obţinut finanţare pe proiectul Staţie de compostare deşeuri biodegradabile oraş Ianca, obiectiv prevăzut în Planul Regional de Gestionare a Deşeurilor. Scopul realizării staţiei este valorificarea gunoiului de grajd provenit din gospodăriile oraşului Ianca şi ale localităţilor </w:t>
      </w:r>
      <w:r w:rsidRPr="00F94584">
        <w:rPr>
          <w:rFonts w:ascii="Arial" w:hAnsi="Arial" w:cs="Arial"/>
          <w:lang w:val="ro-RO"/>
        </w:rPr>
        <w:lastRenderedPageBreak/>
        <w:t>arondate, respectiv Perişoru, Berlescu, Târlele Filiu, Oprişeneşti şi Plopu prin transformarea în îngrăşământ agricol. Deşeurile biodegradabile se colectează de la locuitorii care cresc animale în gospodării. Acestea se stochează pe o platformă betonată, iar pentru colectare în fiecare gospodărie s-au amplasat europubele speciale. Acest obiectiv a fost realizat şi funcţionează din decembrie 2008. Compostul rezultat poate fi valorificat ca fertilizant agricol de către fermele locale, sau de către populație pe terenurile proprii.</w:t>
      </w:r>
    </w:p>
    <w:p w:rsidR="003F451C" w:rsidRPr="00F94584" w:rsidRDefault="003F451C" w:rsidP="003F451C">
      <w:pPr>
        <w:autoSpaceDE w:val="0"/>
        <w:autoSpaceDN w:val="0"/>
        <w:adjustRightInd w:val="0"/>
        <w:ind w:firstLine="737"/>
        <w:jc w:val="both"/>
        <w:rPr>
          <w:rFonts w:ascii="Arial" w:hAnsi="Arial" w:cs="Arial"/>
          <w:lang w:val="ro-RO"/>
        </w:rPr>
      </w:pPr>
    </w:p>
    <w:p w:rsidR="003F451C" w:rsidRPr="00B32805" w:rsidRDefault="003F451C" w:rsidP="003F451C">
      <w:pPr>
        <w:autoSpaceDE w:val="0"/>
        <w:autoSpaceDN w:val="0"/>
        <w:adjustRightInd w:val="0"/>
        <w:rPr>
          <w:rFonts w:ascii="Arial" w:eastAsia="Times New Roman" w:hAnsi="Arial" w:cs="Arial"/>
          <w:b/>
          <w:lang w:val="ro-RO" w:eastAsia="ro-RO"/>
        </w:rPr>
      </w:pPr>
      <w:r w:rsidRPr="00B32805">
        <w:rPr>
          <w:rFonts w:ascii="Arial" w:eastAsia="Times New Roman" w:hAnsi="Arial" w:cs="Arial"/>
          <w:b/>
          <w:lang w:val="ro-RO" w:eastAsia="ro-RO"/>
        </w:rPr>
        <w:t xml:space="preserve">Staţii  de transfer şi/sau sortare </w:t>
      </w:r>
    </w:p>
    <w:p w:rsidR="003F451C" w:rsidRPr="00F94584" w:rsidRDefault="003F451C" w:rsidP="003F451C">
      <w:pPr>
        <w:autoSpaceDE w:val="0"/>
        <w:autoSpaceDN w:val="0"/>
        <w:adjustRightInd w:val="0"/>
        <w:ind w:firstLine="737"/>
        <w:jc w:val="both"/>
        <w:rPr>
          <w:rFonts w:ascii="Arial" w:hAnsi="Arial" w:cs="Arial"/>
          <w:i/>
          <w:lang w:val="ro-RO"/>
        </w:rPr>
      </w:pPr>
      <w:r w:rsidRPr="00F94584">
        <w:rPr>
          <w:rFonts w:ascii="Arial" w:hAnsi="Arial" w:cs="Arial"/>
          <w:lang w:val="it-IT"/>
        </w:rPr>
        <w:t>În prezent în judeţul Brăila nu există staţii de transfer şi sortare a deşeurilor municipale. În oraşul Însurăţei s-a implementat, în baza proiectul PHARE, Sistemul integrat de management al deşeurilor pentru oraşul Însurăţei și satele componente. Prin acest proiect au fost amenajate: 20 de platforme de precolectare deşeuri dotate cu un număr de 80 europubele pentru colectarea selectivă a deşeurilor, a fost construită o staţie de compost şi de sortare a deşeurilor colectate dotată cu un cântar electronic tip ba sculă, iar pentru transportul şi compactarea deşeurilor au fost achiziționate două autogunoiere şi un încărcător frontal.</w:t>
      </w:r>
    </w:p>
    <w:p w:rsidR="003F451C" w:rsidRPr="00F94584" w:rsidRDefault="003F451C" w:rsidP="003F451C">
      <w:pPr>
        <w:tabs>
          <w:tab w:val="left" w:pos="1358"/>
          <w:tab w:val="left" w:leader="dot" w:pos="9356"/>
        </w:tabs>
        <w:ind w:left="993"/>
        <w:rPr>
          <w:rFonts w:ascii="Arial" w:hAnsi="Arial" w:cs="Arial"/>
          <w:i/>
          <w:lang w:val="ro-RO"/>
        </w:rPr>
      </w:pPr>
    </w:p>
    <w:p w:rsidR="003F451C" w:rsidRPr="0017042C" w:rsidRDefault="003F451C" w:rsidP="003F451C">
      <w:pPr>
        <w:tabs>
          <w:tab w:val="left" w:pos="1358"/>
          <w:tab w:val="left" w:leader="dot" w:pos="9356"/>
        </w:tabs>
        <w:ind w:left="993"/>
        <w:rPr>
          <w:rFonts w:ascii="Arial" w:hAnsi="Arial" w:cs="Arial"/>
          <w:b/>
          <w:lang w:val="ro-RO"/>
        </w:rPr>
      </w:pPr>
      <w:r w:rsidRPr="0017042C">
        <w:rPr>
          <w:rFonts w:ascii="Arial" w:hAnsi="Arial" w:cs="Arial"/>
          <w:b/>
          <w:lang w:val="ro-RO"/>
        </w:rPr>
        <w:t>VII.1.2.Generarea şi gestionarea deşeurilor industriale</w:t>
      </w:r>
    </w:p>
    <w:p w:rsidR="003F451C" w:rsidRPr="00F94584" w:rsidRDefault="003F451C" w:rsidP="003F451C">
      <w:pPr>
        <w:autoSpaceDE w:val="0"/>
        <w:autoSpaceDN w:val="0"/>
        <w:adjustRightInd w:val="0"/>
        <w:spacing w:after="13"/>
        <w:rPr>
          <w:rFonts w:ascii="Arial" w:eastAsia="Times New Roman" w:hAnsi="Arial" w:cs="Arial"/>
          <w:lang w:val="ro-RO" w:eastAsia="ro-RO"/>
        </w:rPr>
      </w:pP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Deşeurile industriale rezultă în urma desfăşurării diferitelor activităţi economice. Pot avea caracter periculos sau nepericulos. Cantităţiile de deşeuri de producţie generate variază de la an la an, datorită variaţiei activităţii generatoare de deşeuri, a retehnologizării, a preocupării crescânde de a minimiza cantitatea de deşeuri generată.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Evidenţa şi gestiunea deşeurilor industriale revine în sarcina operatorului economic generator. Generatorii de deşeuri industriale îşi gestionează prin mijloace proprii sau prin contracte încheiate cu operatori economici specializaţi şi autorizaţi conform legii, valorificarea sau eliminarea prin depozitare/incinerare a deşeurilor produse. </w:t>
      </w:r>
    </w:p>
    <w:p w:rsidR="003F451C"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Monitorizarea agenţilor economici care generează deşeuri de producţie se realizează lunar, semestrial și anual în conformitate cu prevederile HG 856/2002, ale Legii 211/2011 privind regimul deşeurilor şi ale autorizaţiei de mediu. Cantităţile de deşeuri de producţie generate anual sunt înregistrate şi raportate de către operatorii economici şi prin chestionarele pe baza cărora se realizează ancheta statistică „MEDIUS”.</w:t>
      </w:r>
    </w:p>
    <w:p w:rsidR="003F451C" w:rsidRPr="00F94584" w:rsidRDefault="003F451C" w:rsidP="003F451C">
      <w:pPr>
        <w:autoSpaceDE w:val="0"/>
        <w:autoSpaceDN w:val="0"/>
        <w:adjustRightInd w:val="0"/>
        <w:ind w:firstLine="737"/>
        <w:jc w:val="both"/>
        <w:rPr>
          <w:rFonts w:ascii="Arial" w:hAnsi="Arial" w:cs="Arial"/>
          <w:lang w:val="ro-RO"/>
        </w:rPr>
      </w:pPr>
    </w:p>
    <w:p w:rsidR="003F451C" w:rsidRPr="00F94584" w:rsidRDefault="003F451C" w:rsidP="003F451C">
      <w:pPr>
        <w:jc w:val="both"/>
        <w:rPr>
          <w:rFonts w:ascii="Arial" w:hAnsi="Arial" w:cs="Arial"/>
          <w:b/>
        </w:rPr>
      </w:pPr>
      <w:r w:rsidRPr="00F94584">
        <w:rPr>
          <w:rFonts w:ascii="Arial" w:hAnsi="Arial" w:cs="Arial"/>
          <w:b/>
          <w:lang w:val="it-IT"/>
        </w:rPr>
        <w:t xml:space="preserve">                Tabel nr.VII.1.2.-1 - </w:t>
      </w:r>
      <w:r w:rsidRPr="00F94584">
        <w:rPr>
          <w:rFonts w:ascii="Arial" w:hAnsi="Arial" w:cs="Arial"/>
          <w:lang w:val="it-IT"/>
        </w:rPr>
        <w:t>Deșeuri de producție</w:t>
      </w:r>
    </w:p>
    <w:tbl>
      <w:tblPr>
        <w:tblW w:w="0" w:type="auto"/>
        <w:jc w:val="center"/>
        <w:tblInd w:w="114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51"/>
        <w:gridCol w:w="1587"/>
        <w:gridCol w:w="1597"/>
        <w:gridCol w:w="1407"/>
        <w:gridCol w:w="1366"/>
      </w:tblGrid>
      <w:tr w:rsidR="003F451C" w:rsidRPr="00F94584" w:rsidTr="004E468C">
        <w:trPr>
          <w:jc w:val="center"/>
        </w:trPr>
        <w:tc>
          <w:tcPr>
            <w:tcW w:w="1751"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Cantităţi deşeuri</w:t>
            </w:r>
          </w:p>
        </w:tc>
        <w:tc>
          <w:tcPr>
            <w:tcW w:w="1587"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Generate</w:t>
            </w:r>
          </w:p>
          <w:p w:rsidR="003F451C" w:rsidRPr="00F94584" w:rsidRDefault="003F451C" w:rsidP="004E468C">
            <w:pPr>
              <w:jc w:val="center"/>
              <w:rPr>
                <w:rFonts w:ascii="Arial" w:hAnsi="Arial" w:cs="Arial"/>
                <w:b/>
              </w:rPr>
            </w:pPr>
            <w:r w:rsidRPr="00F94584">
              <w:rPr>
                <w:rFonts w:ascii="Arial" w:hAnsi="Arial" w:cs="Arial"/>
                <w:b/>
              </w:rPr>
              <w:t>t</w:t>
            </w:r>
          </w:p>
        </w:tc>
        <w:tc>
          <w:tcPr>
            <w:tcW w:w="1597"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Valorificate</w:t>
            </w:r>
          </w:p>
          <w:p w:rsidR="003F451C" w:rsidRPr="00F94584" w:rsidRDefault="003F451C" w:rsidP="004E468C">
            <w:pPr>
              <w:jc w:val="center"/>
              <w:rPr>
                <w:rFonts w:ascii="Arial" w:hAnsi="Arial" w:cs="Arial"/>
                <w:b/>
              </w:rPr>
            </w:pPr>
            <w:r w:rsidRPr="00F94584">
              <w:rPr>
                <w:rFonts w:ascii="Arial" w:hAnsi="Arial" w:cs="Arial"/>
                <w:b/>
              </w:rPr>
              <w:t>t</w:t>
            </w:r>
          </w:p>
        </w:tc>
        <w:tc>
          <w:tcPr>
            <w:tcW w:w="1407"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Eliminate</w:t>
            </w:r>
          </w:p>
          <w:p w:rsidR="003F451C" w:rsidRPr="00F94584" w:rsidRDefault="003F451C" w:rsidP="004E468C">
            <w:pPr>
              <w:jc w:val="center"/>
              <w:rPr>
                <w:rFonts w:ascii="Arial" w:hAnsi="Arial" w:cs="Arial"/>
                <w:b/>
              </w:rPr>
            </w:pPr>
            <w:r w:rsidRPr="00F94584">
              <w:rPr>
                <w:rFonts w:ascii="Arial" w:hAnsi="Arial" w:cs="Arial"/>
                <w:b/>
              </w:rPr>
              <w:t>t</w:t>
            </w:r>
          </w:p>
        </w:tc>
        <w:tc>
          <w:tcPr>
            <w:tcW w:w="1366"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Stoc</w:t>
            </w:r>
          </w:p>
          <w:p w:rsidR="003F451C" w:rsidRPr="00F94584" w:rsidRDefault="003F451C" w:rsidP="004E468C">
            <w:pPr>
              <w:jc w:val="center"/>
              <w:rPr>
                <w:rFonts w:ascii="Arial" w:hAnsi="Arial" w:cs="Arial"/>
                <w:b/>
              </w:rPr>
            </w:pPr>
            <w:r w:rsidRPr="00F94584">
              <w:rPr>
                <w:rFonts w:ascii="Arial" w:hAnsi="Arial" w:cs="Arial"/>
                <w:b/>
              </w:rPr>
              <w:t>t</w:t>
            </w:r>
          </w:p>
        </w:tc>
      </w:tr>
      <w:tr w:rsidR="003F451C" w:rsidRPr="00F94584" w:rsidTr="004E468C">
        <w:trPr>
          <w:jc w:val="center"/>
        </w:trPr>
        <w:tc>
          <w:tcPr>
            <w:tcW w:w="1751" w:type="dxa"/>
          </w:tcPr>
          <w:p w:rsidR="003F451C" w:rsidRPr="00F94584" w:rsidRDefault="003F451C" w:rsidP="004E468C">
            <w:pPr>
              <w:jc w:val="center"/>
              <w:rPr>
                <w:rFonts w:ascii="Arial" w:hAnsi="Arial" w:cs="Arial"/>
                <w:b/>
              </w:rPr>
            </w:pPr>
            <w:r w:rsidRPr="00F94584">
              <w:rPr>
                <w:rFonts w:ascii="Arial" w:hAnsi="Arial" w:cs="Arial"/>
                <w:b/>
              </w:rPr>
              <w:t>Anul 2009</w:t>
            </w:r>
          </w:p>
        </w:tc>
        <w:tc>
          <w:tcPr>
            <w:tcW w:w="1587" w:type="dxa"/>
          </w:tcPr>
          <w:p w:rsidR="003F451C" w:rsidRPr="00F94584" w:rsidRDefault="003F451C" w:rsidP="004E468C">
            <w:pPr>
              <w:jc w:val="center"/>
              <w:rPr>
                <w:rFonts w:ascii="Arial" w:hAnsi="Arial" w:cs="Arial"/>
              </w:rPr>
            </w:pPr>
            <w:r w:rsidRPr="00F94584">
              <w:rPr>
                <w:rFonts w:ascii="Arial" w:hAnsi="Arial" w:cs="Arial"/>
              </w:rPr>
              <w:t>1499,219</w:t>
            </w:r>
          </w:p>
        </w:tc>
        <w:tc>
          <w:tcPr>
            <w:tcW w:w="1597" w:type="dxa"/>
          </w:tcPr>
          <w:p w:rsidR="003F451C" w:rsidRPr="00F94584" w:rsidRDefault="003F451C" w:rsidP="004E468C">
            <w:pPr>
              <w:jc w:val="center"/>
              <w:rPr>
                <w:rFonts w:ascii="Arial" w:hAnsi="Arial" w:cs="Arial"/>
              </w:rPr>
            </w:pPr>
            <w:r w:rsidRPr="00F94584">
              <w:rPr>
                <w:rFonts w:ascii="Arial" w:hAnsi="Arial" w:cs="Arial"/>
              </w:rPr>
              <w:t>1004,189</w:t>
            </w:r>
          </w:p>
        </w:tc>
        <w:tc>
          <w:tcPr>
            <w:tcW w:w="1407" w:type="dxa"/>
          </w:tcPr>
          <w:p w:rsidR="003F451C" w:rsidRPr="00F94584" w:rsidRDefault="003F451C" w:rsidP="004E468C">
            <w:pPr>
              <w:jc w:val="both"/>
              <w:rPr>
                <w:rFonts w:ascii="Arial" w:hAnsi="Arial" w:cs="Arial"/>
              </w:rPr>
            </w:pPr>
            <w:r w:rsidRPr="00F94584">
              <w:rPr>
                <w:rFonts w:ascii="Arial" w:hAnsi="Arial" w:cs="Arial"/>
              </w:rPr>
              <w:t>269,539</w:t>
            </w:r>
          </w:p>
        </w:tc>
        <w:tc>
          <w:tcPr>
            <w:tcW w:w="1366" w:type="dxa"/>
          </w:tcPr>
          <w:p w:rsidR="003F451C" w:rsidRPr="00F94584" w:rsidRDefault="003F451C" w:rsidP="004E468C">
            <w:pPr>
              <w:jc w:val="center"/>
              <w:rPr>
                <w:rFonts w:ascii="Arial" w:hAnsi="Arial" w:cs="Arial"/>
              </w:rPr>
            </w:pPr>
            <w:r w:rsidRPr="00F94584">
              <w:rPr>
                <w:rFonts w:ascii="Arial" w:hAnsi="Arial" w:cs="Arial"/>
              </w:rPr>
              <w:t>225,491</w:t>
            </w:r>
          </w:p>
        </w:tc>
      </w:tr>
      <w:tr w:rsidR="003F451C" w:rsidRPr="00F94584" w:rsidTr="004E468C">
        <w:trPr>
          <w:jc w:val="center"/>
        </w:trPr>
        <w:tc>
          <w:tcPr>
            <w:tcW w:w="1751" w:type="dxa"/>
          </w:tcPr>
          <w:p w:rsidR="003F451C" w:rsidRPr="00F94584" w:rsidRDefault="003F451C" w:rsidP="004E468C">
            <w:pPr>
              <w:jc w:val="center"/>
              <w:rPr>
                <w:rFonts w:ascii="Arial" w:hAnsi="Arial" w:cs="Arial"/>
                <w:b/>
              </w:rPr>
            </w:pPr>
            <w:r w:rsidRPr="00F94584">
              <w:rPr>
                <w:rFonts w:ascii="Arial" w:hAnsi="Arial" w:cs="Arial"/>
                <w:b/>
              </w:rPr>
              <w:t>Anul 2010</w:t>
            </w:r>
          </w:p>
        </w:tc>
        <w:tc>
          <w:tcPr>
            <w:tcW w:w="1587" w:type="dxa"/>
          </w:tcPr>
          <w:p w:rsidR="003F451C" w:rsidRPr="00F94584" w:rsidRDefault="003F451C" w:rsidP="004E468C">
            <w:pPr>
              <w:jc w:val="center"/>
              <w:rPr>
                <w:rFonts w:ascii="Arial" w:hAnsi="Arial" w:cs="Arial"/>
              </w:rPr>
            </w:pPr>
            <w:r w:rsidRPr="00F94584">
              <w:rPr>
                <w:rFonts w:ascii="Arial" w:hAnsi="Arial" w:cs="Arial"/>
              </w:rPr>
              <w:t>3465,024</w:t>
            </w:r>
          </w:p>
        </w:tc>
        <w:tc>
          <w:tcPr>
            <w:tcW w:w="1597" w:type="dxa"/>
          </w:tcPr>
          <w:p w:rsidR="003F451C" w:rsidRPr="00F94584" w:rsidRDefault="003F451C" w:rsidP="004E468C">
            <w:pPr>
              <w:jc w:val="center"/>
              <w:rPr>
                <w:rFonts w:ascii="Arial" w:hAnsi="Arial" w:cs="Arial"/>
              </w:rPr>
            </w:pPr>
            <w:r w:rsidRPr="00F94584">
              <w:rPr>
                <w:rFonts w:ascii="Arial" w:hAnsi="Arial" w:cs="Arial"/>
              </w:rPr>
              <w:t>2639,628</w:t>
            </w:r>
          </w:p>
        </w:tc>
        <w:tc>
          <w:tcPr>
            <w:tcW w:w="1407" w:type="dxa"/>
          </w:tcPr>
          <w:p w:rsidR="003F451C" w:rsidRPr="00F94584" w:rsidRDefault="003F451C" w:rsidP="004E468C">
            <w:pPr>
              <w:jc w:val="center"/>
              <w:rPr>
                <w:rFonts w:ascii="Arial" w:hAnsi="Arial" w:cs="Arial"/>
              </w:rPr>
            </w:pPr>
            <w:r w:rsidRPr="00F94584">
              <w:rPr>
                <w:rFonts w:ascii="Arial" w:hAnsi="Arial" w:cs="Arial"/>
              </w:rPr>
              <w:t>269,539</w:t>
            </w:r>
          </w:p>
        </w:tc>
        <w:tc>
          <w:tcPr>
            <w:tcW w:w="1366" w:type="dxa"/>
          </w:tcPr>
          <w:p w:rsidR="003F451C" w:rsidRPr="00F94584" w:rsidRDefault="003F451C" w:rsidP="004E468C">
            <w:pPr>
              <w:jc w:val="center"/>
              <w:rPr>
                <w:rFonts w:ascii="Arial" w:hAnsi="Arial" w:cs="Arial"/>
              </w:rPr>
            </w:pPr>
            <w:r w:rsidRPr="00F94584">
              <w:rPr>
                <w:rFonts w:ascii="Arial" w:hAnsi="Arial" w:cs="Arial"/>
              </w:rPr>
              <w:t>1161,919</w:t>
            </w:r>
          </w:p>
        </w:tc>
      </w:tr>
      <w:tr w:rsidR="003F451C" w:rsidRPr="00F94584" w:rsidTr="004E468C">
        <w:trPr>
          <w:jc w:val="center"/>
        </w:trPr>
        <w:tc>
          <w:tcPr>
            <w:tcW w:w="1751" w:type="dxa"/>
          </w:tcPr>
          <w:p w:rsidR="003F451C" w:rsidRPr="00F94584" w:rsidRDefault="003F451C" w:rsidP="004E468C">
            <w:pPr>
              <w:jc w:val="center"/>
              <w:rPr>
                <w:rFonts w:ascii="Arial" w:hAnsi="Arial" w:cs="Arial"/>
                <w:b/>
              </w:rPr>
            </w:pPr>
            <w:r w:rsidRPr="00F94584">
              <w:rPr>
                <w:rFonts w:ascii="Arial" w:hAnsi="Arial" w:cs="Arial"/>
                <w:b/>
              </w:rPr>
              <w:t>Anul 2011</w:t>
            </w:r>
          </w:p>
        </w:tc>
        <w:tc>
          <w:tcPr>
            <w:tcW w:w="1587" w:type="dxa"/>
          </w:tcPr>
          <w:p w:rsidR="003F451C" w:rsidRPr="00F94584" w:rsidRDefault="003F451C" w:rsidP="004E468C">
            <w:pPr>
              <w:jc w:val="center"/>
              <w:rPr>
                <w:rFonts w:ascii="Arial" w:hAnsi="Arial" w:cs="Arial"/>
              </w:rPr>
            </w:pPr>
            <w:r w:rsidRPr="00F94584">
              <w:rPr>
                <w:rFonts w:ascii="Arial" w:hAnsi="Arial" w:cs="Arial"/>
              </w:rPr>
              <w:t>2030,18</w:t>
            </w:r>
          </w:p>
        </w:tc>
        <w:tc>
          <w:tcPr>
            <w:tcW w:w="1597" w:type="dxa"/>
          </w:tcPr>
          <w:p w:rsidR="003F451C" w:rsidRPr="00F94584" w:rsidRDefault="003F451C" w:rsidP="004E468C">
            <w:pPr>
              <w:jc w:val="center"/>
              <w:rPr>
                <w:rFonts w:ascii="Arial" w:hAnsi="Arial" w:cs="Arial"/>
              </w:rPr>
            </w:pPr>
            <w:r w:rsidRPr="00F94584">
              <w:rPr>
                <w:rFonts w:ascii="Arial" w:hAnsi="Arial" w:cs="Arial"/>
              </w:rPr>
              <w:t>1708,56</w:t>
            </w:r>
          </w:p>
        </w:tc>
        <w:tc>
          <w:tcPr>
            <w:tcW w:w="1407" w:type="dxa"/>
          </w:tcPr>
          <w:p w:rsidR="003F451C" w:rsidRPr="00F94584" w:rsidRDefault="003F451C" w:rsidP="004E468C">
            <w:pPr>
              <w:jc w:val="center"/>
              <w:rPr>
                <w:rFonts w:ascii="Arial" w:hAnsi="Arial" w:cs="Arial"/>
              </w:rPr>
            </w:pPr>
            <w:r w:rsidRPr="00F94584">
              <w:rPr>
                <w:rFonts w:ascii="Arial" w:hAnsi="Arial" w:cs="Arial"/>
              </w:rPr>
              <w:t>18,85</w:t>
            </w:r>
          </w:p>
        </w:tc>
        <w:tc>
          <w:tcPr>
            <w:tcW w:w="1366" w:type="dxa"/>
          </w:tcPr>
          <w:p w:rsidR="003F451C" w:rsidRPr="00F94584" w:rsidRDefault="003F451C" w:rsidP="004E468C">
            <w:pPr>
              <w:jc w:val="center"/>
              <w:rPr>
                <w:rFonts w:ascii="Arial" w:hAnsi="Arial" w:cs="Arial"/>
              </w:rPr>
            </w:pPr>
            <w:r w:rsidRPr="00F94584">
              <w:rPr>
                <w:rFonts w:ascii="Arial" w:hAnsi="Arial" w:cs="Arial"/>
              </w:rPr>
              <w:t>297,97</w:t>
            </w:r>
          </w:p>
        </w:tc>
      </w:tr>
      <w:tr w:rsidR="003F451C" w:rsidRPr="00F94584" w:rsidTr="004E468C">
        <w:trPr>
          <w:jc w:val="center"/>
        </w:trPr>
        <w:tc>
          <w:tcPr>
            <w:tcW w:w="1751" w:type="dxa"/>
          </w:tcPr>
          <w:p w:rsidR="003F451C" w:rsidRPr="00F94584" w:rsidRDefault="003F451C" w:rsidP="004E468C">
            <w:pPr>
              <w:jc w:val="center"/>
              <w:rPr>
                <w:rFonts w:ascii="Arial" w:hAnsi="Arial" w:cs="Arial"/>
                <w:b/>
              </w:rPr>
            </w:pPr>
            <w:r w:rsidRPr="00F94584">
              <w:rPr>
                <w:rFonts w:ascii="Arial" w:hAnsi="Arial" w:cs="Arial"/>
                <w:b/>
              </w:rPr>
              <w:t>Anul 2012</w:t>
            </w:r>
          </w:p>
        </w:tc>
        <w:tc>
          <w:tcPr>
            <w:tcW w:w="1587" w:type="dxa"/>
          </w:tcPr>
          <w:p w:rsidR="003F451C" w:rsidRPr="00F94584" w:rsidRDefault="003F451C" w:rsidP="004E468C">
            <w:pPr>
              <w:jc w:val="center"/>
              <w:rPr>
                <w:rFonts w:ascii="Arial" w:hAnsi="Arial" w:cs="Arial"/>
              </w:rPr>
            </w:pPr>
            <w:r w:rsidRPr="00F94584">
              <w:rPr>
                <w:rFonts w:ascii="Arial" w:hAnsi="Arial" w:cs="Arial"/>
              </w:rPr>
              <w:t>2194,1</w:t>
            </w:r>
          </w:p>
        </w:tc>
        <w:tc>
          <w:tcPr>
            <w:tcW w:w="1597" w:type="dxa"/>
          </w:tcPr>
          <w:p w:rsidR="003F451C" w:rsidRPr="00F94584" w:rsidRDefault="003F451C" w:rsidP="004E468C">
            <w:pPr>
              <w:jc w:val="center"/>
              <w:rPr>
                <w:rFonts w:ascii="Arial" w:hAnsi="Arial" w:cs="Arial"/>
              </w:rPr>
            </w:pPr>
            <w:r w:rsidRPr="00F94584">
              <w:rPr>
                <w:rFonts w:ascii="Arial" w:hAnsi="Arial" w:cs="Arial"/>
              </w:rPr>
              <w:t>1605,6</w:t>
            </w:r>
          </w:p>
        </w:tc>
        <w:tc>
          <w:tcPr>
            <w:tcW w:w="1407" w:type="dxa"/>
          </w:tcPr>
          <w:p w:rsidR="003F451C" w:rsidRPr="00F94584" w:rsidRDefault="003F451C" w:rsidP="004E468C">
            <w:pPr>
              <w:jc w:val="center"/>
              <w:rPr>
                <w:rFonts w:ascii="Arial" w:hAnsi="Arial" w:cs="Arial"/>
              </w:rPr>
            </w:pPr>
            <w:r w:rsidRPr="00F94584">
              <w:rPr>
                <w:rFonts w:ascii="Arial" w:hAnsi="Arial" w:cs="Arial"/>
              </w:rPr>
              <w:t>457,7</w:t>
            </w:r>
          </w:p>
        </w:tc>
        <w:tc>
          <w:tcPr>
            <w:tcW w:w="1366" w:type="dxa"/>
          </w:tcPr>
          <w:p w:rsidR="003F451C" w:rsidRPr="00F94584" w:rsidRDefault="003F451C" w:rsidP="004E468C">
            <w:pPr>
              <w:jc w:val="center"/>
              <w:rPr>
                <w:rFonts w:ascii="Arial" w:hAnsi="Arial" w:cs="Arial"/>
              </w:rPr>
            </w:pPr>
            <w:r w:rsidRPr="00F94584">
              <w:rPr>
                <w:rFonts w:ascii="Arial" w:hAnsi="Arial" w:cs="Arial"/>
              </w:rPr>
              <w:t>130,8</w:t>
            </w:r>
          </w:p>
        </w:tc>
      </w:tr>
      <w:tr w:rsidR="003F451C" w:rsidRPr="00F94584" w:rsidTr="004E468C">
        <w:trPr>
          <w:jc w:val="center"/>
        </w:trPr>
        <w:tc>
          <w:tcPr>
            <w:tcW w:w="1751" w:type="dxa"/>
          </w:tcPr>
          <w:p w:rsidR="003F451C" w:rsidRPr="00F94584" w:rsidRDefault="003F451C" w:rsidP="004E468C">
            <w:pPr>
              <w:jc w:val="center"/>
              <w:rPr>
                <w:rFonts w:ascii="Arial" w:hAnsi="Arial" w:cs="Arial"/>
                <w:b/>
              </w:rPr>
            </w:pPr>
            <w:r w:rsidRPr="00F94584">
              <w:rPr>
                <w:rFonts w:ascii="Arial" w:hAnsi="Arial" w:cs="Arial"/>
                <w:b/>
              </w:rPr>
              <w:t>Anul 2013</w:t>
            </w:r>
          </w:p>
        </w:tc>
        <w:tc>
          <w:tcPr>
            <w:tcW w:w="1587" w:type="dxa"/>
          </w:tcPr>
          <w:p w:rsidR="003F451C" w:rsidRPr="00F94584" w:rsidRDefault="003F451C" w:rsidP="004E468C">
            <w:pPr>
              <w:jc w:val="center"/>
              <w:rPr>
                <w:rFonts w:ascii="Arial" w:hAnsi="Arial" w:cs="Arial"/>
              </w:rPr>
            </w:pPr>
            <w:r w:rsidRPr="00F94584">
              <w:rPr>
                <w:rFonts w:ascii="Arial" w:hAnsi="Arial" w:cs="Arial"/>
              </w:rPr>
              <w:t>4184.2</w:t>
            </w:r>
          </w:p>
        </w:tc>
        <w:tc>
          <w:tcPr>
            <w:tcW w:w="1597" w:type="dxa"/>
          </w:tcPr>
          <w:p w:rsidR="003F451C" w:rsidRPr="00F94584" w:rsidRDefault="003F451C" w:rsidP="004E468C">
            <w:pPr>
              <w:jc w:val="center"/>
              <w:rPr>
                <w:rFonts w:ascii="Arial" w:hAnsi="Arial" w:cs="Arial"/>
              </w:rPr>
            </w:pPr>
            <w:r w:rsidRPr="00F94584">
              <w:rPr>
                <w:rFonts w:ascii="Arial" w:hAnsi="Arial" w:cs="Arial"/>
              </w:rPr>
              <w:t>3238.2</w:t>
            </w:r>
          </w:p>
        </w:tc>
        <w:tc>
          <w:tcPr>
            <w:tcW w:w="1407" w:type="dxa"/>
          </w:tcPr>
          <w:p w:rsidR="003F451C" w:rsidRPr="00F94584" w:rsidRDefault="003F451C" w:rsidP="004E468C">
            <w:pPr>
              <w:jc w:val="center"/>
              <w:rPr>
                <w:rFonts w:ascii="Arial" w:hAnsi="Arial" w:cs="Arial"/>
              </w:rPr>
            </w:pPr>
            <w:r w:rsidRPr="00F94584">
              <w:rPr>
                <w:rFonts w:ascii="Arial" w:hAnsi="Arial" w:cs="Arial"/>
              </w:rPr>
              <w:t>629.9</w:t>
            </w:r>
          </w:p>
        </w:tc>
        <w:tc>
          <w:tcPr>
            <w:tcW w:w="1366" w:type="dxa"/>
          </w:tcPr>
          <w:p w:rsidR="003F451C" w:rsidRPr="00F94584" w:rsidRDefault="003F451C" w:rsidP="004E468C">
            <w:pPr>
              <w:jc w:val="center"/>
              <w:rPr>
                <w:rFonts w:ascii="Arial" w:hAnsi="Arial" w:cs="Arial"/>
              </w:rPr>
            </w:pPr>
            <w:r w:rsidRPr="00F94584">
              <w:rPr>
                <w:rFonts w:ascii="Arial" w:hAnsi="Arial" w:cs="Arial"/>
              </w:rPr>
              <w:t>315.1</w:t>
            </w:r>
          </w:p>
        </w:tc>
      </w:tr>
    </w:tbl>
    <w:p w:rsidR="003F451C" w:rsidRPr="00F94584" w:rsidRDefault="003F451C" w:rsidP="003F451C">
      <w:pPr>
        <w:jc w:val="both"/>
        <w:rPr>
          <w:rFonts w:ascii="Arial" w:hAnsi="Arial" w:cs="Arial"/>
          <w:b/>
        </w:rPr>
      </w:pPr>
    </w:p>
    <w:p w:rsidR="003F451C" w:rsidRDefault="003F451C" w:rsidP="003F451C">
      <w:pPr>
        <w:rPr>
          <w:rFonts w:ascii="Arial" w:hAnsi="Arial" w:cs="Arial"/>
          <w:b/>
        </w:rPr>
      </w:pPr>
      <w:r w:rsidRPr="00F94584">
        <w:rPr>
          <w:rFonts w:ascii="Arial" w:hAnsi="Arial" w:cs="Arial"/>
          <w:b/>
        </w:rPr>
        <w:t xml:space="preserve">                </w:t>
      </w: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b/>
        </w:rPr>
      </w:pPr>
    </w:p>
    <w:p w:rsidR="003F451C" w:rsidRDefault="003F451C" w:rsidP="003F451C">
      <w:pPr>
        <w:rPr>
          <w:rFonts w:ascii="Arial" w:hAnsi="Arial" w:cs="Arial"/>
          <w:lang w:val="it-IT"/>
        </w:rPr>
      </w:pPr>
      <w:r w:rsidRPr="00F94584">
        <w:rPr>
          <w:rFonts w:ascii="Arial" w:hAnsi="Arial" w:cs="Arial"/>
          <w:b/>
          <w:lang w:val="it-IT"/>
        </w:rPr>
        <w:t xml:space="preserve">Tabel nr.VII.1.2.-2 - </w:t>
      </w:r>
      <w:r w:rsidRPr="00F94584">
        <w:rPr>
          <w:rFonts w:ascii="Arial" w:hAnsi="Arial" w:cs="Arial"/>
          <w:lang w:val="it-IT"/>
        </w:rPr>
        <w:t>Deşeuri generate pe activităţi economice 2013</w:t>
      </w:r>
    </w:p>
    <w:p w:rsidR="003F451C" w:rsidRPr="00F94584" w:rsidRDefault="003F451C" w:rsidP="003F451C">
      <w:pPr>
        <w:rPr>
          <w:rFonts w:ascii="Arial" w:hAnsi="Arial" w:cs="Arial"/>
          <w:lang w:val="it-IT"/>
        </w:rPr>
      </w:pPr>
    </w:p>
    <w:tbl>
      <w:tblPr>
        <w:tblW w:w="0" w:type="auto"/>
        <w:jc w:val="center"/>
        <w:tblInd w:w="1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4023"/>
        <w:gridCol w:w="2637"/>
      </w:tblGrid>
      <w:tr w:rsidR="003F451C" w:rsidRPr="00F94584" w:rsidTr="004E468C">
        <w:trPr>
          <w:jc w:val="center"/>
        </w:trPr>
        <w:tc>
          <w:tcPr>
            <w:tcW w:w="4023"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Activitate economică</w:t>
            </w:r>
          </w:p>
        </w:tc>
        <w:tc>
          <w:tcPr>
            <w:tcW w:w="2637"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Cantitate generată</w:t>
            </w:r>
          </w:p>
          <w:p w:rsidR="003F451C" w:rsidRPr="00F94584" w:rsidRDefault="003F451C" w:rsidP="004E468C">
            <w:pPr>
              <w:jc w:val="center"/>
              <w:rPr>
                <w:rFonts w:ascii="Arial" w:hAnsi="Arial" w:cs="Arial"/>
                <w:b/>
              </w:rPr>
            </w:pPr>
            <w:r w:rsidRPr="00F94584">
              <w:rPr>
                <w:rFonts w:ascii="Arial" w:hAnsi="Arial" w:cs="Arial"/>
                <w:b/>
              </w:rPr>
              <w:t>t</w:t>
            </w:r>
          </w:p>
        </w:tc>
      </w:tr>
      <w:tr w:rsidR="003F451C" w:rsidRPr="00F94584" w:rsidTr="004E468C">
        <w:trPr>
          <w:jc w:val="center"/>
        </w:trPr>
        <w:tc>
          <w:tcPr>
            <w:tcW w:w="4023" w:type="dxa"/>
          </w:tcPr>
          <w:p w:rsidR="003F451C" w:rsidRPr="00F94584" w:rsidRDefault="003F451C" w:rsidP="004E468C">
            <w:pPr>
              <w:rPr>
                <w:rFonts w:ascii="Arial" w:hAnsi="Arial" w:cs="Arial"/>
              </w:rPr>
            </w:pPr>
            <w:r w:rsidRPr="00F94584">
              <w:rPr>
                <w:rFonts w:ascii="Arial" w:hAnsi="Arial" w:cs="Arial"/>
              </w:rPr>
              <w:t>Industria constructoare de mașini</w:t>
            </w:r>
          </w:p>
        </w:tc>
        <w:tc>
          <w:tcPr>
            <w:tcW w:w="2637" w:type="dxa"/>
          </w:tcPr>
          <w:p w:rsidR="003F451C" w:rsidRPr="00F94584" w:rsidRDefault="003F451C" w:rsidP="004E468C">
            <w:pPr>
              <w:jc w:val="center"/>
              <w:rPr>
                <w:rFonts w:ascii="Arial" w:hAnsi="Arial" w:cs="Arial"/>
              </w:rPr>
            </w:pPr>
            <w:r w:rsidRPr="00F94584">
              <w:rPr>
                <w:rFonts w:ascii="Arial" w:hAnsi="Arial" w:cs="Arial"/>
              </w:rPr>
              <w:t>5229.79</w:t>
            </w:r>
          </w:p>
        </w:tc>
      </w:tr>
      <w:tr w:rsidR="003F451C" w:rsidRPr="00F94584" w:rsidTr="004E468C">
        <w:trPr>
          <w:jc w:val="center"/>
        </w:trPr>
        <w:tc>
          <w:tcPr>
            <w:tcW w:w="4023" w:type="dxa"/>
          </w:tcPr>
          <w:p w:rsidR="003F451C" w:rsidRPr="00F94584" w:rsidRDefault="003F451C" w:rsidP="004E468C">
            <w:pPr>
              <w:rPr>
                <w:rFonts w:ascii="Arial" w:hAnsi="Arial" w:cs="Arial"/>
              </w:rPr>
            </w:pPr>
            <w:r w:rsidRPr="00F94584">
              <w:rPr>
                <w:rFonts w:ascii="Arial" w:hAnsi="Arial" w:cs="Arial"/>
              </w:rPr>
              <w:lastRenderedPageBreak/>
              <w:t>Industria metalurgică</w:t>
            </w:r>
          </w:p>
        </w:tc>
        <w:tc>
          <w:tcPr>
            <w:tcW w:w="2637" w:type="dxa"/>
          </w:tcPr>
          <w:p w:rsidR="003F451C" w:rsidRPr="00F94584" w:rsidRDefault="003F451C" w:rsidP="004E468C">
            <w:pPr>
              <w:jc w:val="center"/>
              <w:rPr>
                <w:rFonts w:ascii="Arial" w:hAnsi="Arial" w:cs="Arial"/>
              </w:rPr>
            </w:pPr>
            <w:r w:rsidRPr="00F94584">
              <w:rPr>
                <w:rFonts w:ascii="Arial" w:hAnsi="Arial" w:cs="Arial"/>
              </w:rPr>
              <w:t>4888.68</w:t>
            </w:r>
          </w:p>
        </w:tc>
      </w:tr>
      <w:tr w:rsidR="003F451C" w:rsidRPr="00F94584" w:rsidTr="004E468C">
        <w:trPr>
          <w:jc w:val="center"/>
        </w:trPr>
        <w:tc>
          <w:tcPr>
            <w:tcW w:w="4023" w:type="dxa"/>
          </w:tcPr>
          <w:p w:rsidR="003F451C" w:rsidRPr="00F94584" w:rsidRDefault="003F451C" w:rsidP="004E468C">
            <w:pPr>
              <w:rPr>
                <w:rFonts w:ascii="Arial" w:hAnsi="Arial" w:cs="Arial"/>
              </w:rPr>
            </w:pPr>
            <w:r w:rsidRPr="00F94584">
              <w:rPr>
                <w:rFonts w:ascii="Arial" w:hAnsi="Arial" w:cs="Arial"/>
              </w:rPr>
              <w:t>Industria textilă</w:t>
            </w:r>
          </w:p>
        </w:tc>
        <w:tc>
          <w:tcPr>
            <w:tcW w:w="2637" w:type="dxa"/>
          </w:tcPr>
          <w:p w:rsidR="003F451C" w:rsidRPr="00F94584" w:rsidRDefault="003F451C" w:rsidP="004E468C">
            <w:pPr>
              <w:jc w:val="center"/>
              <w:rPr>
                <w:rFonts w:ascii="Arial" w:hAnsi="Arial" w:cs="Arial"/>
              </w:rPr>
            </w:pPr>
            <w:r w:rsidRPr="00F94584">
              <w:rPr>
                <w:rFonts w:ascii="Arial" w:hAnsi="Arial" w:cs="Arial"/>
              </w:rPr>
              <w:t>242.39</w:t>
            </w:r>
          </w:p>
        </w:tc>
      </w:tr>
      <w:tr w:rsidR="003F451C" w:rsidRPr="00F94584" w:rsidTr="004E468C">
        <w:trPr>
          <w:jc w:val="center"/>
        </w:trPr>
        <w:tc>
          <w:tcPr>
            <w:tcW w:w="4023" w:type="dxa"/>
          </w:tcPr>
          <w:p w:rsidR="003F451C" w:rsidRPr="00F94584" w:rsidRDefault="003F451C" w:rsidP="004E468C">
            <w:pPr>
              <w:rPr>
                <w:rFonts w:ascii="Arial" w:hAnsi="Arial" w:cs="Arial"/>
              </w:rPr>
            </w:pPr>
            <w:r w:rsidRPr="00F94584">
              <w:rPr>
                <w:rFonts w:ascii="Arial" w:hAnsi="Arial" w:cs="Arial"/>
              </w:rPr>
              <w:t>Industria alimentară</w:t>
            </w:r>
          </w:p>
        </w:tc>
        <w:tc>
          <w:tcPr>
            <w:tcW w:w="2637" w:type="dxa"/>
          </w:tcPr>
          <w:p w:rsidR="003F451C" w:rsidRPr="00F94584" w:rsidRDefault="003F451C" w:rsidP="004E468C">
            <w:pPr>
              <w:jc w:val="center"/>
              <w:rPr>
                <w:rFonts w:ascii="Arial" w:hAnsi="Arial" w:cs="Arial"/>
              </w:rPr>
            </w:pPr>
            <w:r w:rsidRPr="00F94584">
              <w:rPr>
                <w:rFonts w:ascii="Arial" w:hAnsi="Arial" w:cs="Arial"/>
              </w:rPr>
              <w:t>4969.79</w:t>
            </w:r>
          </w:p>
        </w:tc>
      </w:tr>
      <w:tr w:rsidR="003F451C" w:rsidRPr="00F94584" w:rsidTr="004E468C">
        <w:trPr>
          <w:jc w:val="center"/>
        </w:trPr>
        <w:tc>
          <w:tcPr>
            <w:tcW w:w="4023" w:type="dxa"/>
          </w:tcPr>
          <w:p w:rsidR="003F451C" w:rsidRPr="00F94584" w:rsidRDefault="003F451C" w:rsidP="004E468C">
            <w:pPr>
              <w:rPr>
                <w:rFonts w:ascii="Arial" w:hAnsi="Arial" w:cs="Arial"/>
              </w:rPr>
            </w:pPr>
            <w:r w:rsidRPr="00F94584">
              <w:rPr>
                <w:rFonts w:ascii="Arial" w:hAnsi="Arial" w:cs="Arial"/>
              </w:rPr>
              <w:t>Industria energetică</w:t>
            </w:r>
          </w:p>
        </w:tc>
        <w:tc>
          <w:tcPr>
            <w:tcW w:w="2637" w:type="dxa"/>
          </w:tcPr>
          <w:p w:rsidR="003F451C" w:rsidRPr="00F94584" w:rsidRDefault="003F451C" w:rsidP="004E468C">
            <w:pPr>
              <w:jc w:val="center"/>
              <w:rPr>
                <w:rFonts w:ascii="Arial" w:hAnsi="Arial" w:cs="Arial"/>
              </w:rPr>
            </w:pPr>
            <w:r w:rsidRPr="00F94584">
              <w:rPr>
                <w:rFonts w:ascii="Arial" w:hAnsi="Arial" w:cs="Arial"/>
              </w:rPr>
              <w:t>563.96</w:t>
            </w:r>
          </w:p>
        </w:tc>
      </w:tr>
      <w:tr w:rsidR="003F451C" w:rsidRPr="00F94584" w:rsidTr="004E468C">
        <w:trPr>
          <w:jc w:val="center"/>
        </w:trPr>
        <w:tc>
          <w:tcPr>
            <w:tcW w:w="4023" w:type="dxa"/>
          </w:tcPr>
          <w:p w:rsidR="003F451C" w:rsidRPr="00F94584" w:rsidRDefault="003F451C" w:rsidP="004E468C">
            <w:pPr>
              <w:rPr>
                <w:rFonts w:ascii="Arial" w:hAnsi="Arial" w:cs="Arial"/>
              </w:rPr>
            </w:pPr>
            <w:r w:rsidRPr="00F94584">
              <w:rPr>
                <w:rFonts w:ascii="Arial" w:hAnsi="Arial" w:cs="Arial"/>
              </w:rPr>
              <w:t>Industria construcţiilor navale</w:t>
            </w:r>
          </w:p>
        </w:tc>
        <w:tc>
          <w:tcPr>
            <w:tcW w:w="2637" w:type="dxa"/>
          </w:tcPr>
          <w:p w:rsidR="003F451C" w:rsidRPr="00F94584" w:rsidRDefault="003F451C" w:rsidP="004E468C">
            <w:pPr>
              <w:jc w:val="center"/>
              <w:rPr>
                <w:rFonts w:ascii="Arial" w:hAnsi="Arial" w:cs="Arial"/>
              </w:rPr>
            </w:pPr>
            <w:r w:rsidRPr="00F94584">
              <w:rPr>
                <w:rFonts w:ascii="Arial" w:hAnsi="Arial" w:cs="Arial"/>
              </w:rPr>
              <w:t>6688.15</w:t>
            </w:r>
          </w:p>
        </w:tc>
      </w:tr>
    </w:tbl>
    <w:p w:rsidR="003F451C" w:rsidRPr="00F94584" w:rsidRDefault="003F451C" w:rsidP="003F451C">
      <w:pPr>
        <w:autoSpaceDE w:val="0"/>
        <w:autoSpaceDN w:val="0"/>
        <w:adjustRightInd w:val="0"/>
        <w:spacing w:after="13"/>
        <w:rPr>
          <w:rFonts w:ascii="Arial" w:eastAsia="Times New Roman" w:hAnsi="Arial" w:cs="Arial"/>
          <w:lang w:val="ro-RO" w:eastAsia="ro-RO"/>
        </w:rPr>
      </w:pPr>
    </w:p>
    <w:p w:rsidR="003F451C" w:rsidRPr="00F94584" w:rsidRDefault="003F451C" w:rsidP="003F451C">
      <w:pPr>
        <w:rPr>
          <w:rFonts w:ascii="Arial" w:hAnsi="Arial" w:cs="Arial"/>
          <w:b/>
          <w:lang w:val="it-IT"/>
        </w:rPr>
      </w:pPr>
      <w:r w:rsidRPr="00F94584">
        <w:rPr>
          <w:rFonts w:ascii="Arial" w:hAnsi="Arial" w:cs="Arial"/>
          <w:b/>
          <w:lang w:val="it-IT"/>
        </w:rPr>
        <w:t xml:space="preserve">          Tabel nr.VII.1.2.-3 - </w:t>
      </w:r>
      <w:r w:rsidRPr="00F94584">
        <w:rPr>
          <w:rFonts w:ascii="Arial" w:hAnsi="Arial" w:cs="Arial"/>
          <w:lang w:val="it-IT"/>
        </w:rPr>
        <w:t>Deşeuri de producţie generate şi valorificate în 2012( total)</w:t>
      </w:r>
      <w:r w:rsidRPr="00F94584">
        <w:rPr>
          <w:rFonts w:ascii="Arial" w:hAnsi="Arial" w:cs="Arial"/>
          <w:b/>
          <w:lang w:val="it-IT"/>
        </w:rPr>
        <w:t xml:space="preserve"> </w:t>
      </w:r>
    </w:p>
    <w:tbl>
      <w:tblPr>
        <w:tblW w:w="7793" w:type="dxa"/>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2010"/>
        <w:gridCol w:w="2431"/>
        <w:gridCol w:w="2245"/>
      </w:tblGrid>
      <w:tr w:rsidR="003F451C" w:rsidRPr="00F94584" w:rsidTr="004E468C">
        <w:trPr>
          <w:jc w:val="center"/>
        </w:trPr>
        <w:tc>
          <w:tcPr>
            <w:tcW w:w="1107"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Judeţ</w:t>
            </w:r>
          </w:p>
        </w:tc>
        <w:tc>
          <w:tcPr>
            <w:tcW w:w="2010"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Cantităţi generate</w:t>
            </w:r>
          </w:p>
          <w:p w:rsidR="003F451C" w:rsidRPr="00F94584" w:rsidRDefault="003F451C" w:rsidP="004E468C">
            <w:pPr>
              <w:jc w:val="center"/>
              <w:rPr>
                <w:rFonts w:ascii="Arial" w:hAnsi="Arial" w:cs="Arial"/>
                <w:b/>
              </w:rPr>
            </w:pPr>
            <w:r w:rsidRPr="00F94584">
              <w:rPr>
                <w:rFonts w:ascii="Arial" w:hAnsi="Arial" w:cs="Arial"/>
                <w:b/>
              </w:rPr>
              <w:t xml:space="preserve"> t</w:t>
            </w:r>
          </w:p>
        </w:tc>
        <w:tc>
          <w:tcPr>
            <w:tcW w:w="2431"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 xml:space="preserve">Cantităţi valorificate </w:t>
            </w:r>
          </w:p>
          <w:p w:rsidR="003F451C" w:rsidRPr="00F94584" w:rsidRDefault="003F451C" w:rsidP="004E468C">
            <w:pPr>
              <w:jc w:val="center"/>
              <w:rPr>
                <w:rFonts w:ascii="Arial" w:hAnsi="Arial" w:cs="Arial"/>
                <w:b/>
              </w:rPr>
            </w:pPr>
            <w:r w:rsidRPr="00F94584">
              <w:rPr>
                <w:rFonts w:ascii="Arial" w:hAnsi="Arial" w:cs="Arial"/>
                <w:b/>
              </w:rPr>
              <w:t>t</w:t>
            </w:r>
          </w:p>
        </w:tc>
        <w:tc>
          <w:tcPr>
            <w:tcW w:w="2245"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 xml:space="preserve">Cantităţi eliminate </w:t>
            </w:r>
          </w:p>
          <w:p w:rsidR="003F451C" w:rsidRPr="00F94584" w:rsidRDefault="003F451C" w:rsidP="004E468C">
            <w:pPr>
              <w:jc w:val="center"/>
              <w:rPr>
                <w:rFonts w:ascii="Arial" w:hAnsi="Arial" w:cs="Arial"/>
                <w:b/>
              </w:rPr>
            </w:pPr>
            <w:r w:rsidRPr="00F94584">
              <w:rPr>
                <w:rFonts w:ascii="Arial" w:hAnsi="Arial" w:cs="Arial"/>
                <w:b/>
              </w:rPr>
              <w:t>t</w:t>
            </w:r>
          </w:p>
        </w:tc>
      </w:tr>
      <w:tr w:rsidR="003F451C" w:rsidRPr="00F94584" w:rsidTr="004E468C">
        <w:trPr>
          <w:jc w:val="center"/>
        </w:trPr>
        <w:tc>
          <w:tcPr>
            <w:tcW w:w="1107" w:type="dxa"/>
            <w:vAlign w:val="center"/>
          </w:tcPr>
          <w:p w:rsidR="003F451C" w:rsidRPr="00F94584" w:rsidRDefault="003F451C" w:rsidP="004E468C">
            <w:pPr>
              <w:jc w:val="center"/>
              <w:rPr>
                <w:rFonts w:ascii="Arial" w:hAnsi="Arial" w:cs="Arial"/>
              </w:rPr>
            </w:pPr>
            <w:r w:rsidRPr="00F94584">
              <w:rPr>
                <w:rFonts w:ascii="Arial" w:hAnsi="Arial" w:cs="Arial"/>
              </w:rPr>
              <w:t>Brăila</w:t>
            </w:r>
          </w:p>
        </w:tc>
        <w:tc>
          <w:tcPr>
            <w:tcW w:w="2010" w:type="dxa"/>
            <w:vAlign w:val="center"/>
          </w:tcPr>
          <w:p w:rsidR="003F451C" w:rsidRPr="00F94584" w:rsidRDefault="003F451C" w:rsidP="004E468C">
            <w:pPr>
              <w:jc w:val="center"/>
              <w:rPr>
                <w:rFonts w:ascii="Arial" w:hAnsi="Arial" w:cs="Arial"/>
              </w:rPr>
            </w:pPr>
            <w:r w:rsidRPr="00F94584">
              <w:rPr>
                <w:rFonts w:ascii="Arial" w:hAnsi="Arial" w:cs="Arial"/>
              </w:rPr>
              <w:t>26633.1</w:t>
            </w:r>
          </w:p>
        </w:tc>
        <w:tc>
          <w:tcPr>
            <w:tcW w:w="2431" w:type="dxa"/>
            <w:vAlign w:val="center"/>
          </w:tcPr>
          <w:p w:rsidR="003F451C" w:rsidRPr="00F94584" w:rsidRDefault="003F451C" w:rsidP="004E468C">
            <w:pPr>
              <w:jc w:val="center"/>
              <w:rPr>
                <w:rFonts w:ascii="Arial" w:hAnsi="Arial" w:cs="Arial"/>
              </w:rPr>
            </w:pPr>
            <w:r w:rsidRPr="00F94584">
              <w:rPr>
                <w:rFonts w:ascii="Arial" w:hAnsi="Arial" w:cs="Arial"/>
              </w:rPr>
              <w:t>23348.4</w:t>
            </w:r>
          </w:p>
        </w:tc>
        <w:tc>
          <w:tcPr>
            <w:tcW w:w="2245" w:type="dxa"/>
          </w:tcPr>
          <w:p w:rsidR="003F451C" w:rsidRPr="00F94584" w:rsidRDefault="003F451C" w:rsidP="004E468C">
            <w:pPr>
              <w:jc w:val="center"/>
              <w:rPr>
                <w:rFonts w:ascii="Arial" w:hAnsi="Arial" w:cs="Arial"/>
              </w:rPr>
            </w:pPr>
            <w:r w:rsidRPr="00F94584">
              <w:rPr>
                <w:rFonts w:ascii="Arial" w:hAnsi="Arial" w:cs="Arial"/>
              </w:rPr>
              <w:t>5025.7</w:t>
            </w:r>
          </w:p>
        </w:tc>
      </w:tr>
    </w:tbl>
    <w:p w:rsidR="003F451C" w:rsidRPr="00F94584" w:rsidRDefault="003F451C" w:rsidP="003F451C">
      <w:pPr>
        <w:jc w:val="both"/>
        <w:rPr>
          <w:rFonts w:ascii="Arial" w:hAnsi="Arial" w:cs="Arial"/>
          <w:b/>
        </w:rPr>
      </w:pPr>
    </w:p>
    <w:p w:rsidR="003F451C" w:rsidRPr="00F94584" w:rsidRDefault="003F451C" w:rsidP="003F451C">
      <w:pPr>
        <w:pStyle w:val="char0"/>
        <w:rPr>
          <w:rFonts w:ascii="Arial" w:hAnsi="Arial" w:cs="Arial"/>
          <w:b/>
          <w:lang w:val="ro-RO"/>
        </w:rPr>
      </w:pPr>
      <w:r w:rsidRPr="00F94584">
        <w:rPr>
          <w:rFonts w:ascii="Arial" w:hAnsi="Arial" w:cs="Arial"/>
          <w:b/>
          <w:lang w:val="ro-RO"/>
        </w:rPr>
        <w:t xml:space="preserve">Generarea deşeurilor de producţie periculoase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Principala categorie de deşeuri periculoase generate pe teritoriul judeţului Brăila este cea rezultată din activitatea de foraj şi extracţie petrol (şlam) desfăşurată de SNP PETROM SA Sucursala Brăila care desfășoară  activități de extracţie ţiţei pe structurile: Jugureanu -Padina; Lişcoteanca; Stăncuţa; Bordei Verde şi Oprişeneşti. </w:t>
      </w:r>
    </w:p>
    <w:p w:rsidR="003F451C" w:rsidRPr="00F94584" w:rsidRDefault="003F451C" w:rsidP="003F451C">
      <w:pPr>
        <w:rPr>
          <w:rFonts w:ascii="Arial" w:hAnsi="Arial" w:cs="Arial"/>
          <w:lang w:val="ro-RO"/>
        </w:rPr>
      </w:pPr>
      <w:r w:rsidRPr="00F94584">
        <w:rPr>
          <w:rFonts w:ascii="Arial" w:hAnsi="Arial" w:cs="Arial"/>
          <w:lang w:val="ro-RO"/>
        </w:rPr>
        <w:t xml:space="preserve"> </w:t>
      </w:r>
    </w:p>
    <w:p w:rsidR="003F451C" w:rsidRPr="00F94584" w:rsidRDefault="003F451C" w:rsidP="003F451C">
      <w:pPr>
        <w:rPr>
          <w:rFonts w:ascii="Arial" w:hAnsi="Arial" w:cs="Arial"/>
          <w:b/>
        </w:rPr>
      </w:pPr>
      <w:r w:rsidRPr="00F94584">
        <w:rPr>
          <w:rFonts w:ascii="Arial" w:hAnsi="Arial" w:cs="Arial"/>
          <w:b/>
        </w:rPr>
        <w:t xml:space="preserve">                </w:t>
      </w:r>
      <w:r w:rsidRPr="00F94584">
        <w:rPr>
          <w:rFonts w:ascii="Arial" w:hAnsi="Arial" w:cs="Arial"/>
          <w:b/>
          <w:lang w:val="it-IT"/>
        </w:rPr>
        <w:t>Tabel nr.VII.1.2.-</w:t>
      </w:r>
      <w:r>
        <w:rPr>
          <w:rFonts w:ascii="Arial" w:hAnsi="Arial" w:cs="Arial"/>
          <w:b/>
          <w:lang w:val="it-IT"/>
        </w:rPr>
        <w:t xml:space="preserve"> </w:t>
      </w:r>
      <w:r w:rsidRPr="00F94584">
        <w:rPr>
          <w:rFonts w:ascii="Arial" w:hAnsi="Arial" w:cs="Arial"/>
          <w:b/>
          <w:lang w:val="it-IT"/>
        </w:rPr>
        <w:t xml:space="preserve">4 </w:t>
      </w:r>
      <w:r w:rsidRPr="00F94584">
        <w:rPr>
          <w:rFonts w:ascii="Arial" w:hAnsi="Arial" w:cs="Arial"/>
        </w:rPr>
        <w:t>Deşeuri de producţie periculoase din industria petrolieră</w:t>
      </w:r>
    </w:p>
    <w:tbl>
      <w:tblPr>
        <w:tblW w:w="7793" w:type="dxa"/>
        <w:jc w:val="center"/>
        <w:tblInd w:w="180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7"/>
        <w:gridCol w:w="2010"/>
        <w:gridCol w:w="2431"/>
        <w:gridCol w:w="2245"/>
      </w:tblGrid>
      <w:tr w:rsidR="003F451C" w:rsidRPr="00F94584" w:rsidTr="004E468C">
        <w:trPr>
          <w:jc w:val="center"/>
        </w:trPr>
        <w:tc>
          <w:tcPr>
            <w:tcW w:w="1107"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Judeţ</w:t>
            </w:r>
          </w:p>
        </w:tc>
        <w:tc>
          <w:tcPr>
            <w:tcW w:w="2010"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Cantităţi generate t</w:t>
            </w:r>
          </w:p>
        </w:tc>
        <w:tc>
          <w:tcPr>
            <w:tcW w:w="2431"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Cantităţi valorificate t</w:t>
            </w:r>
          </w:p>
        </w:tc>
        <w:tc>
          <w:tcPr>
            <w:tcW w:w="2245"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Cantităţi eliminate t</w:t>
            </w:r>
          </w:p>
        </w:tc>
      </w:tr>
      <w:tr w:rsidR="003F451C" w:rsidRPr="00F94584" w:rsidTr="004E468C">
        <w:trPr>
          <w:jc w:val="center"/>
        </w:trPr>
        <w:tc>
          <w:tcPr>
            <w:tcW w:w="1107" w:type="dxa"/>
            <w:vAlign w:val="center"/>
          </w:tcPr>
          <w:p w:rsidR="003F451C" w:rsidRPr="00F94584" w:rsidRDefault="003F451C" w:rsidP="004E468C">
            <w:pPr>
              <w:jc w:val="center"/>
              <w:rPr>
                <w:rFonts w:ascii="Arial" w:hAnsi="Arial" w:cs="Arial"/>
              </w:rPr>
            </w:pPr>
            <w:r w:rsidRPr="00F94584">
              <w:rPr>
                <w:rFonts w:ascii="Arial" w:hAnsi="Arial" w:cs="Arial"/>
              </w:rPr>
              <w:t>Brăila</w:t>
            </w:r>
          </w:p>
        </w:tc>
        <w:tc>
          <w:tcPr>
            <w:tcW w:w="2010" w:type="dxa"/>
            <w:vAlign w:val="center"/>
          </w:tcPr>
          <w:p w:rsidR="003F451C" w:rsidRPr="00F94584" w:rsidRDefault="003F451C" w:rsidP="004E468C">
            <w:pPr>
              <w:jc w:val="center"/>
              <w:rPr>
                <w:rFonts w:ascii="Arial" w:hAnsi="Arial" w:cs="Arial"/>
              </w:rPr>
            </w:pPr>
            <w:r w:rsidRPr="00F94584">
              <w:rPr>
                <w:rFonts w:ascii="Arial" w:hAnsi="Arial" w:cs="Arial"/>
              </w:rPr>
              <w:t>6000</w:t>
            </w:r>
          </w:p>
        </w:tc>
        <w:tc>
          <w:tcPr>
            <w:tcW w:w="2431" w:type="dxa"/>
            <w:vAlign w:val="center"/>
          </w:tcPr>
          <w:p w:rsidR="003F451C" w:rsidRPr="00F94584" w:rsidRDefault="003F451C" w:rsidP="004E468C">
            <w:pPr>
              <w:jc w:val="center"/>
              <w:rPr>
                <w:rFonts w:ascii="Arial" w:hAnsi="Arial" w:cs="Arial"/>
              </w:rPr>
            </w:pPr>
            <w:r w:rsidRPr="00F94584">
              <w:rPr>
                <w:rFonts w:ascii="Arial" w:hAnsi="Arial" w:cs="Arial"/>
              </w:rPr>
              <w:t>6000</w:t>
            </w:r>
          </w:p>
        </w:tc>
        <w:tc>
          <w:tcPr>
            <w:tcW w:w="2245" w:type="dxa"/>
          </w:tcPr>
          <w:p w:rsidR="003F451C" w:rsidRPr="00F94584" w:rsidRDefault="003F451C" w:rsidP="004E468C">
            <w:pPr>
              <w:jc w:val="center"/>
              <w:rPr>
                <w:rFonts w:ascii="Arial" w:hAnsi="Arial" w:cs="Arial"/>
              </w:rPr>
            </w:pPr>
            <w:r w:rsidRPr="00F94584">
              <w:rPr>
                <w:rFonts w:ascii="Arial" w:hAnsi="Arial" w:cs="Arial"/>
              </w:rPr>
              <w:t>0</w:t>
            </w:r>
          </w:p>
        </w:tc>
      </w:tr>
    </w:tbl>
    <w:p w:rsidR="003F451C" w:rsidRPr="00F94584" w:rsidRDefault="003F451C" w:rsidP="003F451C">
      <w:pPr>
        <w:rPr>
          <w:rFonts w:ascii="Arial" w:hAnsi="Arial" w:cs="Arial"/>
        </w:rPr>
      </w:pPr>
    </w:p>
    <w:p w:rsidR="003F451C" w:rsidRPr="00F94584" w:rsidRDefault="003F451C" w:rsidP="003F451C">
      <w:pPr>
        <w:rPr>
          <w:rFonts w:ascii="Arial" w:hAnsi="Arial" w:cs="Arial"/>
        </w:rPr>
      </w:pPr>
      <w:r w:rsidRPr="00F94584">
        <w:rPr>
          <w:rFonts w:ascii="Arial" w:hAnsi="Arial" w:cs="Arial"/>
        </w:rPr>
        <w:t>Alte sectoare generatoare de deșeuri industriale periculoase sunt:</w:t>
      </w:r>
    </w:p>
    <w:p w:rsidR="003F451C" w:rsidRPr="00F94584" w:rsidRDefault="003F451C" w:rsidP="003F451C">
      <w:pPr>
        <w:rPr>
          <w:rFonts w:ascii="Arial" w:hAnsi="Arial" w:cs="Arial"/>
        </w:rPr>
      </w:pPr>
    </w:p>
    <w:p w:rsidR="003F451C" w:rsidRPr="00F94584" w:rsidRDefault="003F451C" w:rsidP="003F451C">
      <w:pPr>
        <w:rPr>
          <w:rFonts w:ascii="Arial" w:hAnsi="Arial" w:cs="Arial"/>
          <w:b/>
        </w:rPr>
      </w:pPr>
      <w:r w:rsidRPr="00F94584">
        <w:rPr>
          <w:rFonts w:ascii="Arial" w:hAnsi="Arial" w:cs="Arial"/>
          <w:b/>
        </w:rPr>
        <w:t xml:space="preserve">                     </w:t>
      </w:r>
      <w:r w:rsidRPr="00F94584">
        <w:rPr>
          <w:rFonts w:ascii="Arial" w:hAnsi="Arial" w:cs="Arial"/>
          <w:b/>
          <w:lang w:val="it-IT"/>
        </w:rPr>
        <w:t>Tabel nr.VII.1.2.-</w:t>
      </w:r>
      <w:r>
        <w:rPr>
          <w:rFonts w:ascii="Arial" w:hAnsi="Arial" w:cs="Arial"/>
          <w:b/>
          <w:lang w:val="it-IT"/>
        </w:rPr>
        <w:t xml:space="preserve"> </w:t>
      </w:r>
      <w:r w:rsidRPr="00F94584">
        <w:rPr>
          <w:rFonts w:ascii="Arial" w:hAnsi="Arial" w:cs="Arial"/>
          <w:b/>
          <w:lang w:val="it-IT"/>
        </w:rPr>
        <w:t>5</w:t>
      </w:r>
      <w:r w:rsidRPr="00F94584">
        <w:rPr>
          <w:rFonts w:ascii="Arial" w:hAnsi="Arial" w:cs="Arial"/>
          <w:b/>
        </w:rPr>
        <w:t>.</w:t>
      </w:r>
      <w:r w:rsidRPr="00F94584">
        <w:rPr>
          <w:rFonts w:ascii="Arial" w:hAnsi="Arial" w:cs="Arial"/>
        </w:rPr>
        <w:t xml:space="preserve"> Deşeuri de producţie periculoase</w:t>
      </w:r>
    </w:p>
    <w:tbl>
      <w:tblPr>
        <w:tblW w:w="3465" w:type="pct"/>
        <w:jc w:val="center"/>
        <w:tblInd w:w="37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2700"/>
        <w:gridCol w:w="1235"/>
        <w:gridCol w:w="1686"/>
        <w:gridCol w:w="1503"/>
      </w:tblGrid>
      <w:tr w:rsidR="003F451C" w:rsidRPr="00F94584" w:rsidTr="004E468C">
        <w:trPr>
          <w:jc w:val="center"/>
        </w:trPr>
        <w:tc>
          <w:tcPr>
            <w:tcW w:w="1895" w:type="pct"/>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Denumire operator</w:t>
            </w:r>
          </w:p>
        </w:tc>
        <w:tc>
          <w:tcPr>
            <w:tcW w:w="867" w:type="pct"/>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Cantităţi generate</w:t>
            </w:r>
          </w:p>
          <w:p w:rsidR="003F451C" w:rsidRPr="00F94584" w:rsidRDefault="003F451C" w:rsidP="004E468C">
            <w:pPr>
              <w:jc w:val="center"/>
              <w:rPr>
                <w:rFonts w:ascii="Arial" w:hAnsi="Arial" w:cs="Arial"/>
                <w:b/>
              </w:rPr>
            </w:pPr>
            <w:r w:rsidRPr="00F94584">
              <w:rPr>
                <w:rFonts w:ascii="Arial" w:hAnsi="Arial" w:cs="Arial"/>
                <w:b/>
              </w:rPr>
              <w:t xml:space="preserve"> t</w:t>
            </w:r>
          </w:p>
        </w:tc>
        <w:tc>
          <w:tcPr>
            <w:tcW w:w="1183" w:type="pct"/>
            <w:shd w:val="clear" w:color="auto" w:fill="D9D9D9"/>
            <w:vAlign w:val="center"/>
          </w:tcPr>
          <w:p w:rsidR="003F451C" w:rsidRPr="00F94584" w:rsidRDefault="003F451C" w:rsidP="004E468C">
            <w:pPr>
              <w:jc w:val="center"/>
              <w:rPr>
                <w:rFonts w:ascii="Arial" w:hAnsi="Arial" w:cs="Arial"/>
                <w:b/>
              </w:rPr>
            </w:pPr>
            <w:r w:rsidRPr="00F94584">
              <w:rPr>
                <w:rFonts w:ascii="Arial" w:hAnsi="Arial" w:cs="Arial"/>
                <w:b/>
              </w:rPr>
              <w:t xml:space="preserve">Cantităţi valorificate </w:t>
            </w:r>
          </w:p>
          <w:p w:rsidR="003F451C" w:rsidRPr="00F94584" w:rsidRDefault="003F451C" w:rsidP="004E468C">
            <w:pPr>
              <w:jc w:val="center"/>
              <w:rPr>
                <w:rFonts w:ascii="Arial" w:hAnsi="Arial" w:cs="Arial"/>
                <w:b/>
              </w:rPr>
            </w:pPr>
            <w:r w:rsidRPr="00F94584">
              <w:rPr>
                <w:rFonts w:ascii="Arial" w:hAnsi="Arial" w:cs="Arial"/>
                <w:b/>
              </w:rPr>
              <w:t>t</w:t>
            </w:r>
          </w:p>
        </w:tc>
        <w:tc>
          <w:tcPr>
            <w:tcW w:w="1056" w:type="pct"/>
            <w:shd w:val="clear" w:color="auto" w:fill="D9D9D9"/>
          </w:tcPr>
          <w:p w:rsidR="003F451C" w:rsidRPr="00F94584" w:rsidRDefault="003F451C" w:rsidP="004E468C">
            <w:pPr>
              <w:jc w:val="center"/>
              <w:rPr>
                <w:rFonts w:ascii="Arial" w:hAnsi="Arial" w:cs="Arial"/>
                <w:b/>
              </w:rPr>
            </w:pPr>
            <w:r w:rsidRPr="00F94584">
              <w:rPr>
                <w:rFonts w:ascii="Arial" w:hAnsi="Arial" w:cs="Arial"/>
                <w:b/>
              </w:rPr>
              <w:t>Cantităţi eliminate</w:t>
            </w:r>
          </w:p>
          <w:p w:rsidR="003F451C" w:rsidRPr="00F94584" w:rsidRDefault="003F451C" w:rsidP="004E468C">
            <w:pPr>
              <w:jc w:val="center"/>
              <w:rPr>
                <w:rFonts w:ascii="Arial" w:hAnsi="Arial" w:cs="Arial"/>
                <w:b/>
              </w:rPr>
            </w:pPr>
            <w:r w:rsidRPr="00F94584">
              <w:rPr>
                <w:rFonts w:ascii="Arial" w:hAnsi="Arial" w:cs="Arial"/>
                <w:b/>
              </w:rPr>
              <w:t xml:space="preserve"> t</w:t>
            </w:r>
          </w:p>
        </w:tc>
      </w:tr>
      <w:tr w:rsidR="003F451C" w:rsidRPr="00F94584" w:rsidTr="004E468C">
        <w:trPr>
          <w:jc w:val="center"/>
        </w:trPr>
        <w:tc>
          <w:tcPr>
            <w:tcW w:w="1895" w:type="pct"/>
            <w:vAlign w:val="center"/>
          </w:tcPr>
          <w:p w:rsidR="003F451C" w:rsidRPr="00F94584" w:rsidRDefault="003F451C" w:rsidP="004E468C">
            <w:pPr>
              <w:rPr>
                <w:rFonts w:ascii="Arial" w:hAnsi="Arial" w:cs="Arial"/>
                <w:lang w:val="it-IT"/>
              </w:rPr>
            </w:pPr>
            <w:r w:rsidRPr="00F94584">
              <w:rPr>
                <w:rFonts w:ascii="Arial" w:hAnsi="Arial" w:cs="Arial"/>
                <w:lang w:val="it-IT"/>
              </w:rPr>
              <w:t xml:space="preserve">SC MAREX SA </w:t>
            </w:r>
          </w:p>
          <w:p w:rsidR="003F451C" w:rsidRPr="00F94584" w:rsidRDefault="003F451C" w:rsidP="004E468C">
            <w:pPr>
              <w:rPr>
                <w:rFonts w:ascii="Arial" w:hAnsi="Arial" w:cs="Arial"/>
                <w:lang w:val="it-IT"/>
              </w:rPr>
            </w:pPr>
            <w:r w:rsidRPr="00F94584">
              <w:rPr>
                <w:rFonts w:ascii="Arial" w:hAnsi="Arial" w:cs="Arial"/>
                <w:lang w:val="it-IT"/>
              </w:rPr>
              <w:t>industrie alimentară</w:t>
            </w:r>
          </w:p>
        </w:tc>
        <w:tc>
          <w:tcPr>
            <w:tcW w:w="867" w:type="pct"/>
            <w:vAlign w:val="center"/>
          </w:tcPr>
          <w:p w:rsidR="003F451C" w:rsidRPr="00F94584" w:rsidRDefault="003F451C" w:rsidP="004E468C">
            <w:pPr>
              <w:jc w:val="center"/>
              <w:rPr>
                <w:rFonts w:ascii="Arial" w:hAnsi="Arial" w:cs="Arial"/>
              </w:rPr>
            </w:pPr>
            <w:r w:rsidRPr="00F94584">
              <w:rPr>
                <w:rFonts w:ascii="Arial" w:hAnsi="Arial" w:cs="Arial"/>
              </w:rPr>
              <w:t>1.1</w:t>
            </w:r>
          </w:p>
        </w:tc>
        <w:tc>
          <w:tcPr>
            <w:tcW w:w="1183" w:type="pct"/>
            <w:vAlign w:val="center"/>
          </w:tcPr>
          <w:p w:rsidR="003F451C" w:rsidRPr="00F94584" w:rsidRDefault="003F451C" w:rsidP="004E468C">
            <w:pPr>
              <w:jc w:val="center"/>
              <w:rPr>
                <w:rFonts w:ascii="Arial" w:hAnsi="Arial" w:cs="Arial"/>
              </w:rPr>
            </w:pPr>
            <w:r w:rsidRPr="00F94584">
              <w:rPr>
                <w:rFonts w:ascii="Arial" w:hAnsi="Arial" w:cs="Arial"/>
              </w:rPr>
              <w:t>0.9</w:t>
            </w:r>
          </w:p>
        </w:tc>
        <w:tc>
          <w:tcPr>
            <w:tcW w:w="1056" w:type="pct"/>
            <w:vAlign w:val="center"/>
          </w:tcPr>
          <w:p w:rsidR="003F451C" w:rsidRPr="00F94584" w:rsidRDefault="003F451C" w:rsidP="004E468C">
            <w:pPr>
              <w:jc w:val="center"/>
              <w:rPr>
                <w:rFonts w:ascii="Arial" w:hAnsi="Arial" w:cs="Arial"/>
              </w:rPr>
            </w:pPr>
            <w:r w:rsidRPr="00F94584">
              <w:rPr>
                <w:rFonts w:ascii="Arial" w:hAnsi="Arial" w:cs="Arial"/>
              </w:rPr>
              <w:t>0</w:t>
            </w:r>
          </w:p>
        </w:tc>
      </w:tr>
      <w:tr w:rsidR="003F451C" w:rsidRPr="00F94584" w:rsidTr="004E468C">
        <w:trPr>
          <w:jc w:val="center"/>
        </w:trPr>
        <w:tc>
          <w:tcPr>
            <w:tcW w:w="1895" w:type="pct"/>
            <w:vAlign w:val="center"/>
          </w:tcPr>
          <w:p w:rsidR="003F451C" w:rsidRPr="00F94584" w:rsidRDefault="003F451C" w:rsidP="004E468C">
            <w:pPr>
              <w:rPr>
                <w:rFonts w:ascii="Arial" w:hAnsi="Arial" w:cs="Arial"/>
              </w:rPr>
            </w:pPr>
            <w:r w:rsidRPr="00F94584">
              <w:rPr>
                <w:rFonts w:ascii="Arial" w:hAnsi="Arial" w:cs="Arial"/>
              </w:rPr>
              <w:t xml:space="preserve">SC CET SA </w:t>
            </w:r>
          </w:p>
          <w:p w:rsidR="003F451C" w:rsidRPr="00F94584" w:rsidRDefault="003F451C" w:rsidP="004E468C">
            <w:pPr>
              <w:rPr>
                <w:rFonts w:ascii="Arial" w:hAnsi="Arial" w:cs="Arial"/>
              </w:rPr>
            </w:pPr>
            <w:r w:rsidRPr="00F94584">
              <w:rPr>
                <w:rFonts w:ascii="Arial" w:hAnsi="Arial" w:cs="Arial"/>
              </w:rPr>
              <w:t>industrie energetică</w:t>
            </w:r>
          </w:p>
        </w:tc>
        <w:tc>
          <w:tcPr>
            <w:tcW w:w="867" w:type="pct"/>
            <w:vAlign w:val="center"/>
          </w:tcPr>
          <w:p w:rsidR="003F451C" w:rsidRPr="00F94584" w:rsidRDefault="003F451C" w:rsidP="004E468C">
            <w:pPr>
              <w:jc w:val="center"/>
              <w:rPr>
                <w:rFonts w:ascii="Arial" w:hAnsi="Arial" w:cs="Arial"/>
              </w:rPr>
            </w:pPr>
            <w:r w:rsidRPr="00F94584">
              <w:rPr>
                <w:rFonts w:ascii="Arial" w:hAnsi="Arial" w:cs="Arial"/>
              </w:rPr>
              <w:t>27.8</w:t>
            </w:r>
          </w:p>
        </w:tc>
        <w:tc>
          <w:tcPr>
            <w:tcW w:w="1183" w:type="pct"/>
            <w:vAlign w:val="center"/>
          </w:tcPr>
          <w:p w:rsidR="003F451C" w:rsidRPr="00F94584" w:rsidRDefault="003F451C" w:rsidP="004E468C">
            <w:pPr>
              <w:jc w:val="center"/>
              <w:rPr>
                <w:rFonts w:ascii="Arial" w:hAnsi="Arial" w:cs="Arial"/>
              </w:rPr>
            </w:pPr>
            <w:r w:rsidRPr="00F94584">
              <w:rPr>
                <w:rFonts w:ascii="Arial" w:hAnsi="Arial" w:cs="Arial"/>
              </w:rPr>
              <w:t>22.7</w:t>
            </w:r>
          </w:p>
        </w:tc>
        <w:tc>
          <w:tcPr>
            <w:tcW w:w="1056" w:type="pct"/>
            <w:vAlign w:val="center"/>
          </w:tcPr>
          <w:p w:rsidR="003F451C" w:rsidRPr="00F94584" w:rsidRDefault="003F451C" w:rsidP="004E468C">
            <w:pPr>
              <w:jc w:val="center"/>
              <w:rPr>
                <w:rFonts w:ascii="Arial" w:hAnsi="Arial" w:cs="Arial"/>
              </w:rPr>
            </w:pPr>
            <w:r w:rsidRPr="00F94584">
              <w:rPr>
                <w:rFonts w:ascii="Arial" w:hAnsi="Arial" w:cs="Arial"/>
              </w:rPr>
              <w:t>0.41</w:t>
            </w:r>
          </w:p>
        </w:tc>
      </w:tr>
      <w:tr w:rsidR="003F451C" w:rsidRPr="00F94584" w:rsidTr="004E468C">
        <w:trPr>
          <w:jc w:val="center"/>
        </w:trPr>
        <w:tc>
          <w:tcPr>
            <w:tcW w:w="1895" w:type="pct"/>
            <w:vAlign w:val="center"/>
          </w:tcPr>
          <w:p w:rsidR="003F451C" w:rsidRPr="00F94584" w:rsidRDefault="003F451C" w:rsidP="004E468C">
            <w:pPr>
              <w:rPr>
                <w:rFonts w:ascii="Arial" w:hAnsi="Arial" w:cs="Arial"/>
              </w:rPr>
            </w:pPr>
            <w:r w:rsidRPr="00F94584">
              <w:rPr>
                <w:rFonts w:ascii="Arial" w:hAnsi="Arial" w:cs="Arial"/>
              </w:rPr>
              <w:t xml:space="preserve">STX RO OFFSHORE BRAILA </w:t>
            </w:r>
          </w:p>
          <w:p w:rsidR="003F451C" w:rsidRPr="00F94584" w:rsidRDefault="003F451C" w:rsidP="004E468C">
            <w:pPr>
              <w:rPr>
                <w:rFonts w:ascii="Arial" w:hAnsi="Arial" w:cs="Arial"/>
              </w:rPr>
            </w:pPr>
            <w:r w:rsidRPr="00F94584">
              <w:rPr>
                <w:rFonts w:ascii="Arial" w:hAnsi="Arial" w:cs="Arial"/>
              </w:rPr>
              <w:t>industrie navală</w:t>
            </w:r>
          </w:p>
        </w:tc>
        <w:tc>
          <w:tcPr>
            <w:tcW w:w="867" w:type="pct"/>
            <w:vAlign w:val="center"/>
          </w:tcPr>
          <w:p w:rsidR="003F451C" w:rsidRPr="00F94584" w:rsidRDefault="003F451C" w:rsidP="004E468C">
            <w:pPr>
              <w:jc w:val="center"/>
              <w:rPr>
                <w:rFonts w:ascii="Arial" w:hAnsi="Arial" w:cs="Arial"/>
              </w:rPr>
            </w:pPr>
            <w:r w:rsidRPr="00F94584">
              <w:rPr>
                <w:rFonts w:ascii="Arial" w:hAnsi="Arial" w:cs="Arial"/>
              </w:rPr>
              <w:t>53.448</w:t>
            </w:r>
          </w:p>
        </w:tc>
        <w:tc>
          <w:tcPr>
            <w:tcW w:w="1183" w:type="pct"/>
            <w:vAlign w:val="center"/>
          </w:tcPr>
          <w:p w:rsidR="003F451C" w:rsidRPr="00F94584" w:rsidRDefault="003F451C" w:rsidP="004E468C">
            <w:pPr>
              <w:jc w:val="center"/>
              <w:rPr>
                <w:rFonts w:ascii="Arial" w:hAnsi="Arial" w:cs="Arial"/>
              </w:rPr>
            </w:pPr>
            <w:r w:rsidRPr="00F94584">
              <w:rPr>
                <w:rFonts w:ascii="Arial" w:hAnsi="Arial" w:cs="Arial"/>
              </w:rPr>
              <w:t>8.77</w:t>
            </w:r>
          </w:p>
        </w:tc>
        <w:tc>
          <w:tcPr>
            <w:tcW w:w="1056" w:type="pct"/>
            <w:vAlign w:val="center"/>
          </w:tcPr>
          <w:p w:rsidR="003F451C" w:rsidRPr="00F94584" w:rsidRDefault="003F451C" w:rsidP="004E468C">
            <w:pPr>
              <w:jc w:val="center"/>
              <w:rPr>
                <w:rFonts w:ascii="Arial" w:hAnsi="Arial" w:cs="Arial"/>
              </w:rPr>
            </w:pPr>
            <w:r w:rsidRPr="00F94584">
              <w:rPr>
                <w:rFonts w:ascii="Arial" w:hAnsi="Arial" w:cs="Arial"/>
              </w:rPr>
              <w:t>44.678</w:t>
            </w:r>
          </w:p>
        </w:tc>
      </w:tr>
    </w:tbl>
    <w:p w:rsidR="003F451C" w:rsidRPr="00F94584" w:rsidRDefault="003F451C" w:rsidP="003F451C">
      <w:pPr>
        <w:ind w:firstLine="360"/>
        <w:jc w:val="both"/>
        <w:rPr>
          <w:rFonts w:ascii="Arial" w:hAnsi="Arial" w:cs="Arial"/>
        </w:rPr>
      </w:pP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Pentru transportul deşeurilor periculoase APM Brăila a aprobat în anul 2014, 237 formulare pentru transportul deşeurilor şi substanţelor chimice periculoase în conformitate cu prevederile HG 1061/2008 privind transportul deşeurilor periculoase pe teritoriul României,î</w:t>
      </w:r>
      <w:r w:rsidRPr="00F94584">
        <w:rPr>
          <w:rFonts w:ascii="Arial" w:hAnsi="Arial" w:cs="Arial"/>
          <w:lang w:val="pt-BR"/>
        </w:rPr>
        <w:t>n baza acestor aprobări a fost înregistrat un număr de 711 transporturi efectuate.</w:t>
      </w:r>
      <w:r w:rsidRPr="00F94584">
        <w:rPr>
          <w:rFonts w:ascii="Arial" w:hAnsi="Arial" w:cs="Arial"/>
          <w:lang w:val="ro-RO"/>
        </w:rPr>
        <w:t xml:space="preserve"> Cele mai multe transporturi au fost efectuate pentru SC Setcar SA Braila si OMV Petrom, singurii operatori care desfăşoară activități de tratare a deşeurilor periculoase. </w:t>
      </w:r>
    </w:p>
    <w:p w:rsidR="003F451C" w:rsidRPr="00F94584" w:rsidRDefault="003F451C" w:rsidP="003F451C">
      <w:pPr>
        <w:rPr>
          <w:rFonts w:ascii="Arial" w:hAnsi="Arial" w:cs="Arial"/>
          <w:b/>
          <w:lang w:val="fr-FR"/>
        </w:rPr>
      </w:pPr>
    </w:p>
    <w:p w:rsidR="003F451C" w:rsidRPr="00F94584" w:rsidRDefault="003F451C" w:rsidP="003F451C">
      <w:pPr>
        <w:rPr>
          <w:rFonts w:ascii="Arial" w:hAnsi="Arial" w:cs="Arial"/>
          <w:b/>
          <w:lang w:val="fr-FR"/>
        </w:rPr>
      </w:pPr>
      <w:r w:rsidRPr="00F94584">
        <w:rPr>
          <w:rFonts w:ascii="Arial" w:hAnsi="Arial" w:cs="Arial"/>
          <w:b/>
          <w:lang w:val="fr-FR"/>
        </w:rPr>
        <w:t>Eliminarea deşeurilor de producţie</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În județul Brăila</w:t>
      </w:r>
      <w:r w:rsidRPr="00F94584">
        <w:rPr>
          <w:rFonts w:ascii="Arial" w:hAnsi="Arial" w:cs="Arial"/>
          <w:b/>
          <w:lang w:val="ro-RO"/>
        </w:rPr>
        <w:t xml:space="preserve"> nu există </w:t>
      </w:r>
      <w:r w:rsidRPr="00F94584">
        <w:rPr>
          <w:rFonts w:ascii="Arial" w:eastAsia="Times New Roman" w:hAnsi="Arial" w:cs="Arial"/>
          <w:b/>
          <w:lang w:val="ro-RO" w:eastAsia="ro-RO"/>
        </w:rPr>
        <w:t xml:space="preserve">depozite de deşeuri industriale </w:t>
      </w:r>
      <w:r w:rsidRPr="00F94584">
        <w:rPr>
          <w:rFonts w:ascii="Arial" w:hAnsi="Arial" w:cs="Arial"/>
          <w:b/>
          <w:lang w:val="ro-RO"/>
        </w:rPr>
        <w:t>nepericuloase în operare</w:t>
      </w:r>
      <w:r w:rsidRPr="00F94584">
        <w:rPr>
          <w:rFonts w:ascii="Arial" w:eastAsia="Times New Roman" w:hAnsi="Arial" w:cs="Arial"/>
          <w:lang w:val="ro-RO" w:eastAsia="ro-RO"/>
        </w:rPr>
        <w:t>. Aceste deșeuri</w:t>
      </w:r>
      <w:r w:rsidRPr="00F94584">
        <w:rPr>
          <w:rFonts w:ascii="Arial" w:hAnsi="Arial" w:cs="Arial"/>
          <w:lang w:val="ro-RO"/>
        </w:rPr>
        <w:t xml:space="preserve"> provenite de la operatorii economici, asimilabile cu cele menajere sunt eliminate la depozitul ecologic Muchea al SC Tracon SA Brăila. Astfel, în anul 2013 au fost depozitate 5958,74 t de astfel de deşeuri. Celelalte tipuri de deşeuri nepericuloase care nu pot fi acceptate la depozitul ecologic Tracon sunt predate spre valorificare sau eliminare la operatorii economici autorizaţi.</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lastRenderedPageBreak/>
        <w:t xml:space="preserve">Din activitatea de extracţie a petrolului rezultă noroi şi fluid de foraj care sunt tratate prin instalaţii mobile de tratare chimică din care rezulta apă reutilizată ca fluid de foraj şi deşeu solid care se elimină prin depozitare pe depozite de deşeuri nepericuloase.  </w:t>
      </w:r>
    </w:p>
    <w:p w:rsidR="003F451C" w:rsidRPr="00F94584" w:rsidRDefault="003F451C" w:rsidP="003F451C">
      <w:pPr>
        <w:pStyle w:val="Implicit"/>
        <w:spacing w:after="0" w:line="240" w:lineRule="auto"/>
        <w:rPr>
          <w:rFonts w:ascii="Arial" w:hAnsi="Arial" w:cs="Arial"/>
          <w:bCs/>
          <w:color w:val="auto"/>
          <w:lang w:val="ro-RO"/>
        </w:rPr>
      </w:pPr>
      <w:r w:rsidRPr="00F94584">
        <w:rPr>
          <w:rFonts w:ascii="Arial" w:hAnsi="Arial" w:cs="Arial"/>
          <w:b/>
          <w:bCs/>
          <w:color w:val="auto"/>
          <w:lang w:val="fr-FR"/>
        </w:rPr>
        <w:tab/>
      </w:r>
      <w:r w:rsidRPr="00F94584">
        <w:rPr>
          <w:rFonts w:ascii="Arial" w:hAnsi="Arial" w:cs="Arial"/>
          <w:bCs/>
          <w:color w:val="auto"/>
          <w:lang w:val="fr-FR"/>
        </w:rPr>
        <w:t>Depozitul de deșeuri nepericuloase al SC Celhart Donaris SA care a sistat activitatea conform planificării în anul 2009</w:t>
      </w:r>
      <w:r w:rsidRPr="00F94584">
        <w:rPr>
          <w:rFonts w:ascii="Arial" w:hAnsi="Arial" w:cs="Arial"/>
          <w:bCs/>
          <w:color w:val="auto"/>
          <w:lang w:val="pt-BR"/>
        </w:rPr>
        <w:t xml:space="preserve"> a realizat măsurile de pregătire a închiderii prevăzute în programul de conformare până în anul 2013, inclusiv. L</w:t>
      </w:r>
      <w:r w:rsidRPr="00F94584">
        <w:rPr>
          <w:rFonts w:ascii="Arial" w:hAnsi="Arial" w:cs="Arial"/>
          <w:color w:val="auto"/>
          <w:lang w:val="ro-RO"/>
        </w:rPr>
        <w:t xml:space="preserve">ucrările de închidere au fost planificate a fi finalizate în anul 2018. Pentru anul 2014 nu s-a respectat graficul de lucrări, acestea fiind sistate din motive financiare. Deținătorul a depus trei solicitări de schimbare a soluției tehnice de închidere (mai simplificată) față de proiectul tehnic de închidere reglementat în 2012 și de decalare a unor lucrări. APM Brăila nu a fost de acord cu aceste propuneri deoarece nu sunt în concordanță cu legislația și </w:t>
      </w:r>
      <w:r w:rsidRPr="00F94584">
        <w:rPr>
          <w:rFonts w:ascii="Arial" w:hAnsi="Arial" w:cs="Arial"/>
          <w:color w:val="auto"/>
          <w:lang w:val="pt-BR"/>
        </w:rPr>
        <w:t>obligațiile de mediu a căror respectare este prioritară.</w:t>
      </w:r>
    </w:p>
    <w:p w:rsidR="003F451C" w:rsidRPr="00F94584" w:rsidRDefault="003F451C" w:rsidP="003F451C">
      <w:pPr>
        <w:autoSpaceDE w:val="0"/>
        <w:autoSpaceDN w:val="0"/>
        <w:adjustRightInd w:val="0"/>
        <w:spacing w:after="13"/>
        <w:rPr>
          <w:rFonts w:ascii="Arial" w:eastAsia="Times New Roman" w:hAnsi="Arial" w:cs="Arial"/>
          <w:lang w:val="ro-RO" w:eastAsia="ro-RO"/>
        </w:rPr>
      </w:pPr>
    </w:p>
    <w:p w:rsidR="003F451C" w:rsidRPr="00F94584" w:rsidRDefault="003F451C" w:rsidP="003F451C">
      <w:pPr>
        <w:jc w:val="both"/>
        <w:rPr>
          <w:rFonts w:ascii="Arial" w:hAnsi="Arial" w:cs="Arial"/>
          <w:b/>
          <w:lang w:val="fr-FR"/>
        </w:rPr>
      </w:pPr>
      <w:r w:rsidRPr="00F94584">
        <w:rPr>
          <w:rFonts w:ascii="Arial" w:hAnsi="Arial" w:cs="Arial"/>
          <w:b/>
          <w:lang w:val="fr-FR"/>
        </w:rPr>
        <w:t xml:space="preserve">Eliminarea deşeurilor de producţie periculoase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În județul Brăila </w:t>
      </w:r>
      <w:r w:rsidRPr="00F94584">
        <w:rPr>
          <w:rFonts w:ascii="Arial" w:hAnsi="Arial" w:cs="Arial"/>
          <w:b/>
          <w:lang w:val="ro-RO"/>
        </w:rPr>
        <w:t>nu există depozite de deşeuri industriale periculoase în operare</w:t>
      </w:r>
      <w:r w:rsidRPr="00F94584">
        <w:rPr>
          <w:rFonts w:ascii="Arial" w:hAnsi="Arial" w:cs="Arial"/>
          <w:lang w:val="ro-RO"/>
        </w:rPr>
        <w:t xml:space="preserve">. În astfel de instalații au fost eliminate deşeurile de şlam petrolier însă au sistat activitatea la sfârşitul anului 2006 conform calendarului de închidere a depozitelor de deşeuri periculoase din industria extractivă a petrolului, prevăzut de HG 349/2005 privind depozitarea deşeurilor.  Cele două bataluri situate în localitatea Oprişeneşti (unul nou ecologic și unul vechi). Batalul nou s-a desfiinţat și s-a finalizat proiectul de umplere. La batalul vechi au fost procesate deșeurile însă nu au fost încă reglementate lucrările de remediere.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Pentru tratarea deşeurilor cu conţinut de produse petroliere, funcționează din 2010 o </w:t>
      </w:r>
      <w:r w:rsidRPr="00F94584">
        <w:rPr>
          <w:rFonts w:ascii="Arial" w:hAnsi="Arial" w:cs="Arial"/>
          <w:b/>
          <w:lang w:val="ro-RO"/>
        </w:rPr>
        <w:t>staţie de bioremediere</w:t>
      </w:r>
      <w:r w:rsidRPr="00F94584">
        <w:rPr>
          <w:rFonts w:ascii="Arial" w:hAnsi="Arial" w:cs="Arial"/>
          <w:lang w:val="ro-RO"/>
        </w:rPr>
        <w:t xml:space="preserve"> în localitatea Oprişeneşti administrată de OMV Petrom. Deşeurile ce pot fi tratate în staţia de bioremediere sunt: sol rezultat din lucrări de dezafectare/decontaminare, din contaminări accidentale (scurgeri de ţiţei), sediment din procesarea mecanică a şlamului petrolier şi alte deşeuri cu conţinut de substanţe periculoase din constrcţii şi demolări. Tratarea constă în biodegradarea aerobă iar materialul bioremediat poate fi folosit pentru umpluturi în lucrări de excavaţii din care a fost preluat solul contaminat iar cel ce nu se încadrează în limitele stabilite de Ord. 757/1997 se elimină pe un depozit de deşeuri nepericuloase.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În judeţul Brăila există numai instalaţii de incinerare pentru deşeuri nepericuloase de origine animală provenite din zootehnie şi de la instalaţiile de procesare carne: trei incineratoare aferente unor ferme și alte trei instalații care deservesc linia de prelucrare carne . Acstea incinerează deci numai deșeurile proprii.</w:t>
      </w:r>
    </w:p>
    <w:p w:rsidR="003F451C" w:rsidRPr="00F94584" w:rsidRDefault="003F451C" w:rsidP="003F451C">
      <w:pPr>
        <w:ind w:left="90"/>
        <w:rPr>
          <w:rFonts w:ascii="Arial" w:hAnsi="Arial" w:cs="Arial"/>
          <w:b/>
        </w:rPr>
      </w:pPr>
    </w:p>
    <w:p w:rsidR="003F451C" w:rsidRPr="00F94584" w:rsidRDefault="003F451C" w:rsidP="003F451C">
      <w:pPr>
        <w:tabs>
          <w:tab w:val="left" w:pos="1358"/>
          <w:tab w:val="left" w:leader="dot" w:pos="9356"/>
        </w:tabs>
        <w:ind w:left="993"/>
        <w:rPr>
          <w:rFonts w:ascii="Arial" w:hAnsi="Arial" w:cs="Arial"/>
          <w:i/>
          <w:lang w:val="ro-RO"/>
        </w:rPr>
      </w:pPr>
    </w:p>
    <w:p w:rsidR="003F451C" w:rsidRPr="0017042C" w:rsidRDefault="003F451C" w:rsidP="003F451C">
      <w:pPr>
        <w:tabs>
          <w:tab w:val="left" w:pos="1358"/>
          <w:tab w:val="left" w:leader="dot" w:pos="9356"/>
        </w:tabs>
        <w:rPr>
          <w:rFonts w:ascii="Arial" w:hAnsi="Arial" w:cs="Arial"/>
          <w:b/>
          <w:lang w:val="ro-RO"/>
        </w:rPr>
      </w:pPr>
      <w:r>
        <w:rPr>
          <w:rFonts w:ascii="Arial" w:hAnsi="Arial" w:cs="Arial"/>
          <w:b/>
          <w:lang w:val="ro-RO"/>
        </w:rPr>
        <w:t xml:space="preserve">   </w:t>
      </w:r>
      <w:r w:rsidRPr="0017042C">
        <w:rPr>
          <w:rFonts w:ascii="Arial" w:hAnsi="Arial" w:cs="Arial"/>
          <w:b/>
          <w:lang w:val="ro-RO"/>
        </w:rPr>
        <w:t>VII.1.3.Fluxuri speciale de deşeuri</w:t>
      </w:r>
    </w:p>
    <w:p w:rsidR="003F451C" w:rsidRPr="00F94584" w:rsidRDefault="003F451C" w:rsidP="003F451C">
      <w:pPr>
        <w:tabs>
          <w:tab w:val="left" w:pos="1358"/>
          <w:tab w:val="left" w:leader="dot" w:pos="9356"/>
        </w:tabs>
        <w:ind w:left="993"/>
        <w:rPr>
          <w:rFonts w:ascii="Arial" w:hAnsi="Arial" w:cs="Arial"/>
          <w:i/>
          <w:lang w:val="ro-RO"/>
        </w:rPr>
      </w:pPr>
    </w:p>
    <w:p w:rsidR="003F451C" w:rsidRPr="0017042C" w:rsidRDefault="003F451C" w:rsidP="003F451C">
      <w:pPr>
        <w:tabs>
          <w:tab w:val="left" w:leader="dot" w:pos="9356"/>
        </w:tabs>
        <w:rPr>
          <w:rFonts w:ascii="Arial" w:hAnsi="Arial" w:cs="Arial"/>
          <w:b/>
          <w:lang w:val="ro-RO"/>
        </w:rPr>
      </w:pPr>
      <w:r>
        <w:rPr>
          <w:rFonts w:ascii="Arial" w:hAnsi="Arial" w:cs="Arial"/>
          <w:b/>
          <w:lang w:val="ro-RO"/>
        </w:rPr>
        <w:t xml:space="preserve">         </w:t>
      </w:r>
      <w:r w:rsidRPr="0017042C">
        <w:rPr>
          <w:rFonts w:ascii="Arial" w:hAnsi="Arial" w:cs="Arial"/>
          <w:b/>
          <w:lang w:val="ro-RO"/>
        </w:rPr>
        <w:t>VII.1.3.1.Deşeuri de echipamente electrice şi electronice (DEEE)</w:t>
      </w:r>
    </w:p>
    <w:p w:rsidR="003F451C" w:rsidRPr="00F94584" w:rsidRDefault="003F451C" w:rsidP="003F451C">
      <w:pPr>
        <w:autoSpaceDE w:val="0"/>
        <w:autoSpaceDN w:val="0"/>
        <w:adjustRightInd w:val="0"/>
        <w:ind w:firstLine="737"/>
        <w:jc w:val="both"/>
        <w:rPr>
          <w:rFonts w:ascii="Arial" w:hAnsi="Arial" w:cs="Arial"/>
          <w:lang w:val="ro-RO"/>
        </w:rPr>
      </w:pPr>
      <w:r>
        <w:rPr>
          <w:rFonts w:ascii="Arial" w:hAnsi="Arial" w:cs="Arial"/>
          <w:lang w:val="ro-RO"/>
        </w:rPr>
        <w:t xml:space="preserve">  </w:t>
      </w:r>
      <w:r w:rsidRPr="00F94584">
        <w:rPr>
          <w:rFonts w:ascii="Arial" w:hAnsi="Arial" w:cs="Arial"/>
          <w:lang w:val="ro-RO"/>
        </w:rPr>
        <w:t xml:space="preserve">În prezent, deşeurile de echipamente electrice şi electronice (DEEE) sunt considerate a fi unele dintre categoriile de deşeuri cu cea mai rapidă creştere. DEEE conţin o serie de substanţe periculoase care sunt în acelaşi timp şi materiale valoroase. Reglementările în vigoare stabilesc măsuri pentru a reduce generarea de DEEE şi pentru a spori gradul de colectare, reutilizare, reciclare şi valorificare prin responsabilizarea producătorului.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Gestionarea deşeurilor de echipamente electrice şi electronice intră sub incidenţa Directivei 2002/96/CE a Parlamentului şi Consiliului European din 27 ianuarie 2003 care a fost transpusă în legislaţia românească prin HG nr. 1037/2010 privind deşeurile de echipamente electrice şi electronice. Aceasta are ca obiectiv prevenirea producerii deşeurilor de echipamente electrice şi electronice, precum şi reutilizarea, reciclarea şi alte forme de valorificare a acestora, astfel încât să se reducă volumul de deşeuri eliminate.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lastRenderedPageBreak/>
        <w:t xml:space="preserve">Colectarea separată a deşeurilor de echipamente electrice şi electronice, recuperarea şi tratarea ulterioară într-un mod ecologic contribuie la reducerea impactului asupra mediului precum şi la o mai bună eficienţă a resurselor. </w:t>
      </w:r>
    </w:p>
    <w:p w:rsidR="003F451C" w:rsidRPr="00F94584" w:rsidRDefault="003F451C" w:rsidP="003F451C">
      <w:pPr>
        <w:pStyle w:val="Default"/>
        <w:ind w:firstLine="737"/>
        <w:jc w:val="both"/>
        <w:rPr>
          <w:rFonts w:ascii="Arial" w:hAnsi="Arial" w:cs="Arial"/>
          <w:color w:val="auto"/>
        </w:rPr>
      </w:pPr>
      <w:r w:rsidRPr="00F94584">
        <w:rPr>
          <w:rFonts w:ascii="Arial" w:hAnsi="Arial" w:cs="Arial"/>
          <w:color w:val="auto"/>
        </w:rPr>
        <w:t>Categoriile de DEEE care fac obiectul legislației prezentate sunt:</w:t>
      </w:r>
    </w:p>
    <w:p w:rsidR="003F451C" w:rsidRPr="00F94584" w:rsidRDefault="003F451C" w:rsidP="00882FB1">
      <w:pPr>
        <w:numPr>
          <w:ilvl w:val="0"/>
          <w:numId w:val="69"/>
        </w:numPr>
        <w:rPr>
          <w:rFonts w:ascii="Arial" w:hAnsi="Arial" w:cs="Arial"/>
        </w:rPr>
      </w:pPr>
      <w:r w:rsidRPr="00F94584">
        <w:rPr>
          <w:rFonts w:ascii="Arial" w:hAnsi="Arial" w:cs="Arial"/>
        </w:rPr>
        <w:t xml:space="preserve">aparate de uz casnic </w:t>
      </w:r>
    </w:p>
    <w:p w:rsidR="003F451C" w:rsidRPr="00F94584" w:rsidRDefault="003F451C" w:rsidP="00882FB1">
      <w:pPr>
        <w:numPr>
          <w:ilvl w:val="0"/>
          <w:numId w:val="69"/>
        </w:numPr>
        <w:rPr>
          <w:rFonts w:ascii="Arial" w:hAnsi="Arial" w:cs="Arial"/>
        </w:rPr>
      </w:pPr>
      <w:r w:rsidRPr="00F94584">
        <w:rPr>
          <w:rFonts w:ascii="Arial" w:hAnsi="Arial" w:cs="Arial"/>
        </w:rPr>
        <w:t xml:space="preserve">echipamente informatice şi de telecomunicații </w:t>
      </w:r>
    </w:p>
    <w:p w:rsidR="003F451C" w:rsidRPr="00F94584" w:rsidRDefault="003F451C" w:rsidP="00882FB1">
      <w:pPr>
        <w:numPr>
          <w:ilvl w:val="0"/>
          <w:numId w:val="69"/>
        </w:numPr>
        <w:rPr>
          <w:rFonts w:ascii="Arial" w:hAnsi="Arial" w:cs="Arial"/>
        </w:rPr>
      </w:pPr>
      <w:r w:rsidRPr="00F94584">
        <w:rPr>
          <w:rFonts w:ascii="Arial" w:hAnsi="Arial" w:cs="Arial"/>
        </w:rPr>
        <w:t>echipamente de larg consum</w:t>
      </w:r>
    </w:p>
    <w:p w:rsidR="003F451C" w:rsidRPr="00F94584" w:rsidRDefault="003F451C" w:rsidP="00882FB1">
      <w:pPr>
        <w:numPr>
          <w:ilvl w:val="0"/>
          <w:numId w:val="69"/>
        </w:numPr>
        <w:rPr>
          <w:rFonts w:ascii="Arial" w:hAnsi="Arial" w:cs="Arial"/>
        </w:rPr>
      </w:pPr>
      <w:r w:rsidRPr="00F94584">
        <w:rPr>
          <w:rFonts w:ascii="Arial" w:hAnsi="Arial" w:cs="Arial"/>
        </w:rPr>
        <w:t>unelte electrice şi electronice (cu excepția uneltelor industriale fixe de mari dimensiuni)</w:t>
      </w:r>
    </w:p>
    <w:p w:rsidR="003F451C" w:rsidRPr="00F94584" w:rsidRDefault="003F451C" w:rsidP="00882FB1">
      <w:pPr>
        <w:widowControl w:val="0"/>
        <w:numPr>
          <w:ilvl w:val="0"/>
          <w:numId w:val="69"/>
        </w:numPr>
        <w:jc w:val="both"/>
        <w:rPr>
          <w:rFonts w:ascii="Arial" w:hAnsi="Arial" w:cs="Arial"/>
        </w:rPr>
      </w:pPr>
      <w:r w:rsidRPr="00F94584">
        <w:rPr>
          <w:rFonts w:ascii="Arial" w:hAnsi="Arial" w:cs="Arial"/>
        </w:rPr>
        <w:t>echipamente de iluminat</w:t>
      </w:r>
    </w:p>
    <w:p w:rsidR="003F451C" w:rsidRPr="00F94584" w:rsidRDefault="003F451C" w:rsidP="003F451C">
      <w:pPr>
        <w:pStyle w:val="Default"/>
        <w:ind w:firstLine="737"/>
        <w:jc w:val="both"/>
        <w:rPr>
          <w:rFonts w:ascii="Arial" w:hAnsi="Arial" w:cs="Arial"/>
          <w:color w:val="auto"/>
        </w:rPr>
      </w:pPr>
      <w:r w:rsidRPr="00F94584">
        <w:rPr>
          <w:rFonts w:ascii="Arial" w:hAnsi="Arial" w:cs="Arial"/>
          <w:color w:val="auto"/>
        </w:rPr>
        <w:t xml:space="preserve">Prin HG nr. 1037/2010 sunt stabilite următoarele ţinte pentru caregoriile de deşeuri din Anexa nr.1A : </w:t>
      </w:r>
    </w:p>
    <w:p w:rsidR="003F451C" w:rsidRPr="00F94584" w:rsidRDefault="003F451C" w:rsidP="00882FB1">
      <w:pPr>
        <w:pStyle w:val="Default"/>
        <w:numPr>
          <w:ilvl w:val="0"/>
          <w:numId w:val="84"/>
        </w:numPr>
        <w:jc w:val="both"/>
        <w:rPr>
          <w:rFonts w:ascii="Arial" w:hAnsi="Arial" w:cs="Arial"/>
          <w:color w:val="auto"/>
        </w:rPr>
      </w:pPr>
      <w:r w:rsidRPr="00F94584">
        <w:rPr>
          <w:rFonts w:ascii="Arial" w:hAnsi="Arial" w:cs="Arial"/>
          <w:color w:val="auto"/>
        </w:rPr>
        <w:t xml:space="preserve"> pentru DEEE incluse în categoriile 1 şi 10: </w:t>
      </w:r>
    </w:p>
    <w:p w:rsidR="003F451C" w:rsidRPr="00F94584" w:rsidRDefault="003F451C" w:rsidP="00882FB1">
      <w:pPr>
        <w:pStyle w:val="Default"/>
        <w:numPr>
          <w:ilvl w:val="0"/>
          <w:numId w:val="82"/>
        </w:numPr>
        <w:ind w:left="1276"/>
        <w:jc w:val="both"/>
        <w:rPr>
          <w:rFonts w:ascii="Arial" w:hAnsi="Arial" w:cs="Arial"/>
          <w:color w:val="auto"/>
        </w:rPr>
      </w:pPr>
      <w:r w:rsidRPr="00F94584">
        <w:rPr>
          <w:rFonts w:ascii="Arial" w:hAnsi="Arial" w:cs="Arial"/>
          <w:color w:val="auto"/>
        </w:rPr>
        <w:t xml:space="preserve">rata de valorificare de minimum 80% din greutatea medie pe aparat; </w:t>
      </w:r>
    </w:p>
    <w:p w:rsidR="003F451C" w:rsidRPr="00F94584" w:rsidRDefault="003F451C" w:rsidP="00882FB1">
      <w:pPr>
        <w:pStyle w:val="Default"/>
        <w:numPr>
          <w:ilvl w:val="0"/>
          <w:numId w:val="82"/>
        </w:numPr>
        <w:ind w:left="1276"/>
        <w:jc w:val="both"/>
        <w:rPr>
          <w:rFonts w:ascii="Arial" w:hAnsi="Arial" w:cs="Arial"/>
          <w:color w:val="auto"/>
        </w:rPr>
      </w:pPr>
      <w:r w:rsidRPr="00F94584">
        <w:rPr>
          <w:rFonts w:ascii="Arial" w:hAnsi="Arial" w:cs="Arial"/>
          <w:color w:val="auto"/>
        </w:rPr>
        <w:t xml:space="preserve">rata de reutilizare şi de reciclare a componentelor, materialelor şi substanţelor de minimum 75% din greutatea medie pe aparat. </w:t>
      </w:r>
    </w:p>
    <w:p w:rsidR="003F451C" w:rsidRPr="00F94584" w:rsidRDefault="003F451C" w:rsidP="00882FB1">
      <w:pPr>
        <w:pStyle w:val="Default"/>
        <w:numPr>
          <w:ilvl w:val="0"/>
          <w:numId w:val="84"/>
        </w:numPr>
        <w:jc w:val="both"/>
        <w:rPr>
          <w:rFonts w:ascii="Arial" w:hAnsi="Arial" w:cs="Arial"/>
          <w:color w:val="auto"/>
        </w:rPr>
      </w:pPr>
      <w:r w:rsidRPr="00F94584">
        <w:rPr>
          <w:rFonts w:ascii="Arial" w:hAnsi="Arial" w:cs="Arial"/>
          <w:color w:val="auto"/>
        </w:rPr>
        <w:t xml:space="preserve">pentru DEEE incluse în categoriile 3 şi 4: </w:t>
      </w:r>
    </w:p>
    <w:p w:rsidR="003F451C" w:rsidRPr="00F94584" w:rsidRDefault="003F451C" w:rsidP="00882FB1">
      <w:pPr>
        <w:pStyle w:val="Default"/>
        <w:numPr>
          <w:ilvl w:val="0"/>
          <w:numId w:val="82"/>
        </w:numPr>
        <w:ind w:left="1276"/>
        <w:jc w:val="both"/>
        <w:rPr>
          <w:rFonts w:ascii="Arial" w:hAnsi="Arial" w:cs="Arial"/>
          <w:color w:val="auto"/>
        </w:rPr>
      </w:pPr>
      <w:r w:rsidRPr="00F94584">
        <w:rPr>
          <w:rFonts w:ascii="Arial" w:hAnsi="Arial" w:cs="Arial"/>
          <w:color w:val="auto"/>
        </w:rPr>
        <w:t xml:space="preserve">rata de valorificare de minimum 75% din greutatea medie pe aparat; </w:t>
      </w:r>
    </w:p>
    <w:p w:rsidR="003F451C" w:rsidRPr="00F94584" w:rsidRDefault="003F451C" w:rsidP="00882FB1">
      <w:pPr>
        <w:pStyle w:val="Default"/>
        <w:numPr>
          <w:ilvl w:val="0"/>
          <w:numId w:val="82"/>
        </w:numPr>
        <w:ind w:left="1276"/>
        <w:jc w:val="both"/>
        <w:rPr>
          <w:rFonts w:ascii="Arial" w:hAnsi="Arial" w:cs="Arial"/>
          <w:color w:val="auto"/>
        </w:rPr>
      </w:pPr>
      <w:r w:rsidRPr="00F94584">
        <w:rPr>
          <w:rFonts w:ascii="Arial" w:hAnsi="Arial" w:cs="Arial"/>
          <w:color w:val="auto"/>
        </w:rPr>
        <w:t xml:space="preserve">rata de reutilizare şi de reciclare a componentelor, materialelor şi substanţelor de minimum 65% din greutatea medie pe aparat. </w:t>
      </w:r>
    </w:p>
    <w:p w:rsidR="003F451C" w:rsidRPr="00F94584" w:rsidRDefault="003F451C" w:rsidP="00882FB1">
      <w:pPr>
        <w:pStyle w:val="Default"/>
        <w:numPr>
          <w:ilvl w:val="0"/>
          <w:numId w:val="84"/>
        </w:numPr>
        <w:jc w:val="both"/>
        <w:rPr>
          <w:rFonts w:ascii="Arial" w:hAnsi="Arial" w:cs="Arial"/>
          <w:color w:val="auto"/>
        </w:rPr>
      </w:pPr>
      <w:r w:rsidRPr="00F94584">
        <w:rPr>
          <w:rFonts w:ascii="Arial" w:hAnsi="Arial" w:cs="Arial"/>
          <w:color w:val="auto"/>
        </w:rPr>
        <w:t xml:space="preserve"> pentru DEEE incluse în categoriile 2, 5, 6, 7 şi 9: </w:t>
      </w:r>
    </w:p>
    <w:p w:rsidR="003F451C" w:rsidRPr="00F94584" w:rsidRDefault="003F451C" w:rsidP="00882FB1">
      <w:pPr>
        <w:pStyle w:val="Default"/>
        <w:numPr>
          <w:ilvl w:val="0"/>
          <w:numId w:val="82"/>
        </w:numPr>
        <w:ind w:left="1276"/>
        <w:jc w:val="both"/>
        <w:rPr>
          <w:rFonts w:ascii="Arial" w:hAnsi="Arial" w:cs="Arial"/>
          <w:color w:val="auto"/>
        </w:rPr>
      </w:pPr>
      <w:r w:rsidRPr="00F94584">
        <w:rPr>
          <w:rFonts w:ascii="Arial" w:hAnsi="Arial" w:cs="Arial"/>
          <w:color w:val="auto"/>
        </w:rPr>
        <w:t xml:space="preserve">rata de valorificare trebuie să crească până la minimum 70% din greutatea medie pe aparat; </w:t>
      </w:r>
    </w:p>
    <w:p w:rsidR="003F451C" w:rsidRPr="00F94584" w:rsidRDefault="003F451C" w:rsidP="00882FB1">
      <w:pPr>
        <w:pStyle w:val="Default"/>
        <w:numPr>
          <w:ilvl w:val="0"/>
          <w:numId w:val="82"/>
        </w:numPr>
        <w:ind w:left="1276"/>
        <w:jc w:val="both"/>
        <w:rPr>
          <w:rFonts w:ascii="Arial" w:hAnsi="Arial" w:cs="Arial"/>
          <w:color w:val="auto"/>
        </w:rPr>
      </w:pPr>
      <w:r w:rsidRPr="00F94584">
        <w:rPr>
          <w:rFonts w:ascii="Arial" w:hAnsi="Arial" w:cs="Arial"/>
          <w:color w:val="auto"/>
        </w:rPr>
        <w:t xml:space="preserve">rata de reutilizare şi de reciclare a componentelor, materialelor şi substanţelor trebuie să crească până la minimum 50% din greutatea medie pe aparat. </w:t>
      </w:r>
    </w:p>
    <w:p w:rsidR="003F451C" w:rsidRPr="00F94584" w:rsidRDefault="003F451C" w:rsidP="00882FB1">
      <w:pPr>
        <w:pStyle w:val="Default"/>
        <w:numPr>
          <w:ilvl w:val="0"/>
          <w:numId w:val="84"/>
        </w:numPr>
        <w:jc w:val="both"/>
        <w:rPr>
          <w:rFonts w:ascii="Arial" w:hAnsi="Arial" w:cs="Arial"/>
          <w:color w:val="auto"/>
        </w:rPr>
      </w:pPr>
      <w:r w:rsidRPr="00F94584">
        <w:rPr>
          <w:rFonts w:ascii="Arial" w:hAnsi="Arial" w:cs="Arial"/>
          <w:color w:val="auto"/>
        </w:rPr>
        <w:t xml:space="preserve">pentru lămpile cu descărcare în gaz rata de reutilizare şi de reciclare a componentelor, materialelor şi substanţelor trebuie să crească până la minimum 80% din greutatea lămpilor.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Conform Ordinului nr. 2264/2011, rata anuală de colectare selectivă a DEEE se calculează pe baza cantităţilor de echipamente electrice şi electronice introduse pe piaţa naţională în ultimii 2 ani.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   În vederea întocmirii bazei de date pentru DEEE producătorii sunt obligaţi să raporteze anual Agenţiei Naţionale pentru Protecţia Mediului următoarele date: </w:t>
      </w:r>
    </w:p>
    <w:p w:rsidR="003F451C" w:rsidRPr="00F94584" w:rsidRDefault="003F451C" w:rsidP="00882FB1">
      <w:pPr>
        <w:pStyle w:val="Default"/>
        <w:numPr>
          <w:ilvl w:val="0"/>
          <w:numId w:val="83"/>
        </w:numPr>
        <w:jc w:val="both"/>
        <w:rPr>
          <w:rFonts w:ascii="Arial" w:hAnsi="Arial" w:cs="Arial"/>
          <w:color w:val="auto"/>
        </w:rPr>
      </w:pPr>
      <w:r w:rsidRPr="00F94584">
        <w:rPr>
          <w:rFonts w:ascii="Arial" w:hAnsi="Arial" w:cs="Arial"/>
          <w:color w:val="auto"/>
        </w:rPr>
        <w:t>cantităţile şi categoriile de DEEE care au fost colectate prin toate mijloacele şi reutilizate, reciclate, recuperate;</w:t>
      </w:r>
    </w:p>
    <w:p w:rsidR="003F451C" w:rsidRPr="00F94584" w:rsidRDefault="003F451C" w:rsidP="00882FB1">
      <w:pPr>
        <w:pStyle w:val="Default"/>
        <w:numPr>
          <w:ilvl w:val="0"/>
          <w:numId w:val="83"/>
        </w:numPr>
        <w:jc w:val="both"/>
        <w:rPr>
          <w:rFonts w:ascii="Arial" w:hAnsi="Arial" w:cs="Arial"/>
          <w:color w:val="auto"/>
        </w:rPr>
      </w:pPr>
      <w:r w:rsidRPr="00F94584">
        <w:rPr>
          <w:rFonts w:ascii="Arial" w:hAnsi="Arial" w:cs="Arial"/>
          <w:color w:val="auto"/>
        </w:rPr>
        <w:t xml:space="preserve">greutatea sau numărul deşeurilor colectate/exportate.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Organizaţiile colective autorizate transmit Agenţiei Naţionale pentru Protecţia Mediului datele referitoare la echipamentele electrice şi electronice şi deşeurile de echipamente electrice şi electronice pentru agenţii economici care au preluat responsabilitatea, acestea fiind înregistrate în baza de date naţională.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Producătorii de echipamente electrice şi electronice trebuie să se înscrie în Registrul naţional al producătorilor de echipamente electrice şi electronice, care este gestionat de Agenţia Naţională pentru Protecţia Mediului, procedură care a demarat în anul 2006. Producătorii care nu deţin număr de înregistrare valabil nu pot introduce pe piaţă echipamente electrice şi electronice. La sfârşitul anului 2014 deţineau numere de înregistrare valabile 4 operatori economici producători / importatori de EEE, din judeţul Brăila.</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Începând cu data de 31.12.2008 rata minimă de colectare trebuia să fie de cel puţin </w:t>
      </w:r>
      <w:smartTag w:uri="urn:schemas-microsoft-com:office:smarttags" w:element="metricconverter">
        <w:smartTagPr>
          <w:attr w:name="ProductID" w:val="4 kg"/>
        </w:smartTagPr>
        <w:r w:rsidRPr="00F94584">
          <w:rPr>
            <w:rFonts w:ascii="Arial" w:hAnsi="Arial" w:cs="Arial"/>
            <w:lang w:val="ro-RO"/>
          </w:rPr>
          <w:t>4 kg</w:t>
        </w:r>
      </w:smartTag>
      <w:r w:rsidRPr="00F94584">
        <w:rPr>
          <w:rFonts w:ascii="Arial" w:hAnsi="Arial" w:cs="Arial"/>
          <w:lang w:val="ro-RO"/>
        </w:rPr>
        <w:t xml:space="preserve"> DEEE/locuitor, fiind stabilite şi obiective de valorificare/reciclare a DEEE, pe tip de echipament.</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lang w:val="ro-RO"/>
        </w:rPr>
        <w:t xml:space="preserve"> Pentru colectarea separată a DEEE şi atingerea obiectivelor naţionale de colectare, au fost înfiinţate puncte de colectare selectivă a acestor deşeuri. În acelaşi timp</w:t>
      </w:r>
      <w:r w:rsidRPr="00F94584">
        <w:rPr>
          <w:rFonts w:ascii="Arial" w:hAnsi="Arial" w:cs="Arial"/>
        </w:rPr>
        <w:t xml:space="preserve"> conform cu articolul</w:t>
      </w:r>
      <w:r w:rsidRPr="00F94584">
        <w:rPr>
          <w:rFonts w:ascii="Arial" w:hAnsi="Arial" w:cs="Arial"/>
          <w:lang w:val="ro-RO"/>
        </w:rPr>
        <w:t xml:space="preserve"> </w:t>
      </w:r>
      <w:r w:rsidRPr="00F94584">
        <w:rPr>
          <w:rFonts w:ascii="Arial" w:hAnsi="Arial" w:cs="Arial"/>
          <w:bCs/>
        </w:rPr>
        <w:t>5</w:t>
      </w:r>
      <w:hyperlink r:id="rId110" w:anchor="#" w:history="1"/>
      <w:r w:rsidRPr="00F94584">
        <w:rPr>
          <w:rFonts w:ascii="Arial" w:hAnsi="Arial" w:cs="Arial"/>
          <w:bCs/>
        </w:rPr>
        <w:t>(5)</w:t>
      </w:r>
      <w:r w:rsidRPr="00F94584">
        <w:rPr>
          <w:rFonts w:ascii="Arial" w:hAnsi="Arial" w:cs="Arial"/>
          <w:b/>
          <w:bCs/>
        </w:rPr>
        <w:t xml:space="preserve"> </w:t>
      </w:r>
      <w:r w:rsidRPr="00F94584">
        <w:rPr>
          <w:rFonts w:ascii="Arial" w:hAnsi="Arial" w:cs="Arial"/>
          <w:bCs/>
        </w:rPr>
        <w:t>din HG 1037/2010 distribuitorii</w:t>
      </w:r>
      <w:r w:rsidRPr="00F94584">
        <w:rPr>
          <w:rFonts w:ascii="Arial" w:hAnsi="Arial" w:cs="Arial"/>
          <w:b/>
          <w:bCs/>
        </w:rPr>
        <w:t xml:space="preserve"> </w:t>
      </w:r>
      <w:r w:rsidRPr="00F94584">
        <w:rPr>
          <w:rFonts w:ascii="Arial" w:hAnsi="Arial" w:cs="Arial"/>
        </w:rPr>
        <w:t xml:space="preserve">la furnizarea unui produs nou, la solicitarea </w:t>
      </w:r>
      <w:r w:rsidRPr="00F94584">
        <w:rPr>
          <w:rFonts w:ascii="Arial" w:hAnsi="Arial" w:cs="Arial"/>
        </w:rPr>
        <w:lastRenderedPageBreak/>
        <w:t>cumpărătorului, sunt obligaţi să preia DEEE în sistem unul la unul, fără a solicita plata, în aceleaşi condiţii precum cele de livrare a produsului nou, dacă echipamentul este de tip echivalent şi a îndeplinit aceleaşi funcţii ca şi echipamentul nou furnizat.</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La nivelul judeţului Brăila sunt autorizaţi 7 agenţi economici pentru a desfăşura activitatea de colectare a DEEE:.</w:t>
      </w:r>
    </w:p>
    <w:p w:rsidR="003F451C" w:rsidRPr="00F94584" w:rsidRDefault="003F451C" w:rsidP="003F451C">
      <w:pPr>
        <w:autoSpaceDE w:val="0"/>
        <w:autoSpaceDN w:val="0"/>
        <w:adjustRightInd w:val="0"/>
        <w:jc w:val="both"/>
        <w:rPr>
          <w:rFonts w:ascii="Arial" w:hAnsi="Arial" w:cs="Arial"/>
          <w:b/>
          <w:lang w:val="it-IT"/>
        </w:rPr>
      </w:pPr>
    </w:p>
    <w:p w:rsidR="003F451C" w:rsidRPr="00F94584" w:rsidRDefault="003F451C" w:rsidP="003F451C">
      <w:pPr>
        <w:autoSpaceDE w:val="0"/>
        <w:autoSpaceDN w:val="0"/>
        <w:adjustRightInd w:val="0"/>
        <w:jc w:val="both"/>
        <w:rPr>
          <w:rFonts w:ascii="Arial" w:hAnsi="Arial" w:cs="Arial"/>
          <w:lang w:val="it-IT"/>
        </w:rPr>
      </w:pPr>
      <w:r w:rsidRPr="00F94584">
        <w:rPr>
          <w:rFonts w:ascii="Arial" w:hAnsi="Arial" w:cs="Arial"/>
          <w:lang w:val="it-IT"/>
        </w:rPr>
        <w:t>Tabel nr. VII.1.3.1- 1 Agenţi economici autorizaţi pentru colectarea DEEE in judetul Braila:</w:t>
      </w:r>
    </w:p>
    <w:tbl>
      <w:tblPr>
        <w:tblW w:w="9072" w:type="dxa"/>
        <w:jc w:val="center"/>
        <w:tblInd w:w="534"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984"/>
        <w:gridCol w:w="3969"/>
        <w:gridCol w:w="3119"/>
      </w:tblGrid>
      <w:tr w:rsidR="003F451C" w:rsidRPr="00F94584" w:rsidTr="004E468C">
        <w:trPr>
          <w:jc w:val="center"/>
        </w:trPr>
        <w:tc>
          <w:tcPr>
            <w:tcW w:w="1984"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Denumire operator economic</w:t>
            </w:r>
          </w:p>
        </w:tc>
        <w:tc>
          <w:tcPr>
            <w:tcW w:w="3969"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Adresa punctului de colectare</w:t>
            </w:r>
          </w:p>
        </w:tc>
        <w:tc>
          <w:tcPr>
            <w:tcW w:w="3119" w:type="dxa"/>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Acte de reglementare deţinute</w:t>
            </w:r>
          </w:p>
        </w:tc>
      </w:tr>
      <w:tr w:rsidR="003F451C" w:rsidRPr="00F94584" w:rsidTr="004E468C">
        <w:tblPrEx>
          <w:tblLook w:val="0000"/>
        </w:tblPrEx>
        <w:trPr>
          <w:trHeight w:val="928"/>
          <w:jc w:val="center"/>
        </w:trPr>
        <w:tc>
          <w:tcPr>
            <w:tcW w:w="1984" w:type="dxa"/>
            <w:shd w:val="clear" w:color="auto" w:fill="auto"/>
            <w:vAlign w:val="center"/>
          </w:tcPr>
          <w:p w:rsidR="003F451C" w:rsidRPr="00F94584" w:rsidRDefault="003F451C" w:rsidP="004E468C">
            <w:pPr>
              <w:jc w:val="center"/>
              <w:rPr>
                <w:rFonts w:ascii="Arial" w:hAnsi="Arial" w:cs="Arial"/>
                <w:lang w:val="it-IT"/>
              </w:rPr>
            </w:pPr>
            <w:r w:rsidRPr="00F94584">
              <w:rPr>
                <w:rFonts w:ascii="Arial" w:hAnsi="Arial" w:cs="Arial"/>
                <w:lang w:val="it-IT"/>
              </w:rPr>
              <w:t>S.C. Braicata SRL Brăila</w:t>
            </w:r>
          </w:p>
        </w:tc>
        <w:tc>
          <w:tcPr>
            <w:tcW w:w="3969" w:type="dxa"/>
            <w:shd w:val="clear" w:color="auto" w:fill="auto"/>
            <w:vAlign w:val="center"/>
          </w:tcPr>
          <w:p w:rsidR="003F451C" w:rsidRPr="00F94584" w:rsidRDefault="003F451C" w:rsidP="004E468C">
            <w:pPr>
              <w:jc w:val="center"/>
              <w:rPr>
                <w:rFonts w:ascii="Arial" w:hAnsi="Arial" w:cs="Arial"/>
                <w:lang w:val="it-IT"/>
              </w:rPr>
            </w:pPr>
            <w:r w:rsidRPr="00F94584">
              <w:rPr>
                <w:rFonts w:ascii="Arial" w:hAnsi="Arial" w:cs="Arial"/>
                <w:lang w:val="it-IT"/>
              </w:rPr>
              <w:t>Brăila,  Calea Galați,  Km 6, lot 1, tel. 0239606008, persoana de contact: George Voiculeț</w:t>
            </w:r>
          </w:p>
        </w:tc>
        <w:tc>
          <w:tcPr>
            <w:tcW w:w="311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Autorizatie de mediu, nr. 188 din 01.10. 2013, valabila 01.10.2018</w:t>
            </w:r>
          </w:p>
        </w:tc>
      </w:tr>
      <w:tr w:rsidR="003F451C" w:rsidRPr="00F94584" w:rsidTr="004E468C">
        <w:tblPrEx>
          <w:tblLook w:val="0000"/>
        </w:tblPrEx>
        <w:trPr>
          <w:trHeight w:val="559"/>
          <w:jc w:val="center"/>
        </w:trPr>
        <w:tc>
          <w:tcPr>
            <w:tcW w:w="1984"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SC Faursal Serv SRL Făurei</w:t>
            </w:r>
          </w:p>
        </w:tc>
        <w:tc>
          <w:tcPr>
            <w:tcW w:w="396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Făurei,  str. Păcii, nr. 42</w:t>
            </w:r>
          </w:p>
          <w:p w:rsidR="003F451C" w:rsidRPr="00F94584" w:rsidRDefault="003F451C" w:rsidP="004E468C">
            <w:pPr>
              <w:jc w:val="center"/>
              <w:rPr>
                <w:rFonts w:ascii="Arial" w:hAnsi="Arial" w:cs="Arial"/>
              </w:rPr>
            </w:pPr>
          </w:p>
        </w:tc>
        <w:tc>
          <w:tcPr>
            <w:tcW w:w="3119" w:type="dxa"/>
            <w:shd w:val="clear" w:color="auto" w:fill="auto"/>
            <w:vAlign w:val="center"/>
          </w:tcPr>
          <w:p w:rsidR="003F451C" w:rsidRPr="00F94584" w:rsidRDefault="003F451C" w:rsidP="004E468C">
            <w:pPr>
              <w:jc w:val="center"/>
              <w:rPr>
                <w:rFonts w:ascii="Arial" w:hAnsi="Arial" w:cs="Arial"/>
                <w:lang w:val="pt-BR"/>
              </w:rPr>
            </w:pPr>
            <w:r w:rsidRPr="00F94584">
              <w:rPr>
                <w:rFonts w:ascii="Arial" w:hAnsi="Arial" w:cs="Arial"/>
                <w:lang w:val="pt-BR"/>
              </w:rPr>
              <w:t>Autorizatia de mediu nr. 44 din 15.03.2011 valabilă 15.03.2021</w:t>
            </w:r>
          </w:p>
        </w:tc>
      </w:tr>
      <w:tr w:rsidR="003F451C" w:rsidRPr="00F94584" w:rsidTr="004E468C">
        <w:tblPrEx>
          <w:tblLook w:val="0000"/>
        </w:tblPrEx>
        <w:trPr>
          <w:trHeight w:val="996"/>
          <w:jc w:val="center"/>
        </w:trPr>
        <w:tc>
          <w:tcPr>
            <w:tcW w:w="1984"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SC Siremet SRL Sendreni judetul Galati - punct de lucru Brăila</w:t>
            </w:r>
          </w:p>
        </w:tc>
        <w:tc>
          <w:tcPr>
            <w:tcW w:w="396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Braila, Sos. Brăila- Galați, Km. 12, tarlaua 73, parcela 379 persoana de contact Stoica Valeriu, tel. 0729155803</w:t>
            </w:r>
          </w:p>
        </w:tc>
        <w:tc>
          <w:tcPr>
            <w:tcW w:w="3119" w:type="dxa"/>
            <w:shd w:val="clear" w:color="auto" w:fill="auto"/>
            <w:vAlign w:val="center"/>
          </w:tcPr>
          <w:p w:rsidR="003F451C" w:rsidRPr="00F94584" w:rsidRDefault="003F451C" w:rsidP="004E468C">
            <w:pPr>
              <w:jc w:val="center"/>
              <w:rPr>
                <w:rFonts w:ascii="Arial" w:hAnsi="Arial" w:cs="Arial"/>
                <w:lang w:val="pt-BR"/>
              </w:rPr>
            </w:pPr>
            <w:r w:rsidRPr="00F94584">
              <w:rPr>
                <w:rFonts w:ascii="Arial" w:hAnsi="Arial" w:cs="Arial"/>
                <w:lang w:val="pt-BR"/>
              </w:rPr>
              <w:t>Autorizatia de mediu nr. 232 din  21.11.2013, valabila 12.11.2018</w:t>
            </w:r>
          </w:p>
        </w:tc>
      </w:tr>
      <w:tr w:rsidR="003F451C" w:rsidRPr="00F94584" w:rsidTr="004E468C">
        <w:tblPrEx>
          <w:tblLook w:val="0000"/>
        </w:tblPrEx>
        <w:trPr>
          <w:trHeight w:val="1119"/>
          <w:jc w:val="center"/>
        </w:trPr>
        <w:tc>
          <w:tcPr>
            <w:tcW w:w="1984"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Asociatia Romana pentru Reciclare RoRec – Punct de  lucru  Braila</w:t>
            </w:r>
          </w:p>
        </w:tc>
        <w:tc>
          <w:tcPr>
            <w:tcW w:w="396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BRAILA, str. Cimbrului nr. 41,  lot 2, persoana de contact: Dragos Gorun,  tel. 0751/302109</w:t>
            </w:r>
          </w:p>
        </w:tc>
        <w:tc>
          <w:tcPr>
            <w:tcW w:w="3119" w:type="dxa"/>
            <w:shd w:val="clear" w:color="auto" w:fill="auto"/>
            <w:vAlign w:val="center"/>
          </w:tcPr>
          <w:p w:rsidR="003F451C" w:rsidRPr="00F94584" w:rsidRDefault="003F451C" w:rsidP="004E468C">
            <w:pPr>
              <w:jc w:val="center"/>
              <w:rPr>
                <w:rFonts w:ascii="Arial" w:hAnsi="Arial" w:cs="Arial"/>
                <w:lang w:val="pt-BR"/>
              </w:rPr>
            </w:pPr>
            <w:r w:rsidRPr="00F94584">
              <w:rPr>
                <w:rFonts w:ascii="Arial" w:hAnsi="Arial" w:cs="Arial"/>
                <w:lang w:val="pt-BR"/>
              </w:rPr>
              <w:t>Autorizatia de mediu nr. 5 din 15.01.2014, valabila 15.01.2019</w:t>
            </w:r>
          </w:p>
        </w:tc>
      </w:tr>
      <w:tr w:rsidR="003F451C" w:rsidRPr="00F94584" w:rsidTr="004E468C">
        <w:tblPrEx>
          <w:tblLook w:val="0000"/>
        </w:tblPrEx>
        <w:trPr>
          <w:trHeight w:val="1119"/>
          <w:jc w:val="center"/>
        </w:trPr>
        <w:tc>
          <w:tcPr>
            <w:tcW w:w="1984"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SC Recorwood SRL Maxineni</w:t>
            </w:r>
          </w:p>
        </w:tc>
        <w:tc>
          <w:tcPr>
            <w:tcW w:w="396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Com.  Maxineni, str. Aleea Primaverii, nr. 21, jud. Braila, persoana contact: Ruse Robert, tel. 0742/353984</w:t>
            </w:r>
          </w:p>
        </w:tc>
        <w:tc>
          <w:tcPr>
            <w:tcW w:w="3119" w:type="dxa"/>
            <w:shd w:val="clear" w:color="auto" w:fill="auto"/>
            <w:vAlign w:val="center"/>
          </w:tcPr>
          <w:p w:rsidR="003F451C" w:rsidRPr="00F94584" w:rsidRDefault="003F451C" w:rsidP="004E468C">
            <w:pPr>
              <w:jc w:val="center"/>
              <w:rPr>
                <w:rFonts w:ascii="Arial" w:hAnsi="Arial" w:cs="Arial"/>
                <w:lang w:val="pt-BR"/>
              </w:rPr>
            </w:pPr>
            <w:r w:rsidRPr="00F94584">
              <w:rPr>
                <w:rFonts w:ascii="Arial" w:hAnsi="Arial" w:cs="Arial"/>
                <w:lang w:val="pt-BR"/>
              </w:rPr>
              <w:t>Autorizatia de mediu nr. 96 din 24.08.2010, revizuita la data de 05.02.2014, valabila 24.02.2020</w:t>
            </w:r>
          </w:p>
        </w:tc>
      </w:tr>
      <w:tr w:rsidR="003F451C" w:rsidRPr="00F94584" w:rsidTr="004E468C">
        <w:tblPrEx>
          <w:tblLook w:val="0000"/>
        </w:tblPrEx>
        <w:trPr>
          <w:trHeight w:val="1119"/>
          <w:jc w:val="center"/>
        </w:trPr>
        <w:tc>
          <w:tcPr>
            <w:tcW w:w="1984"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Total Waste Management SRL Buzau – punct de lucru Braila</w:t>
            </w:r>
          </w:p>
        </w:tc>
        <w:tc>
          <w:tcPr>
            <w:tcW w:w="396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BRAILA,str. Baldovinesti nr. 12, persoana contact: Bezdedeanu Rrazvan , tel. 720/770848</w:t>
            </w:r>
          </w:p>
        </w:tc>
        <w:tc>
          <w:tcPr>
            <w:tcW w:w="3119" w:type="dxa"/>
            <w:shd w:val="clear" w:color="auto" w:fill="auto"/>
            <w:vAlign w:val="center"/>
          </w:tcPr>
          <w:p w:rsidR="003F451C" w:rsidRPr="00F94584" w:rsidRDefault="003F451C" w:rsidP="004E468C">
            <w:pPr>
              <w:jc w:val="center"/>
              <w:rPr>
                <w:rFonts w:ascii="Arial" w:hAnsi="Arial" w:cs="Arial"/>
                <w:lang w:val="pt-BR"/>
              </w:rPr>
            </w:pPr>
            <w:r w:rsidRPr="00F94584">
              <w:rPr>
                <w:rFonts w:ascii="Arial" w:hAnsi="Arial" w:cs="Arial"/>
                <w:lang w:val="pt-BR"/>
              </w:rPr>
              <w:t>Autorizatia de mediu nr. 104 din 21.10.2014, valabila 21.10.2019</w:t>
            </w:r>
          </w:p>
        </w:tc>
      </w:tr>
      <w:tr w:rsidR="003F451C" w:rsidRPr="00F94584" w:rsidTr="004E468C">
        <w:tblPrEx>
          <w:tblLook w:val="0000"/>
        </w:tblPrEx>
        <w:trPr>
          <w:trHeight w:val="1119"/>
          <w:jc w:val="center"/>
        </w:trPr>
        <w:tc>
          <w:tcPr>
            <w:tcW w:w="1984"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SC Recumed SRL Braila</w:t>
            </w:r>
          </w:p>
        </w:tc>
        <w:tc>
          <w:tcPr>
            <w:tcW w:w="3969" w:type="dxa"/>
            <w:shd w:val="clear" w:color="auto" w:fill="auto"/>
            <w:vAlign w:val="center"/>
          </w:tcPr>
          <w:p w:rsidR="003F451C" w:rsidRPr="00F94584" w:rsidRDefault="003F451C" w:rsidP="004E468C">
            <w:pPr>
              <w:jc w:val="center"/>
              <w:rPr>
                <w:rFonts w:ascii="Arial" w:hAnsi="Arial" w:cs="Arial"/>
              </w:rPr>
            </w:pPr>
            <w:r w:rsidRPr="00F94584">
              <w:rPr>
                <w:rFonts w:ascii="Arial" w:hAnsi="Arial" w:cs="Arial"/>
              </w:rPr>
              <w:t>Braila, str. Rm. Sarat nr. 127, persoana de contact: Bordeianu Liliana, tel. 0728728419</w:t>
            </w:r>
          </w:p>
        </w:tc>
        <w:tc>
          <w:tcPr>
            <w:tcW w:w="3119" w:type="dxa"/>
            <w:shd w:val="clear" w:color="auto" w:fill="auto"/>
            <w:vAlign w:val="center"/>
          </w:tcPr>
          <w:p w:rsidR="003F451C" w:rsidRPr="00F94584" w:rsidRDefault="003F451C" w:rsidP="004E468C">
            <w:pPr>
              <w:jc w:val="center"/>
              <w:rPr>
                <w:rFonts w:ascii="Arial" w:hAnsi="Arial" w:cs="Arial"/>
                <w:lang w:val="pt-BR"/>
              </w:rPr>
            </w:pPr>
            <w:r w:rsidRPr="00F94584">
              <w:rPr>
                <w:rFonts w:ascii="Arial" w:hAnsi="Arial" w:cs="Arial"/>
                <w:lang w:val="pt-BR"/>
              </w:rPr>
              <w:t>Autorizatia de mediu nr. 255 din 24.12.2013, revizuita la data de 22.08.2014  valabila 24.12.2018</w:t>
            </w:r>
          </w:p>
        </w:tc>
      </w:tr>
    </w:tbl>
    <w:p w:rsidR="003F451C" w:rsidRPr="00F94584" w:rsidRDefault="003F451C" w:rsidP="003F451C">
      <w:pPr>
        <w:autoSpaceDE w:val="0"/>
        <w:autoSpaceDN w:val="0"/>
        <w:adjustRightInd w:val="0"/>
        <w:ind w:firstLine="737"/>
        <w:jc w:val="both"/>
        <w:rPr>
          <w:rFonts w:ascii="Arial" w:hAnsi="Arial" w:cs="Arial"/>
        </w:rPr>
      </w:pP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Asociatia ECOTIC Bucureşti organizaţie non-profit care preia responsabilităţile ce le revin producătorilor şi importatorilor de echipamente electrice şi electronice pentru realizarea obiectivelor anuale de colectare, reutilizare, reciclare şi valorificare a DEEE a amplasat în Brăila 6 containere de  colectare  în perimetrul administrat de hipermarketuri.</w:t>
      </w:r>
    </w:p>
    <w:p w:rsidR="003F451C" w:rsidRPr="00F94584" w:rsidRDefault="003F451C" w:rsidP="003F451C">
      <w:pPr>
        <w:tabs>
          <w:tab w:val="left" w:pos="1080"/>
        </w:tabs>
        <w:autoSpaceDE w:val="0"/>
        <w:autoSpaceDN w:val="0"/>
        <w:adjustRightInd w:val="0"/>
        <w:jc w:val="both"/>
        <w:outlineLvl w:val="0"/>
        <w:rPr>
          <w:rFonts w:ascii="Arial" w:hAnsi="Arial" w:cs="Arial"/>
        </w:rPr>
      </w:pPr>
      <w:r w:rsidRPr="00F94584">
        <w:rPr>
          <w:rFonts w:ascii="Arial" w:hAnsi="Arial" w:cs="Arial"/>
          <w:lang w:val="pt-BR"/>
        </w:rPr>
        <w:t xml:space="preserve">In orașul Brăila </w:t>
      </w:r>
      <w:r w:rsidRPr="00F94584">
        <w:rPr>
          <w:rFonts w:ascii="Arial" w:hAnsi="Arial" w:cs="Arial"/>
        </w:rPr>
        <w:t>Asociatia ECOTIC a colectat in anul 2014 o cantitate de 109.32 tone deșeuri de echipamente electrice si electronice de la gospodarii si 2.15 tone din alte surse.</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Stația SIGUREC-  sistem inteligent de preluare separată a deșeurilor direct de la consumatori, amplasată în noiembrie 2014 de către Green Group în colaborare cu Grupul Carrefour România în parcarea Carrefour Brăila poate colecta și DEEE.</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 xml:space="preserve">Pe parcursul anului 2014 au fost organizate  campanii de colectare a DEEE de la populaţie în municipiul Brăila şi în judet, în parteneriat cu Asociatia  ROREC. Totodată în afara </w:t>
      </w:r>
      <w:r w:rsidRPr="00F94584">
        <w:rPr>
          <w:rFonts w:ascii="Arial" w:hAnsi="Arial" w:cs="Arial"/>
        </w:rPr>
        <w:lastRenderedPageBreak/>
        <w:t>campaniilor oficiale s-au colectat astfel de deşeuri de la populaţie şi prin spaţiile puse la dispoziţie de primării.</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 xml:space="preserve"> În tabelul de mai jos sunt redate cantitățile de DEEE colectate și trimise la tratare în anul 2014 de agenți economici autorizați pentru colectarea acestor deșeuri:</w:t>
      </w:r>
    </w:p>
    <w:p w:rsidR="003F451C" w:rsidRPr="00F94584" w:rsidRDefault="003F451C" w:rsidP="003F451C">
      <w:pPr>
        <w:tabs>
          <w:tab w:val="left" w:pos="1080"/>
        </w:tabs>
        <w:jc w:val="both"/>
        <w:outlineLvl w:val="0"/>
        <w:rPr>
          <w:rFonts w:ascii="Arial" w:hAnsi="Arial" w:cs="Arial"/>
          <w:lang w:val="it-IT"/>
        </w:rPr>
      </w:pPr>
    </w:p>
    <w:p w:rsidR="003F451C" w:rsidRPr="00F94584" w:rsidRDefault="003F451C" w:rsidP="003F451C">
      <w:pPr>
        <w:rPr>
          <w:rFonts w:ascii="Arial" w:hAnsi="Arial" w:cs="Arial"/>
        </w:rPr>
      </w:pPr>
      <w:r w:rsidRPr="00F94584">
        <w:rPr>
          <w:rFonts w:ascii="Arial" w:hAnsi="Arial" w:cs="Arial"/>
          <w:b/>
          <w:lang w:val="it-IT"/>
        </w:rPr>
        <w:t xml:space="preserve">              Tabel nr. VII.</w:t>
      </w:r>
      <w:r>
        <w:rPr>
          <w:rFonts w:ascii="Arial" w:hAnsi="Arial" w:cs="Arial"/>
          <w:b/>
          <w:lang w:val="it-IT"/>
        </w:rPr>
        <w:t>1</w:t>
      </w:r>
      <w:r w:rsidRPr="00F94584">
        <w:rPr>
          <w:rFonts w:ascii="Arial" w:hAnsi="Arial" w:cs="Arial"/>
          <w:b/>
          <w:lang w:val="it-IT"/>
        </w:rPr>
        <w:t xml:space="preserve">.3.1.- 2 </w:t>
      </w:r>
      <w:r w:rsidRPr="00F94584">
        <w:rPr>
          <w:rFonts w:ascii="Arial" w:hAnsi="Arial" w:cs="Arial"/>
        </w:rPr>
        <w:t>Cantități de DEEE colectate în județul Brăila în perioada 2009-2014</w:t>
      </w:r>
    </w:p>
    <w:tbl>
      <w:tblPr>
        <w:tblW w:w="9533" w:type="dxa"/>
        <w:jc w:val="center"/>
        <w:tblInd w:w="-1693" w:type="dxa"/>
        <w:tblLook w:val="04A0"/>
      </w:tblPr>
      <w:tblGrid>
        <w:gridCol w:w="3293"/>
        <w:gridCol w:w="992"/>
        <w:gridCol w:w="992"/>
        <w:gridCol w:w="1012"/>
        <w:gridCol w:w="1200"/>
        <w:gridCol w:w="960"/>
        <w:gridCol w:w="1084"/>
      </w:tblGrid>
      <w:tr w:rsidR="003F451C" w:rsidRPr="00F94584" w:rsidTr="004E468C">
        <w:trPr>
          <w:trHeight w:val="300"/>
          <w:jc w:val="center"/>
        </w:trPr>
        <w:tc>
          <w:tcPr>
            <w:tcW w:w="3293"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Anul</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2009</w:t>
            </w:r>
          </w:p>
        </w:tc>
        <w:tc>
          <w:tcPr>
            <w:tcW w:w="99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2010</w:t>
            </w:r>
          </w:p>
        </w:tc>
        <w:tc>
          <w:tcPr>
            <w:tcW w:w="1012"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2011</w:t>
            </w:r>
          </w:p>
        </w:tc>
        <w:tc>
          <w:tcPr>
            <w:tcW w:w="120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2012</w:t>
            </w:r>
          </w:p>
        </w:tc>
        <w:tc>
          <w:tcPr>
            <w:tcW w:w="960"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2013</w:t>
            </w:r>
          </w:p>
        </w:tc>
        <w:tc>
          <w:tcPr>
            <w:tcW w:w="1084" w:type="dxa"/>
            <w:tcBorders>
              <w:top w:val="single" w:sz="4" w:space="0" w:color="auto"/>
              <w:left w:val="nil"/>
              <w:bottom w:val="single" w:sz="4" w:space="0" w:color="auto"/>
              <w:right w:val="single" w:sz="4" w:space="0" w:color="auto"/>
            </w:tcBorders>
            <w:shd w:val="clear" w:color="auto" w:fill="BFBFBF" w:themeFill="background1" w:themeFillShade="BF"/>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2014</w:t>
            </w:r>
          </w:p>
        </w:tc>
      </w:tr>
      <w:tr w:rsidR="003F451C" w:rsidRPr="00F94584" w:rsidTr="004E468C">
        <w:trPr>
          <w:trHeight w:val="300"/>
          <w:jc w:val="center"/>
        </w:trPr>
        <w:tc>
          <w:tcPr>
            <w:tcW w:w="3293" w:type="dxa"/>
            <w:tcBorders>
              <w:top w:val="nil"/>
              <w:left w:val="single" w:sz="4" w:space="0" w:color="auto"/>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Cantitatea de deșeuri DEEE colectată</w:t>
            </w:r>
          </w:p>
        </w:tc>
        <w:tc>
          <w:tcPr>
            <w:tcW w:w="992" w:type="dxa"/>
            <w:tcBorders>
              <w:top w:val="nil"/>
              <w:left w:val="nil"/>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15,29</w:t>
            </w:r>
          </w:p>
        </w:tc>
        <w:tc>
          <w:tcPr>
            <w:tcW w:w="992" w:type="dxa"/>
            <w:tcBorders>
              <w:top w:val="nil"/>
              <w:left w:val="nil"/>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10,31</w:t>
            </w:r>
          </w:p>
        </w:tc>
        <w:tc>
          <w:tcPr>
            <w:tcW w:w="1012" w:type="dxa"/>
            <w:tcBorders>
              <w:top w:val="nil"/>
              <w:left w:val="nil"/>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124,81</w:t>
            </w:r>
          </w:p>
        </w:tc>
        <w:tc>
          <w:tcPr>
            <w:tcW w:w="1200" w:type="dxa"/>
            <w:tcBorders>
              <w:top w:val="nil"/>
              <w:left w:val="nil"/>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120,87</w:t>
            </w:r>
          </w:p>
        </w:tc>
        <w:tc>
          <w:tcPr>
            <w:tcW w:w="960" w:type="dxa"/>
            <w:tcBorders>
              <w:top w:val="nil"/>
              <w:left w:val="nil"/>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34,307</w:t>
            </w:r>
          </w:p>
        </w:tc>
        <w:tc>
          <w:tcPr>
            <w:tcW w:w="1084" w:type="dxa"/>
            <w:tcBorders>
              <w:top w:val="nil"/>
              <w:left w:val="nil"/>
              <w:bottom w:val="single" w:sz="4" w:space="0" w:color="auto"/>
              <w:right w:val="single" w:sz="4" w:space="0" w:color="auto"/>
            </w:tcBorders>
            <w:shd w:val="clear" w:color="auto" w:fill="auto"/>
            <w:noWrap/>
            <w:vAlign w:val="center"/>
            <w:hideMark/>
          </w:tcPr>
          <w:p w:rsidR="003F451C" w:rsidRPr="00F94584" w:rsidRDefault="003F451C" w:rsidP="004E468C">
            <w:pPr>
              <w:jc w:val="center"/>
              <w:rPr>
                <w:rFonts w:ascii="Arial" w:eastAsia="Times New Roman" w:hAnsi="Arial" w:cs="Arial"/>
                <w:lang w:eastAsia="ro-RO"/>
              </w:rPr>
            </w:pPr>
            <w:r w:rsidRPr="00F94584">
              <w:rPr>
                <w:rFonts w:ascii="Arial" w:eastAsia="Times New Roman" w:hAnsi="Arial" w:cs="Arial"/>
                <w:lang w:eastAsia="ro-RO"/>
              </w:rPr>
              <w:t>117,762</w:t>
            </w:r>
          </w:p>
        </w:tc>
      </w:tr>
    </w:tbl>
    <w:p w:rsidR="003F451C" w:rsidRDefault="003F451C" w:rsidP="003F451C">
      <w:pPr>
        <w:tabs>
          <w:tab w:val="left" w:pos="1080"/>
        </w:tabs>
        <w:jc w:val="both"/>
        <w:outlineLvl w:val="0"/>
        <w:rPr>
          <w:rFonts w:ascii="Arial" w:hAnsi="Arial" w:cs="Arial"/>
          <w:b/>
          <w:bCs/>
          <w:lang w:val="it-IT"/>
        </w:rPr>
      </w:pPr>
    </w:p>
    <w:p w:rsidR="003F451C" w:rsidRPr="00F94584" w:rsidRDefault="003F451C" w:rsidP="003F451C">
      <w:pPr>
        <w:tabs>
          <w:tab w:val="left" w:pos="1080"/>
        </w:tabs>
        <w:jc w:val="both"/>
        <w:outlineLvl w:val="0"/>
        <w:rPr>
          <w:rFonts w:ascii="Arial" w:hAnsi="Arial" w:cs="Arial"/>
          <w:b/>
          <w:bCs/>
          <w:lang w:val="it-IT"/>
        </w:rPr>
      </w:pPr>
    </w:p>
    <w:p w:rsidR="003F451C" w:rsidRPr="00F94584" w:rsidRDefault="003F451C" w:rsidP="003F451C">
      <w:pPr>
        <w:rPr>
          <w:rFonts w:ascii="Arial" w:hAnsi="Arial" w:cs="Arial"/>
        </w:rPr>
      </w:pPr>
      <w:r w:rsidRPr="00F94584">
        <w:rPr>
          <w:rFonts w:ascii="Arial" w:hAnsi="Arial" w:cs="Arial"/>
          <w:b/>
          <w:bCs/>
          <w:lang w:val="it-IT"/>
        </w:rPr>
        <w:t>Figura</w:t>
      </w:r>
      <w:r w:rsidRPr="00F94584">
        <w:rPr>
          <w:rFonts w:ascii="Arial" w:hAnsi="Arial" w:cs="Arial"/>
          <w:b/>
          <w:lang w:val="it-IT"/>
        </w:rPr>
        <w:t xml:space="preserve"> nr. VII.</w:t>
      </w:r>
      <w:r>
        <w:rPr>
          <w:rFonts w:ascii="Arial" w:hAnsi="Arial" w:cs="Arial"/>
          <w:b/>
          <w:lang w:val="it-IT"/>
        </w:rPr>
        <w:t>I</w:t>
      </w:r>
      <w:r w:rsidRPr="00F94584">
        <w:rPr>
          <w:rFonts w:ascii="Arial" w:hAnsi="Arial" w:cs="Arial"/>
          <w:b/>
          <w:lang w:val="it-IT"/>
        </w:rPr>
        <w:t xml:space="preserve">.3.1.-  1 </w:t>
      </w:r>
      <w:r w:rsidRPr="00F94584">
        <w:rPr>
          <w:rFonts w:ascii="Arial" w:hAnsi="Arial" w:cs="Arial"/>
        </w:rPr>
        <w:t>Cantități de DEEE colectate în județul Brăila în perioada 2009-2014</w:t>
      </w:r>
    </w:p>
    <w:p w:rsidR="003F451C" w:rsidRPr="00F94584" w:rsidRDefault="003F451C" w:rsidP="003F451C">
      <w:pPr>
        <w:tabs>
          <w:tab w:val="left" w:pos="1080"/>
        </w:tabs>
        <w:jc w:val="center"/>
        <w:outlineLvl w:val="0"/>
        <w:rPr>
          <w:rFonts w:ascii="Arial" w:hAnsi="Arial" w:cs="Arial"/>
          <w:b/>
          <w:bCs/>
          <w:lang w:val="it-IT"/>
        </w:rPr>
      </w:pPr>
      <w:r w:rsidRPr="00F94584">
        <w:rPr>
          <w:rFonts w:ascii="Arial" w:hAnsi="Arial" w:cs="Arial"/>
          <w:b/>
          <w:bCs/>
          <w:noProof/>
          <w:lang w:val="ro-RO" w:eastAsia="ro-RO"/>
        </w:rPr>
        <w:drawing>
          <wp:inline distT="0" distB="0" distL="0" distR="0">
            <wp:extent cx="4834303" cy="2743200"/>
            <wp:effectExtent l="19050" t="0" r="23447" b="0"/>
            <wp:docPr id="116"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1"/>
              </a:graphicData>
            </a:graphic>
          </wp:inline>
        </w:drawing>
      </w:r>
    </w:p>
    <w:p w:rsidR="003F451C" w:rsidRPr="00F94584" w:rsidRDefault="003F451C" w:rsidP="003F451C">
      <w:pPr>
        <w:tabs>
          <w:tab w:val="left" w:pos="993"/>
          <w:tab w:val="num" w:pos="1170"/>
          <w:tab w:val="num" w:pos="1295"/>
        </w:tabs>
        <w:jc w:val="both"/>
        <w:rPr>
          <w:rFonts w:ascii="Arial" w:hAnsi="Arial" w:cs="Arial"/>
          <w:lang w:val="ro-RO"/>
        </w:rPr>
      </w:pPr>
      <w:r w:rsidRPr="00F94584">
        <w:rPr>
          <w:rFonts w:ascii="Arial" w:hAnsi="Arial" w:cs="Arial"/>
          <w:lang w:val="ro-RO"/>
        </w:rPr>
        <w:tab/>
      </w:r>
    </w:p>
    <w:p w:rsidR="003F451C" w:rsidRPr="00F94584" w:rsidRDefault="003F451C" w:rsidP="003F451C">
      <w:pPr>
        <w:tabs>
          <w:tab w:val="left" w:pos="993"/>
          <w:tab w:val="num" w:pos="1170"/>
          <w:tab w:val="num" w:pos="1295"/>
        </w:tabs>
        <w:jc w:val="both"/>
        <w:rPr>
          <w:rFonts w:ascii="Arial" w:hAnsi="Arial" w:cs="Arial"/>
          <w:lang w:val="ro-RO"/>
        </w:rPr>
      </w:pPr>
    </w:p>
    <w:p w:rsidR="003F451C" w:rsidRPr="00F94584" w:rsidRDefault="003F451C" w:rsidP="003F451C">
      <w:pPr>
        <w:tabs>
          <w:tab w:val="left" w:pos="993"/>
          <w:tab w:val="num" w:pos="1170"/>
          <w:tab w:val="num" w:pos="1295"/>
        </w:tabs>
        <w:jc w:val="both"/>
        <w:rPr>
          <w:rFonts w:ascii="Arial" w:hAnsi="Arial" w:cs="Arial"/>
          <w:lang w:val="ro-RO"/>
        </w:rPr>
      </w:pP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Totuși, cantităţile de DEEE colectate se situează  sub cele stabilite prin ţintele naţionale, fiind sub 4kg/locuitor/an.</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 xml:space="preserve"> În judeţul Brăila nu există operatori economici autorizaţi pentru tratarea DEEE.</w:t>
      </w:r>
    </w:p>
    <w:p w:rsidR="003F451C" w:rsidRPr="00F94584" w:rsidRDefault="003F451C" w:rsidP="003F451C">
      <w:pPr>
        <w:tabs>
          <w:tab w:val="left" w:leader="dot" w:pos="9356"/>
        </w:tabs>
        <w:ind w:left="1624"/>
        <w:rPr>
          <w:rFonts w:ascii="Arial" w:hAnsi="Arial" w:cs="Arial"/>
          <w:lang w:val="ro-RO"/>
        </w:rPr>
      </w:pPr>
    </w:p>
    <w:p w:rsidR="003F451C" w:rsidRPr="00C71694" w:rsidRDefault="003F451C" w:rsidP="003F451C">
      <w:pPr>
        <w:tabs>
          <w:tab w:val="left" w:leader="dot" w:pos="9356"/>
        </w:tabs>
        <w:rPr>
          <w:rFonts w:ascii="Arial" w:hAnsi="Arial" w:cs="Arial"/>
          <w:b/>
          <w:lang w:val="ro-RO"/>
        </w:rPr>
      </w:pPr>
      <w:r>
        <w:rPr>
          <w:rFonts w:ascii="Arial" w:hAnsi="Arial" w:cs="Arial"/>
          <w:b/>
          <w:lang w:val="ro-RO"/>
        </w:rPr>
        <w:t xml:space="preserve">     </w:t>
      </w:r>
      <w:r w:rsidRPr="00C71694">
        <w:rPr>
          <w:rFonts w:ascii="Arial" w:hAnsi="Arial" w:cs="Arial"/>
          <w:b/>
          <w:lang w:val="ro-RO"/>
        </w:rPr>
        <w:t xml:space="preserve">VII.1.3.2 Deşeuri de ambalaje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Ambalajele reprezintă o utilizare a resurselor şi de obicei au o durată de viaţă scurtă. Există impactul asupra mediului începând cu extracţia resurselor, producţia de ambalaje, colectarea deşeurilor de ambalaje şi tratarea acestora până la eliminarea lor.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Deşeurile de ambalaje sunt prevăzute în reglementări naţionale specifice şi există ţinte specifice pentru reciclarea şi valorificarea lor. Informaţiile privind cantităţile de deşeuri de ambalaje generate oferă un indicator al eficienţei politicilor de prevenire a deşeurilor la nivel naţional.</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În fiecare an, autorităţile teritoriale pentru protecţia mediului realizează inventarul ambalajelor şi deşeurilor de ambalaje pentru anul precedent, conform HG 621/2005 </w:t>
      </w:r>
      <w:r w:rsidRPr="00F94584">
        <w:rPr>
          <w:rFonts w:ascii="Arial" w:hAnsi="Arial" w:cs="Arial"/>
          <w:bCs/>
        </w:rPr>
        <w:t xml:space="preserve">privind gestionarea ambalajelor şi a deşeurilor de ambalaje cu modificările şi completările ulterioare </w:t>
      </w:r>
      <w:r w:rsidRPr="00F94584">
        <w:rPr>
          <w:rFonts w:ascii="Arial" w:hAnsi="Arial" w:cs="Arial"/>
          <w:lang w:val="ro-RO"/>
        </w:rPr>
        <w:t>şi a Ordinului nr. 794/2012 2012 privind procedura de raportare a datelor referitoare la ambalaje şi deşeuri de ambalaje.</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Inventarul cuprinde:</w:t>
      </w:r>
    </w:p>
    <w:p w:rsidR="003F451C" w:rsidRPr="00F94584" w:rsidRDefault="003F451C" w:rsidP="00882FB1">
      <w:pPr>
        <w:pStyle w:val="ListParagraph"/>
        <w:numPr>
          <w:ilvl w:val="0"/>
          <w:numId w:val="70"/>
        </w:numPr>
        <w:ind w:left="714" w:hanging="357"/>
        <w:jc w:val="both"/>
        <w:rPr>
          <w:rFonts w:ascii="Arial" w:hAnsi="Arial" w:cs="Arial"/>
        </w:rPr>
      </w:pPr>
      <w:r w:rsidRPr="00F94584">
        <w:rPr>
          <w:rFonts w:ascii="Arial" w:hAnsi="Arial" w:cs="Arial"/>
        </w:rPr>
        <w:lastRenderedPageBreak/>
        <w:t>Operatorii economici, producători şi importatori de ambalaje de desfacere, producători/importatori de produse ambalate, precum şi cei care supraambalează produse ambalate;</w:t>
      </w:r>
    </w:p>
    <w:p w:rsidR="003F451C" w:rsidRPr="00F94584" w:rsidRDefault="003F451C" w:rsidP="00882FB1">
      <w:pPr>
        <w:pStyle w:val="ListParagraph"/>
        <w:numPr>
          <w:ilvl w:val="0"/>
          <w:numId w:val="70"/>
        </w:numPr>
        <w:ind w:left="714" w:hanging="357"/>
        <w:jc w:val="both"/>
        <w:rPr>
          <w:rFonts w:ascii="Arial" w:hAnsi="Arial" w:cs="Arial"/>
        </w:rPr>
      </w:pPr>
      <w:r w:rsidRPr="00F94584">
        <w:rPr>
          <w:rFonts w:ascii="Arial" w:hAnsi="Arial" w:cs="Arial"/>
        </w:rPr>
        <w:t>Operatorii economici autorizaţi pentru desfăşurarea activităţii de colectare, reciclare sau valorificare a deşeurilor de ambalaje, comercianţii de deşeuri de ambalaje şi operatorii de salubritate care desfăşoară şi activitatea de colectare ca operator economic autorizat pentru colectarea deşeurilor de ambalaje;</w:t>
      </w:r>
    </w:p>
    <w:p w:rsidR="003F451C" w:rsidRPr="00F94584" w:rsidRDefault="003F451C" w:rsidP="00882FB1">
      <w:pPr>
        <w:pStyle w:val="ListParagraph"/>
        <w:numPr>
          <w:ilvl w:val="0"/>
          <w:numId w:val="70"/>
        </w:numPr>
        <w:ind w:left="714" w:hanging="357"/>
        <w:jc w:val="both"/>
        <w:rPr>
          <w:rFonts w:ascii="Arial" w:hAnsi="Arial" w:cs="Arial"/>
        </w:rPr>
      </w:pPr>
      <w:r w:rsidRPr="00F94584">
        <w:rPr>
          <w:rFonts w:ascii="Arial" w:hAnsi="Arial" w:cs="Arial"/>
        </w:rPr>
        <w:t>Autorităţile administraţiei publice locale sunt obligate să transmită datele privind deşeurile de ambalaje colectate prin serviciul public de salubrizare a localităţii, în baza datelor furnizate de către operatorii serviciului de salubrizare care deservesc localitatea respectivă;</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Implementarea ordinului menționat privind procedura de raportare implică realizarea unei aplicații prin intermediul căreia trebuie introduse datele ce trebuie raportate. Această aplicație face parte din cadrul proiectului SIM (Sistem Informational de Management) și permite introducerea datelor on-line direct de către operatorul economic. Aplicația  a fost implementată, operatorii economici s-au înscris în sistem și au făcut raportarea ”on-line” în baza de date creată de către Agenția Națională pentru Protecția Mediului. Datele prezentate, sunt date statistice, înregistrate (introduse) în paralel de către agenția locală de mediu reprezentând cantitățile de ambalaje gestionate în anul 2012. Singurele date pe care le deținem sunt cele statistice privind raportorii care fac obiectul inventarului, precum și cantitățile de ambalaje gestionate. </w:t>
      </w:r>
    </w:p>
    <w:p w:rsidR="003F451C" w:rsidRPr="00F94584" w:rsidRDefault="003F451C" w:rsidP="003F451C">
      <w:pPr>
        <w:autoSpaceDE w:val="0"/>
        <w:autoSpaceDN w:val="0"/>
        <w:adjustRightInd w:val="0"/>
        <w:ind w:firstLine="737"/>
        <w:jc w:val="both"/>
        <w:rPr>
          <w:rFonts w:ascii="Arial" w:hAnsi="Arial" w:cs="Arial"/>
          <w:lang w:val="ro-RO"/>
        </w:rPr>
      </w:pPr>
      <w:r w:rsidRPr="00F94584">
        <w:rPr>
          <w:rFonts w:ascii="Arial" w:hAnsi="Arial" w:cs="Arial"/>
          <w:lang w:val="ro-RO"/>
        </w:rPr>
        <w:t xml:space="preserve">Astfel pentru anul 2012 au fost inventariaţi un număr de </w:t>
      </w:r>
      <w:r w:rsidRPr="00F94584">
        <w:rPr>
          <w:rFonts w:ascii="Arial" w:hAnsi="Arial" w:cs="Arial"/>
          <w:bCs/>
          <w:lang w:val="ro-RO"/>
        </w:rPr>
        <w:t>90 operatorii</w:t>
      </w:r>
      <w:r w:rsidRPr="00F94584">
        <w:rPr>
          <w:rFonts w:ascii="Arial" w:hAnsi="Arial" w:cs="Arial"/>
          <w:lang w:val="ro-RO"/>
        </w:rPr>
        <w:t xml:space="preserve"> economici </w:t>
      </w:r>
      <w:r w:rsidRPr="00F94584">
        <w:rPr>
          <w:rFonts w:ascii="Arial" w:hAnsi="Arial" w:cs="Arial"/>
          <w:bCs/>
          <w:lang w:val="ro-RO"/>
        </w:rPr>
        <w:t xml:space="preserve">care intră sub incidenţa legislaţiei menţionate, (dintre aceştia, 44 au predat responsabilitatea catre 6 operatori autorizaţi pentru preluarea responsabilităţii de realizare a obiectivelor de valorificare/reciclare) </w:t>
      </w:r>
      <w:r w:rsidRPr="00F94584">
        <w:rPr>
          <w:rFonts w:ascii="Arial" w:hAnsi="Arial" w:cs="Arial"/>
          <w:lang w:val="ro-RO"/>
        </w:rPr>
        <w:t>după cum urmează:</w:t>
      </w:r>
    </w:p>
    <w:p w:rsidR="003F451C" w:rsidRPr="00F94584" w:rsidRDefault="003F451C" w:rsidP="00882FB1">
      <w:pPr>
        <w:numPr>
          <w:ilvl w:val="0"/>
          <w:numId w:val="71"/>
        </w:numPr>
        <w:rPr>
          <w:rStyle w:val="do1"/>
          <w:rFonts w:ascii="Arial" w:hAnsi="Arial" w:cs="Arial"/>
          <w:b w:val="0"/>
          <w:sz w:val="24"/>
          <w:szCs w:val="24"/>
        </w:rPr>
      </w:pPr>
      <w:r w:rsidRPr="00F94584">
        <w:rPr>
          <w:rStyle w:val="do1"/>
          <w:rFonts w:ascii="Arial" w:hAnsi="Arial" w:cs="Arial"/>
          <w:b w:val="0"/>
          <w:sz w:val="24"/>
          <w:szCs w:val="24"/>
        </w:rPr>
        <w:t>69 producători de produse ambalate;</w:t>
      </w:r>
    </w:p>
    <w:p w:rsidR="003F451C" w:rsidRPr="00F94584" w:rsidRDefault="003F451C" w:rsidP="00882FB1">
      <w:pPr>
        <w:numPr>
          <w:ilvl w:val="0"/>
          <w:numId w:val="71"/>
        </w:numPr>
        <w:rPr>
          <w:rStyle w:val="do1"/>
          <w:rFonts w:ascii="Arial" w:hAnsi="Arial" w:cs="Arial"/>
          <w:b w:val="0"/>
          <w:sz w:val="24"/>
          <w:szCs w:val="24"/>
        </w:rPr>
      </w:pPr>
      <w:r w:rsidRPr="00F94584">
        <w:rPr>
          <w:rStyle w:val="do1"/>
          <w:rFonts w:ascii="Arial" w:hAnsi="Arial" w:cs="Arial"/>
          <w:b w:val="0"/>
          <w:sz w:val="24"/>
          <w:szCs w:val="24"/>
        </w:rPr>
        <w:t xml:space="preserve">7 producători de ambalaje; </w:t>
      </w:r>
    </w:p>
    <w:p w:rsidR="003F451C" w:rsidRPr="00F94584" w:rsidRDefault="003F451C" w:rsidP="00882FB1">
      <w:pPr>
        <w:numPr>
          <w:ilvl w:val="0"/>
          <w:numId w:val="71"/>
        </w:numPr>
        <w:rPr>
          <w:rStyle w:val="do1"/>
          <w:rFonts w:ascii="Arial" w:hAnsi="Arial" w:cs="Arial"/>
          <w:b w:val="0"/>
          <w:sz w:val="24"/>
          <w:szCs w:val="24"/>
        </w:rPr>
      </w:pPr>
      <w:r w:rsidRPr="00F94584">
        <w:rPr>
          <w:rStyle w:val="do1"/>
          <w:rFonts w:ascii="Arial" w:hAnsi="Arial" w:cs="Arial"/>
          <w:b w:val="0"/>
          <w:sz w:val="24"/>
          <w:szCs w:val="24"/>
        </w:rPr>
        <w:t>1 importator de ambalaje şi produse ambalate;</w:t>
      </w:r>
    </w:p>
    <w:p w:rsidR="003F451C" w:rsidRPr="00F94584" w:rsidRDefault="003F451C" w:rsidP="00882FB1">
      <w:pPr>
        <w:numPr>
          <w:ilvl w:val="0"/>
          <w:numId w:val="71"/>
        </w:numPr>
        <w:rPr>
          <w:rStyle w:val="do1"/>
          <w:rFonts w:ascii="Arial" w:hAnsi="Arial" w:cs="Arial"/>
          <w:b w:val="0"/>
          <w:sz w:val="24"/>
          <w:szCs w:val="24"/>
        </w:rPr>
      </w:pPr>
      <w:r w:rsidRPr="00F94584">
        <w:rPr>
          <w:rStyle w:val="do1"/>
          <w:rFonts w:ascii="Arial" w:hAnsi="Arial" w:cs="Arial"/>
          <w:b w:val="0"/>
          <w:sz w:val="24"/>
          <w:szCs w:val="24"/>
        </w:rPr>
        <w:t>4 colectori de deşeuri de ambalaje;</w:t>
      </w:r>
    </w:p>
    <w:p w:rsidR="003F451C" w:rsidRPr="00F94584" w:rsidRDefault="003F451C" w:rsidP="00882FB1">
      <w:pPr>
        <w:numPr>
          <w:ilvl w:val="0"/>
          <w:numId w:val="71"/>
        </w:numPr>
        <w:rPr>
          <w:rStyle w:val="do1"/>
          <w:rFonts w:ascii="Arial" w:hAnsi="Arial" w:cs="Arial"/>
          <w:b w:val="0"/>
          <w:sz w:val="24"/>
          <w:szCs w:val="24"/>
        </w:rPr>
      </w:pPr>
      <w:r w:rsidRPr="00F94584">
        <w:rPr>
          <w:rStyle w:val="do1"/>
          <w:rFonts w:ascii="Arial" w:hAnsi="Arial" w:cs="Arial"/>
          <w:b w:val="0"/>
          <w:sz w:val="24"/>
          <w:szCs w:val="24"/>
        </w:rPr>
        <w:t>6 operatori autorizaţi pentru preluarea responsabilităţii de realizare a obiectivelor de valorificare/reciclare;</w:t>
      </w:r>
    </w:p>
    <w:p w:rsidR="003F451C" w:rsidRPr="00F94584" w:rsidRDefault="003F451C" w:rsidP="00882FB1">
      <w:pPr>
        <w:pStyle w:val="ListParagraph"/>
        <w:numPr>
          <w:ilvl w:val="0"/>
          <w:numId w:val="71"/>
        </w:numPr>
        <w:rPr>
          <w:rStyle w:val="do1"/>
          <w:rFonts w:ascii="Arial" w:hAnsi="Arial" w:cs="Arial"/>
          <w:b w:val="0"/>
          <w:bCs w:val="0"/>
          <w:sz w:val="24"/>
          <w:szCs w:val="24"/>
        </w:rPr>
      </w:pPr>
      <w:r w:rsidRPr="00F94584">
        <w:rPr>
          <w:rStyle w:val="do1"/>
          <w:rFonts w:ascii="Arial" w:hAnsi="Arial" w:cs="Arial"/>
          <w:b w:val="0"/>
          <w:sz w:val="24"/>
          <w:szCs w:val="24"/>
        </w:rPr>
        <w:t>Primăriile Brăila, Ianca, Făurei şi Însurăţei.</w:t>
      </w:r>
    </w:p>
    <w:p w:rsidR="003F451C" w:rsidRPr="00F94584" w:rsidRDefault="003F451C" w:rsidP="003F451C">
      <w:pPr>
        <w:pStyle w:val="ListParagraph"/>
        <w:rPr>
          <w:rFonts w:ascii="Arial" w:hAnsi="Arial" w:cs="Arial"/>
        </w:rPr>
      </w:pPr>
    </w:p>
    <w:p w:rsidR="003F451C" w:rsidRPr="00F94584" w:rsidRDefault="003F451C" w:rsidP="003F451C">
      <w:pPr>
        <w:rPr>
          <w:rFonts w:ascii="Arial" w:hAnsi="Arial" w:cs="Arial"/>
          <w:b/>
        </w:rPr>
      </w:pPr>
      <w:r w:rsidRPr="00F94584">
        <w:rPr>
          <w:rFonts w:ascii="Arial" w:hAnsi="Arial" w:cs="Arial"/>
          <w:b/>
        </w:rPr>
        <w:t xml:space="preserve">Tabel nr.VII.1.3. 2- 1.Cantitatea de ambalaje </w:t>
      </w:r>
      <w:r w:rsidRPr="00F94584">
        <w:rPr>
          <w:rFonts w:ascii="Arial" w:hAnsi="Arial" w:cs="Arial"/>
          <w:lang w:val="es-ES"/>
        </w:rPr>
        <w:t>de desfacere</w:t>
      </w:r>
      <w:r w:rsidRPr="00F94584">
        <w:rPr>
          <w:rFonts w:ascii="Arial" w:hAnsi="Arial" w:cs="Arial"/>
          <w:b/>
        </w:rPr>
        <w:t xml:space="preserve"> introdusă pe piaţă în județul Brăila în anul 2012</w:t>
      </w:r>
    </w:p>
    <w:p w:rsidR="003F451C" w:rsidRPr="00F94584" w:rsidRDefault="003F451C" w:rsidP="003F451C">
      <w:pPr>
        <w:rPr>
          <w:rFonts w:ascii="Arial" w:hAnsi="Arial" w:cs="Arial"/>
        </w:rPr>
      </w:pPr>
    </w:p>
    <w:tbl>
      <w:tblPr>
        <w:tblW w:w="6776" w:type="dxa"/>
        <w:jc w:val="center"/>
        <w:tblInd w:w="-1132"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5429"/>
        <w:gridCol w:w="1347"/>
      </w:tblGrid>
      <w:tr w:rsidR="003F451C" w:rsidRPr="00F94584" w:rsidTr="004E468C">
        <w:trPr>
          <w:jc w:val="center"/>
        </w:trPr>
        <w:tc>
          <w:tcPr>
            <w:tcW w:w="5429"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Tip material</w:t>
            </w:r>
          </w:p>
        </w:tc>
        <w:tc>
          <w:tcPr>
            <w:tcW w:w="1347"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Cantitate t</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Sticlă</w:t>
            </w:r>
          </w:p>
        </w:tc>
        <w:tc>
          <w:tcPr>
            <w:tcW w:w="1347" w:type="dxa"/>
          </w:tcPr>
          <w:p w:rsidR="003F451C" w:rsidRPr="00F94584" w:rsidRDefault="003F451C" w:rsidP="004E468C">
            <w:pPr>
              <w:jc w:val="center"/>
              <w:rPr>
                <w:rFonts w:ascii="Arial" w:hAnsi="Arial" w:cs="Arial"/>
              </w:rPr>
            </w:pPr>
            <w:r w:rsidRPr="00F94584">
              <w:rPr>
                <w:rFonts w:ascii="Arial" w:hAnsi="Arial" w:cs="Arial"/>
              </w:rPr>
              <w:t>0,097</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Plastic</w:t>
            </w:r>
          </w:p>
        </w:tc>
        <w:tc>
          <w:tcPr>
            <w:tcW w:w="1347" w:type="dxa"/>
          </w:tcPr>
          <w:p w:rsidR="003F451C" w:rsidRPr="00F94584" w:rsidRDefault="003F451C" w:rsidP="004E468C">
            <w:pPr>
              <w:jc w:val="center"/>
              <w:rPr>
                <w:rFonts w:ascii="Arial" w:hAnsi="Arial" w:cs="Arial"/>
              </w:rPr>
            </w:pPr>
            <w:r w:rsidRPr="00F94584">
              <w:rPr>
                <w:rFonts w:ascii="Arial" w:hAnsi="Arial" w:cs="Arial"/>
              </w:rPr>
              <w:t>71,9</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Hârtie şi carton</w:t>
            </w:r>
          </w:p>
        </w:tc>
        <w:tc>
          <w:tcPr>
            <w:tcW w:w="1347" w:type="dxa"/>
          </w:tcPr>
          <w:p w:rsidR="003F451C" w:rsidRPr="00F94584" w:rsidRDefault="003F451C" w:rsidP="004E468C">
            <w:pPr>
              <w:jc w:val="center"/>
              <w:rPr>
                <w:rFonts w:ascii="Arial" w:hAnsi="Arial" w:cs="Arial"/>
              </w:rPr>
            </w:pPr>
            <w:r w:rsidRPr="00F94584">
              <w:rPr>
                <w:rFonts w:ascii="Arial" w:hAnsi="Arial" w:cs="Arial"/>
              </w:rPr>
              <w:t>270,7</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Metal</w:t>
            </w:r>
          </w:p>
        </w:tc>
        <w:tc>
          <w:tcPr>
            <w:tcW w:w="1347" w:type="dxa"/>
          </w:tcPr>
          <w:p w:rsidR="003F451C" w:rsidRPr="00F94584" w:rsidRDefault="003F451C" w:rsidP="004E468C">
            <w:pPr>
              <w:jc w:val="center"/>
              <w:rPr>
                <w:rFonts w:ascii="Arial" w:hAnsi="Arial" w:cs="Arial"/>
              </w:rPr>
            </w:pPr>
            <w:r w:rsidRPr="00F94584">
              <w:rPr>
                <w:rFonts w:ascii="Arial" w:hAnsi="Arial" w:cs="Arial"/>
              </w:rPr>
              <w:t>43</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Lemn</w:t>
            </w:r>
          </w:p>
        </w:tc>
        <w:tc>
          <w:tcPr>
            <w:tcW w:w="1347" w:type="dxa"/>
          </w:tcPr>
          <w:p w:rsidR="003F451C" w:rsidRPr="00F94584" w:rsidRDefault="003F451C" w:rsidP="004E468C">
            <w:pPr>
              <w:jc w:val="center"/>
              <w:rPr>
                <w:rFonts w:ascii="Arial" w:hAnsi="Arial" w:cs="Arial"/>
              </w:rPr>
            </w:pPr>
            <w:r w:rsidRPr="00F94584">
              <w:rPr>
                <w:rFonts w:ascii="Arial" w:hAnsi="Arial" w:cs="Arial"/>
              </w:rPr>
              <w:t>46,1</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Altele</w:t>
            </w:r>
          </w:p>
        </w:tc>
        <w:tc>
          <w:tcPr>
            <w:tcW w:w="1347" w:type="dxa"/>
          </w:tcPr>
          <w:p w:rsidR="003F451C" w:rsidRPr="00F94584" w:rsidRDefault="003F451C" w:rsidP="004E468C">
            <w:pPr>
              <w:jc w:val="center"/>
              <w:rPr>
                <w:rFonts w:ascii="Arial" w:hAnsi="Arial" w:cs="Arial"/>
              </w:rPr>
            </w:pPr>
            <w:r w:rsidRPr="00F94584">
              <w:rPr>
                <w:rFonts w:ascii="Arial" w:hAnsi="Arial" w:cs="Arial"/>
              </w:rPr>
              <w:t>0</w:t>
            </w:r>
          </w:p>
        </w:tc>
      </w:tr>
      <w:tr w:rsidR="003F451C" w:rsidRPr="00F94584" w:rsidTr="004E468C">
        <w:trPr>
          <w:jc w:val="center"/>
        </w:trPr>
        <w:tc>
          <w:tcPr>
            <w:tcW w:w="5429" w:type="dxa"/>
          </w:tcPr>
          <w:p w:rsidR="003F451C" w:rsidRPr="00F94584" w:rsidRDefault="003F451C" w:rsidP="004E468C">
            <w:pPr>
              <w:jc w:val="center"/>
              <w:rPr>
                <w:rFonts w:ascii="Arial" w:hAnsi="Arial" w:cs="Arial"/>
              </w:rPr>
            </w:pPr>
            <w:r w:rsidRPr="00F94584">
              <w:rPr>
                <w:rFonts w:ascii="Arial" w:hAnsi="Arial" w:cs="Arial"/>
              </w:rPr>
              <w:t xml:space="preserve">Total </w:t>
            </w:r>
          </w:p>
        </w:tc>
        <w:tc>
          <w:tcPr>
            <w:tcW w:w="1347" w:type="dxa"/>
          </w:tcPr>
          <w:p w:rsidR="003F451C" w:rsidRPr="00F94584" w:rsidRDefault="003F451C" w:rsidP="004E468C">
            <w:pPr>
              <w:jc w:val="center"/>
              <w:rPr>
                <w:rFonts w:ascii="Arial" w:hAnsi="Arial" w:cs="Arial"/>
              </w:rPr>
            </w:pPr>
            <w:r w:rsidRPr="00F94584">
              <w:rPr>
                <w:rFonts w:ascii="Arial" w:hAnsi="Arial" w:cs="Arial"/>
              </w:rPr>
              <w:t>431,9</w:t>
            </w:r>
          </w:p>
        </w:tc>
      </w:tr>
    </w:tbl>
    <w:p w:rsidR="003F451C" w:rsidRPr="00F94584" w:rsidRDefault="003F451C" w:rsidP="003F451C">
      <w:pPr>
        <w:ind w:firstLine="737"/>
        <w:rPr>
          <w:rFonts w:ascii="Arial" w:hAnsi="Arial" w:cs="Arial"/>
        </w:rPr>
      </w:pPr>
    </w:p>
    <w:p w:rsidR="003F451C" w:rsidRPr="00F94584" w:rsidRDefault="003F451C" w:rsidP="003F451C">
      <w:pPr>
        <w:ind w:firstLine="737"/>
        <w:rPr>
          <w:rFonts w:ascii="Arial" w:hAnsi="Arial" w:cs="Arial"/>
        </w:rPr>
      </w:pPr>
      <w:r w:rsidRPr="00F94584">
        <w:rPr>
          <w:rFonts w:ascii="Arial" w:hAnsi="Arial" w:cs="Arial"/>
        </w:rPr>
        <w:t>Prin operatorii autorizați pentru colectarea deșeurilor de ambalaje de la populație sau alți generator în anul 2012 au fost colectate 2590,8t de astfel de deșeuri.</w:t>
      </w:r>
    </w:p>
    <w:p w:rsidR="003F451C" w:rsidRPr="00F94584" w:rsidRDefault="003F451C" w:rsidP="003F451C">
      <w:pPr>
        <w:rPr>
          <w:rFonts w:ascii="Arial" w:hAnsi="Arial" w:cs="Arial"/>
          <w:b/>
        </w:rPr>
      </w:pPr>
    </w:p>
    <w:p w:rsidR="003F451C" w:rsidRPr="00F94584" w:rsidRDefault="003F451C" w:rsidP="003F451C">
      <w:pPr>
        <w:rPr>
          <w:rFonts w:ascii="Arial" w:hAnsi="Arial" w:cs="Arial"/>
        </w:rPr>
      </w:pPr>
      <w:r w:rsidRPr="00F94584">
        <w:rPr>
          <w:rFonts w:ascii="Arial" w:hAnsi="Arial" w:cs="Arial"/>
          <w:b/>
        </w:rPr>
        <w:t>Tabel nr.VII.1.3. 2- Cantităţile de deşeuri de ambalaje gestionate în anul 2012</w:t>
      </w:r>
    </w:p>
    <w:tbl>
      <w:tblPr>
        <w:tblW w:w="8363" w:type="dxa"/>
        <w:tblInd w:w="8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701"/>
        <w:gridCol w:w="3985"/>
        <w:gridCol w:w="1173"/>
        <w:gridCol w:w="1504"/>
      </w:tblGrid>
      <w:tr w:rsidR="003F451C" w:rsidRPr="00F94584" w:rsidTr="004E468C">
        <w:tc>
          <w:tcPr>
            <w:tcW w:w="1701" w:type="dxa"/>
            <w:vMerge w:val="restart"/>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Materialul</w:t>
            </w:r>
          </w:p>
        </w:tc>
        <w:tc>
          <w:tcPr>
            <w:tcW w:w="3985" w:type="dxa"/>
            <w:vMerge w:val="restart"/>
            <w:shd w:val="clear" w:color="auto" w:fill="E0E0E0"/>
            <w:vAlign w:val="center"/>
          </w:tcPr>
          <w:p w:rsidR="003F451C" w:rsidRPr="00F94584" w:rsidRDefault="003F451C" w:rsidP="004E468C">
            <w:pPr>
              <w:jc w:val="center"/>
              <w:rPr>
                <w:rFonts w:ascii="Arial" w:hAnsi="Arial" w:cs="Arial"/>
                <w:b/>
              </w:rPr>
            </w:pPr>
            <w:r w:rsidRPr="00F94584">
              <w:rPr>
                <w:rFonts w:ascii="Arial" w:hAnsi="Arial" w:cs="Arial"/>
                <w:b/>
              </w:rPr>
              <w:t xml:space="preserve">Cantitate de deşeuri de ambalaje </w:t>
            </w:r>
            <w:r w:rsidRPr="00F94584">
              <w:rPr>
                <w:rFonts w:ascii="Arial" w:hAnsi="Arial" w:cs="Arial"/>
                <w:b/>
              </w:rPr>
              <w:lastRenderedPageBreak/>
              <w:t>preluată</w:t>
            </w:r>
          </w:p>
        </w:tc>
        <w:tc>
          <w:tcPr>
            <w:tcW w:w="2677" w:type="dxa"/>
            <w:gridSpan w:val="2"/>
            <w:shd w:val="clear" w:color="auto" w:fill="E0E0E0"/>
          </w:tcPr>
          <w:p w:rsidR="003F451C" w:rsidRPr="00F94584" w:rsidRDefault="003F451C" w:rsidP="004E468C">
            <w:pPr>
              <w:jc w:val="center"/>
              <w:rPr>
                <w:rFonts w:ascii="Arial" w:hAnsi="Arial" w:cs="Arial"/>
                <w:b/>
              </w:rPr>
            </w:pPr>
            <w:r w:rsidRPr="00F94584">
              <w:rPr>
                <w:rFonts w:ascii="Arial" w:hAnsi="Arial" w:cs="Arial"/>
                <w:b/>
              </w:rPr>
              <w:lastRenderedPageBreak/>
              <w:t xml:space="preserve">Cantitate de deşeuri </w:t>
            </w:r>
            <w:r w:rsidRPr="00F94584">
              <w:rPr>
                <w:rFonts w:ascii="Arial" w:hAnsi="Arial" w:cs="Arial"/>
                <w:b/>
              </w:rPr>
              <w:lastRenderedPageBreak/>
              <w:t>valorificată</w:t>
            </w:r>
          </w:p>
        </w:tc>
      </w:tr>
      <w:tr w:rsidR="003F451C" w:rsidRPr="00F94584" w:rsidTr="004E468C">
        <w:tc>
          <w:tcPr>
            <w:tcW w:w="1701" w:type="dxa"/>
            <w:vMerge/>
            <w:shd w:val="clear" w:color="auto" w:fill="E0E0E0"/>
          </w:tcPr>
          <w:p w:rsidR="003F451C" w:rsidRPr="00F94584" w:rsidRDefault="003F451C" w:rsidP="004E468C">
            <w:pPr>
              <w:jc w:val="center"/>
              <w:rPr>
                <w:rFonts w:ascii="Arial" w:hAnsi="Arial" w:cs="Arial"/>
                <w:b/>
              </w:rPr>
            </w:pPr>
          </w:p>
        </w:tc>
        <w:tc>
          <w:tcPr>
            <w:tcW w:w="3985" w:type="dxa"/>
            <w:vMerge/>
            <w:shd w:val="clear" w:color="auto" w:fill="E0E0E0"/>
          </w:tcPr>
          <w:p w:rsidR="003F451C" w:rsidRPr="00F94584" w:rsidRDefault="003F451C" w:rsidP="004E468C">
            <w:pPr>
              <w:jc w:val="center"/>
              <w:rPr>
                <w:rFonts w:ascii="Arial" w:hAnsi="Arial" w:cs="Arial"/>
                <w:b/>
              </w:rPr>
            </w:pPr>
          </w:p>
        </w:tc>
        <w:tc>
          <w:tcPr>
            <w:tcW w:w="1173"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Total</w:t>
            </w:r>
          </w:p>
        </w:tc>
        <w:tc>
          <w:tcPr>
            <w:tcW w:w="1504" w:type="dxa"/>
            <w:shd w:val="clear" w:color="auto" w:fill="E0E0E0"/>
          </w:tcPr>
          <w:p w:rsidR="003F451C" w:rsidRPr="00F94584" w:rsidRDefault="003F451C" w:rsidP="004E468C">
            <w:pPr>
              <w:jc w:val="center"/>
              <w:rPr>
                <w:rFonts w:ascii="Arial" w:hAnsi="Arial" w:cs="Arial"/>
                <w:b/>
              </w:rPr>
            </w:pPr>
            <w:r w:rsidRPr="00F94584">
              <w:rPr>
                <w:rFonts w:ascii="Arial" w:hAnsi="Arial" w:cs="Arial"/>
                <w:b/>
              </w:rPr>
              <w:t>Reciclată</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Sticlă</w:t>
            </w:r>
          </w:p>
        </w:tc>
        <w:tc>
          <w:tcPr>
            <w:tcW w:w="3985" w:type="dxa"/>
          </w:tcPr>
          <w:p w:rsidR="003F451C" w:rsidRPr="00F94584" w:rsidRDefault="003F451C" w:rsidP="004E468C">
            <w:pPr>
              <w:jc w:val="center"/>
              <w:rPr>
                <w:rFonts w:ascii="Arial" w:hAnsi="Arial" w:cs="Arial"/>
              </w:rPr>
            </w:pPr>
            <w:r w:rsidRPr="00F94584">
              <w:rPr>
                <w:rFonts w:ascii="Arial" w:hAnsi="Arial" w:cs="Arial"/>
              </w:rPr>
              <w:t>0</w:t>
            </w:r>
          </w:p>
        </w:tc>
        <w:tc>
          <w:tcPr>
            <w:tcW w:w="1173" w:type="dxa"/>
          </w:tcPr>
          <w:p w:rsidR="003F451C" w:rsidRPr="00F94584" w:rsidRDefault="003F451C" w:rsidP="004E468C">
            <w:pPr>
              <w:jc w:val="center"/>
              <w:rPr>
                <w:rFonts w:ascii="Arial" w:hAnsi="Arial" w:cs="Arial"/>
              </w:rPr>
            </w:pPr>
            <w:r w:rsidRPr="00F94584">
              <w:rPr>
                <w:rFonts w:ascii="Arial" w:hAnsi="Arial" w:cs="Arial"/>
              </w:rPr>
              <w:t>0</w:t>
            </w:r>
          </w:p>
        </w:tc>
        <w:tc>
          <w:tcPr>
            <w:tcW w:w="1504" w:type="dxa"/>
          </w:tcPr>
          <w:p w:rsidR="003F451C" w:rsidRPr="00F94584" w:rsidRDefault="003F451C" w:rsidP="004E468C">
            <w:pPr>
              <w:jc w:val="center"/>
              <w:rPr>
                <w:rFonts w:ascii="Arial" w:hAnsi="Arial" w:cs="Arial"/>
              </w:rPr>
            </w:pPr>
            <w:r w:rsidRPr="00F94584">
              <w:rPr>
                <w:rFonts w:ascii="Arial" w:hAnsi="Arial" w:cs="Arial"/>
              </w:rPr>
              <w:t>0</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Plastic</w:t>
            </w:r>
          </w:p>
        </w:tc>
        <w:tc>
          <w:tcPr>
            <w:tcW w:w="3985" w:type="dxa"/>
          </w:tcPr>
          <w:p w:rsidR="003F451C" w:rsidRPr="00F94584" w:rsidRDefault="003F451C" w:rsidP="004E468C">
            <w:pPr>
              <w:jc w:val="center"/>
              <w:rPr>
                <w:rFonts w:ascii="Arial" w:hAnsi="Arial" w:cs="Arial"/>
              </w:rPr>
            </w:pPr>
            <w:r w:rsidRPr="00F94584">
              <w:rPr>
                <w:rFonts w:ascii="Arial" w:hAnsi="Arial" w:cs="Arial"/>
              </w:rPr>
              <w:t>420,8</w:t>
            </w:r>
          </w:p>
        </w:tc>
        <w:tc>
          <w:tcPr>
            <w:tcW w:w="1173" w:type="dxa"/>
          </w:tcPr>
          <w:p w:rsidR="003F451C" w:rsidRPr="00F94584" w:rsidRDefault="003F451C" w:rsidP="004E468C">
            <w:pPr>
              <w:jc w:val="center"/>
              <w:rPr>
                <w:rFonts w:ascii="Arial" w:hAnsi="Arial" w:cs="Arial"/>
              </w:rPr>
            </w:pPr>
            <w:r w:rsidRPr="00F94584">
              <w:rPr>
                <w:rFonts w:ascii="Arial" w:hAnsi="Arial" w:cs="Arial"/>
              </w:rPr>
              <w:t>408,4</w:t>
            </w:r>
          </w:p>
        </w:tc>
        <w:tc>
          <w:tcPr>
            <w:tcW w:w="1504" w:type="dxa"/>
          </w:tcPr>
          <w:p w:rsidR="003F451C" w:rsidRPr="00F94584" w:rsidRDefault="003F451C" w:rsidP="004E468C">
            <w:pPr>
              <w:jc w:val="center"/>
              <w:rPr>
                <w:rFonts w:ascii="Arial" w:hAnsi="Arial" w:cs="Arial"/>
              </w:rPr>
            </w:pPr>
            <w:r w:rsidRPr="00F94584">
              <w:rPr>
                <w:rFonts w:ascii="Arial" w:hAnsi="Arial" w:cs="Arial"/>
              </w:rPr>
              <w:t>408,4</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Hârtie şi carton</w:t>
            </w:r>
          </w:p>
        </w:tc>
        <w:tc>
          <w:tcPr>
            <w:tcW w:w="3985" w:type="dxa"/>
          </w:tcPr>
          <w:p w:rsidR="003F451C" w:rsidRPr="00F94584" w:rsidRDefault="003F451C" w:rsidP="004E468C">
            <w:pPr>
              <w:jc w:val="center"/>
              <w:rPr>
                <w:rFonts w:ascii="Arial" w:hAnsi="Arial" w:cs="Arial"/>
              </w:rPr>
            </w:pPr>
            <w:r w:rsidRPr="00F94584">
              <w:rPr>
                <w:rFonts w:ascii="Arial" w:hAnsi="Arial" w:cs="Arial"/>
              </w:rPr>
              <w:t>2159,5</w:t>
            </w:r>
          </w:p>
        </w:tc>
        <w:tc>
          <w:tcPr>
            <w:tcW w:w="1173" w:type="dxa"/>
          </w:tcPr>
          <w:p w:rsidR="003F451C" w:rsidRPr="00F94584" w:rsidRDefault="003F451C" w:rsidP="004E468C">
            <w:pPr>
              <w:jc w:val="center"/>
              <w:rPr>
                <w:rFonts w:ascii="Arial" w:hAnsi="Arial" w:cs="Arial"/>
              </w:rPr>
            </w:pPr>
            <w:r w:rsidRPr="00F94584">
              <w:rPr>
                <w:rFonts w:ascii="Arial" w:hAnsi="Arial" w:cs="Arial"/>
              </w:rPr>
              <w:t>2008,6</w:t>
            </w:r>
          </w:p>
        </w:tc>
        <w:tc>
          <w:tcPr>
            <w:tcW w:w="1504" w:type="dxa"/>
          </w:tcPr>
          <w:p w:rsidR="003F451C" w:rsidRPr="00F94584" w:rsidRDefault="003F451C" w:rsidP="004E468C">
            <w:pPr>
              <w:jc w:val="center"/>
              <w:rPr>
                <w:rFonts w:ascii="Arial" w:hAnsi="Arial" w:cs="Arial"/>
              </w:rPr>
            </w:pPr>
            <w:r w:rsidRPr="00F94584">
              <w:rPr>
                <w:rFonts w:ascii="Arial" w:hAnsi="Arial" w:cs="Arial"/>
              </w:rPr>
              <w:t>2008,6</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Metale</w:t>
            </w:r>
          </w:p>
        </w:tc>
        <w:tc>
          <w:tcPr>
            <w:tcW w:w="3985" w:type="dxa"/>
          </w:tcPr>
          <w:p w:rsidR="003F451C" w:rsidRPr="00F94584" w:rsidRDefault="003F451C" w:rsidP="004E468C">
            <w:pPr>
              <w:jc w:val="center"/>
              <w:rPr>
                <w:rFonts w:ascii="Arial" w:hAnsi="Arial" w:cs="Arial"/>
              </w:rPr>
            </w:pPr>
            <w:r w:rsidRPr="00F94584">
              <w:rPr>
                <w:rFonts w:ascii="Arial" w:hAnsi="Arial" w:cs="Arial"/>
              </w:rPr>
              <w:t>10,5</w:t>
            </w:r>
          </w:p>
        </w:tc>
        <w:tc>
          <w:tcPr>
            <w:tcW w:w="1173" w:type="dxa"/>
          </w:tcPr>
          <w:p w:rsidR="003F451C" w:rsidRPr="00F94584" w:rsidRDefault="003F451C" w:rsidP="004E468C">
            <w:pPr>
              <w:jc w:val="center"/>
              <w:rPr>
                <w:rFonts w:ascii="Arial" w:hAnsi="Arial" w:cs="Arial"/>
              </w:rPr>
            </w:pPr>
            <w:r w:rsidRPr="00F94584">
              <w:rPr>
                <w:rFonts w:ascii="Arial" w:hAnsi="Arial" w:cs="Arial"/>
              </w:rPr>
              <w:t>9,6</w:t>
            </w:r>
          </w:p>
        </w:tc>
        <w:tc>
          <w:tcPr>
            <w:tcW w:w="1504" w:type="dxa"/>
          </w:tcPr>
          <w:p w:rsidR="003F451C" w:rsidRPr="00F94584" w:rsidRDefault="003F451C" w:rsidP="004E468C">
            <w:pPr>
              <w:jc w:val="center"/>
              <w:rPr>
                <w:rFonts w:ascii="Arial" w:hAnsi="Arial" w:cs="Arial"/>
              </w:rPr>
            </w:pPr>
            <w:r w:rsidRPr="00F94584">
              <w:rPr>
                <w:rFonts w:ascii="Arial" w:hAnsi="Arial" w:cs="Arial"/>
              </w:rPr>
              <w:t>9,6</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Lemn</w:t>
            </w:r>
          </w:p>
        </w:tc>
        <w:tc>
          <w:tcPr>
            <w:tcW w:w="3985" w:type="dxa"/>
          </w:tcPr>
          <w:p w:rsidR="003F451C" w:rsidRPr="00F94584" w:rsidRDefault="003F451C" w:rsidP="004E468C">
            <w:pPr>
              <w:jc w:val="center"/>
              <w:rPr>
                <w:rFonts w:ascii="Arial" w:hAnsi="Arial" w:cs="Arial"/>
              </w:rPr>
            </w:pPr>
            <w:r w:rsidRPr="00F94584">
              <w:rPr>
                <w:rFonts w:ascii="Arial" w:hAnsi="Arial" w:cs="Arial"/>
              </w:rPr>
              <w:t>0</w:t>
            </w:r>
          </w:p>
        </w:tc>
        <w:tc>
          <w:tcPr>
            <w:tcW w:w="1173" w:type="dxa"/>
          </w:tcPr>
          <w:p w:rsidR="003F451C" w:rsidRPr="00F94584" w:rsidRDefault="003F451C" w:rsidP="004E468C">
            <w:pPr>
              <w:jc w:val="center"/>
              <w:rPr>
                <w:rFonts w:ascii="Arial" w:hAnsi="Arial" w:cs="Arial"/>
              </w:rPr>
            </w:pPr>
            <w:r w:rsidRPr="00F94584">
              <w:rPr>
                <w:rFonts w:ascii="Arial" w:hAnsi="Arial" w:cs="Arial"/>
              </w:rPr>
              <w:t>0</w:t>
            </w:r>
          </w:p>
        </w:tc>
        <w:tc>
          <w:tcPr>
            <w:tcW w:w="1504" w:type="dxa"/>
          </w:tcPr>
          <w:p w:rsidR="003F451C" w:rsidRPr="00F94584" w:rsidRDefault="003F451C" w:rsidP="004E468C">
            <w:pPr>
              <w:jc w:val="center"/>
              <w:rPr>
                <w:rFonts w:ascii="Arial" w:hAnsi="Arial" w:cs="Arial"/>
              </w:rPr>
            </w:pPr>
            <w:r w:rsidRPr="00F94584">
              <w:rPr>
                <w:rFonts w:ascii="Arial" w:hAnsi="Arial" w:cs="Arial"/>
              </w:rPr>
              <w:t>0</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Altele</w:t>
            </w:r>
          </w:p>
        </w:tc>
        <w:tc>
          <w:tcPr>
            <w:tcW w:w="3985" w:type="dxa"/>
          </w:tcPr>
          <w:p w:rsidR="003F451C" w:rsidRPr="00F94584" w:rsidRDefault="003F451C" w:rsidP="004E468C">
            <w:pPr>
              <w:jc w:val="center"/>
              <w:rPr>
                <w:rFonts w:ascii="Arial" w:hAnsi="Arial" w:cs="Arial"/>
              </w:rPr>
            </w:pPr>
            <w:r w:rsidRPr="00F94584">
              <w:rPr>
                <w:rFonts w:ascii="Arial" w:hAnsi="Arial" w:cs="Arial"/>
              </w:rPr>
              <w:t>0</w:t>
            </w:r>
          </w:p>
        </w:tc>
        <w:tc>
          <w:tcPr>
            <w:tcW w:w="1173" w:type="dxa"/>
          </w:tcPr>
          <w:p w:rsidR="003F451C" w:rsidRPr="00F94584" w:rsidRDefault="003F451C" w:rsidP="004E468C">
            <w:pPr>
              <w:jc w:val="center"/>
              <w:rPr>
                <w:rFonts w:ascii="Arial" w:hAnsi="Arial" w:cs="Arial"/>
              </w:rPr>
            </w:pPr>
            <w:r w:rsidRPr="00F94584">
              <w:rPr>
                <w:rFonts w:ascii="Arial" w:hAnsi="Arial" w:cs="Arial"/>
              </w:rPr>
              <w:t>0</w:t>
            </w:r>
          </w:p>
        </w:tc>
        <w:tc>
          <w:tcPr>
            <w:tcW w:w="1504" w:type="dxa"/>
          </w:tcPr>
          <w:p w:rsidR="003F451C" w:rsidRPr="00F94584" w:rsidRDefault="003F451C" w:rsidP="004E468C">
            <w:pPr>
              <w:jc w:val="center"/>
              <w:rPr>
                <w:rFonts w:ascii="Arial" w:hAnsi="Arial" w:cs="Arial"/>
              </w:rPr>
            </w:pPr>
            <w:r w:rsidRPr="00F94584">
              <w:rPr>
                <w:rFonts w:ascii="Arial" w:hAnsi="Arial" w:cs="Arial"/>
              </w:rPr>
              <w:t>0</w:t>
            </w:r>
          </w:p>
        </w:tc>
      </w:tr>
      <w:tr w:rsidR="003F451C" w:rsidRPr="00F94584" w:rsidTr="004E468C">
        <w:tc>
          <w:tcPr>
            <w:tcW w:w="1701" w:type="dxa"/>
          </w:tcPr>
          <w:p w:rsidR="003F451C" w:rsidRPr="00F94584" w:rsidRDefault="003F451C" w:rsidP="004E468C">
            <w:pPr>
              <w:rPr>
                <w:rFonts w:ascii="Arial" w:hAnsi="Arial" w:cs="Arial"/>
              </w:rPr>
            </w:pPr>
            <w:r w:rsidRPr="00F94584">
              <w:rPr>
                <w:rFonts w:ascii="Arial" w:hAnsi="Arial" w:cs="Arial"/>
              </w:rPr>
              <w:t xml:space="preserve">Total </w:t>
            </w:r>
          </w:p>
        </w:tc>
        <w:tc>
          <w:tcPr>
            <w:tcW w:w="3985" w:type="dxa"/>
          </w:tcPr>
          <w:p w:rsidR="003F451C" w:rsidRPr="00F94584" w:rsidRDefault="003F451C" w:rsidP="004E468C">
            <w:pPr>
              <w:jc w:val="center"/>
              <w:rPr>
                <w:rFonts w:ascii="Arial" w:hAnsi="Arial" w:cs="Arial"/>
              </w:rPr>
            </w:pPr>
            <w:r w:rsidRPr="00F94584">
              <w:rPr>
                <w:rFonts w:ascii="Arial" w:hAnsi="Arial" w:cs="Arial"/>
              </w:rPr>
              <w:t>2590,8</w:t>
            </w:r>
          </w:p>
        </w:tc>
        <w:tc>
          <w:tcPr>
            <w:tcW w:w="1173" w:type="dxa"/>
          </w:tcPr>
          <w:p w:rsidR="003F451C" w:rsidRPr="00F94584" w:rsidRDefault="003F451C" w:rsidP="004E468C">
            <w:pPr>
              <w:jc w:val="center"/>
              <w:rPr>
                <w:rFonts w:ascii="Arial" w:hAnsi="Arial" w:cs="Arial"/>
              </w:rPr>
            </w:pPr>
            <w:r w:rsidRPr="00F94584">
              <w:rPr>
                <w:rFonts w:ascii="Arial" w:hAnsi="Arial" w:cs="Arial"/>
              </w:rPr>
              <w:t>2426,8</w:t>
            </w:r>
          </w:p>
        </w:tc>
        <w:tc>
          <w:tcPr>
            <w:tcW w:w="1504" w:type="dxa"/>
          </w:tcPr>
          <w:p w:rsidR="003F451C" w:rsidRPr="00F94584" w:rsidRDefault="003F451C" w:rsidP="004E468C">
            <w:pPr>
              <w:jc w:val="center"/>
              <w:rPr>
                <w:rFonts w:ascii="Arial" w:hAnsi="Arial" w:cs="Arial"/>
              </w:rPr>
            </w:pPr>
            <w:r w:rsidRPr="00F94584">
              <w:rPr>
                <w:rFonts w:ascii="Arial" w:hAnsi="Arial" w:cs="Arial"/>
              </w:rPr>
              <w:t>2426,8</w:t>
            </w:r>
          </w:p>
        </w:tc>
      </w:tr>
    </w:tbl>
    <w:p w:rsidR="003F451C" w:rsidRDefault="003F451C" w:rsidP="003F451C">
      <w:pPr>
        <w:tabs>
          <w:tab w:val="left" w:leader="dot" w:pos="8640"/>
        </w:tabs>
        <w:ind w:right="360"/>
        <w:rPr>
          <w:rFonts w:ascii="Arial" w:hAnsi="Arial" w:cs="Arial"/>
          <w:lang w:val="ro-RO"/>
        </w:rPr>
      </w:pPr>
    </w:p>
    <w:p w:rsidR="003F451C" w:rsidRPr="00F94584" w:rsidRDefault="003F451C" w:rsidP="003F451C">
      <w:pPr>
        <w:tabs>
          <w:tab w:val="left" w:leader="dot" w:pos="8640"/>
        </w:tabs>
        <w:ind w:right="360"/>
        <w:rPr>
          <w:rFonts w:ascii="Arial" w:hAnsi="Arial" w:cs="Arial"/>
          <w:lang w:val="ro-RO"/>
        </w:rPr>
      </w:pPr>
    </w:p>
    <w:p w:rsidR="003F451C" w:rsidRDefault="003F451C" w:rsidP="003F451C">
      <w:pPr>
        <w:tabs>
          <w:tab w:val="left" w:leader="dot" w:pos="9356"/>
        </w:tabs>
        <w:rPr>
          <w:rFonts w:ascii="Arial" w:hAnsi="Arial" w:cs="Arial"/>
          <w:b/>
          <w:lang w:val="ro-RO"/>
        </w:rPr>
      </w:pPr>
      <w:r>
        <w:rPr>
          <w:rFonts w:ascii="Arial" w:hAnsi="Arial" w:cs="Arial"/>
          <w:b/>
          <w:lang w:val="ro-RO"/>
        </w:rPr>
        <w:t xml:space="preserve">     VII.1.3.3. </w:t>
      </w:r>
      <w:r w:rsidRPr="00F94584">
        <w:rPr>
          <w:rFonts w:ascii="Arial" w:hAnsi="Arial" w:cs="Arial"/>
          <w:b/>
          <w:lang w:val="ro-RO"/>
        </w:rPr>
        <w:t xml:space="preserve">Vehicule scoase din uz (VSU) </w:t>
      </w:r>
    </w:p>
    <w:p w:rsidR="003F451C" w:rsidRPr="00F94584" w:rsidRDefault="003F451C" w:rsidP="003F451C">
      <w:pPr>
        <w:tabs>
          <w:tab w:val="left" w:leader="dot" w:pos="9356"/>
        </w:tabs>
        <w:rPr>
          <w:rFonts w:ascii="Arial" w:hAnsi="Arial" w:cs="Arial"/>
          <w:b/>
          <w:lang w:val="ro-RO"/>
        </w:rPr>
      </w:pP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Gestiunea rațională a vehiculelor scoase din uz (VSU) prezintă o importanță majoră, deoarece autoturismele existente conţin materiale cum ar fi plumb, mercur, cadmiu, crom hexavalent şi alte substanţe nocive asupra mediului. În ceea ce priveşte greutatea, aproximativ trei sferturi din maşină sunt reprezentate din oţel şi aluminiu, care în mod normal trebuie reciclate. Restul, este reprezentat de materiale plastice, care sunt eliminate prin incinerare sau în depozitele de deşeuri. De asemenea autovehicule conţin substanţe lichide periculoase (antigel, lichid de frână, ulei, etc), care sunt nocive pentru mediu dacă nu sunt manipulate în mod corespunzător.</w:t>
      </w:r>
    </w:p>
    <w:p w:rsidR="003F451C" w:rsidRPr="00F94584" w:rsidRDefault="003F451C" w:rsidP="003F451C">
      <w:pPr>
        <w:autoSpaceDE w:val="0"/>
        <w:autoSpaceDN w:val="0"/>
        <w:adjustRightInd w:val="0"/>
        <w:jc w:val="both"/>
        <w:rPr>
          <w:rFonts w:ascii="Arial" w:hAnsi="Arial" w:cs="Arial"/>
          <w:b/>
        </w:rPr>
      </w:pPr>
    </w:p>
    <w:p w:rsidR="003F451C" w:rsidRPr="00F94584" w:rsidRDefault="003F451C" w:rsidP="003F451C">
      <w:pPr>
        <w:autoSpaceDE w:val="0"/>
        <w:autoSpaceDN w:val="0"/>
        <w:adjustRightInd w:val="0"/>
        <w:ind w:firstLine="735"/>
        <w:jc w:val="both"/>
        <w:rPr>
          <w:rFonts w:ascii="Arial" w:hAnsi="Arial" w:cs="Arial"/>
          <w:b/>
        </w:rPr>
      </w:pPr>
      <w:r w:rsidRPr="00F94584">
        <w:rPr>
          <w:rFonts w:ascii="Arial" w:hAnsi="Arial" w:cs="Arial"/>
          <w:b/>
        </w:rPr>
        <w:t xml:space="preserve">Contextul politicilor relevante de mediu: tinte si obiective </w:t>
      </w: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 xml:space="preserve">HG nr. 2.406/2004 privind gestionarea vehiculelor scoase din uz, cu modificările ulterioare este actul normativ prin care a fost transpusă în legislația națională Directiva 2000/53/CE privind vehiculele scoase din uz. Acest document: </w:t>
      </w:r>
    </w:p>
    <w:p w:rsidR="003F451C" w:rsidRPr="00F94584" w:rsidRDefault="003F451C" w:rsidP="00882FB1">
      <w:pPr>
        <w:pStyle w:val="ListParagraph"/>
        <w:numPr>
          <w:ilvl w:val="0"/>
          <w:numId w:val="72"/>
        </w:numPr>
        <w:autoSpaceDE w:val="0"/>
        <w:autoSpaceDN w:val="0"/>
        <w:adjustRightInd w:val="0"/>
        <w:jc w:val="both"/>
        <w:rPr>
          <w:rFonts w:ascii="Arial" w:hAnsi="Arial" w:cs="Arial"/>
        </w:rPr>
      </w:pPr>
      <w:r w:rsidRPr="00F94584">
        <w:rPr>
          <w:rFonts w:ascii="Arial" w:hAnsi="Arial" w:cs="Arial"/>
        </w:rPr>
        <w:t xml:space="preserve">reglementează măsurile de prevenire a producerii de deşeuri provenite de la vehiculele scoase din uz şi reutilizarea, reciclarea, precum şi alte forme de valorificare a vehiculelor scoase din uz şi a componentelor acestora, în vederea reducerii cantităţii de deşeuri destinate eliminării. </w:t>
      </w:r>
    </w:p>
    <w:p w:rsidR="003F451C" w:rsidRPr="00F94584" w:rsidRDefault="003F451C" w:rsidP="00882FB1">
      <w:pPr>
        <w:pStyle w:val="ListParagraph"/>
        <w:numPr>
          <w:ilvl w:val="0"/>
          <w:numId w:val="72"/>
        </w:numPr>
        <w:autoSpaceDE w:val="0"/>
        <w:autoSpaceDN w:val="0"/>
        <w:adjustRightInd w:val="0"/>
        <w:jc w:val="both"/>
        <w:rPr>
          <w:rFonts w:ascii="Arial" w:hAnsi="Arial" w:cs="Arial"/>
        </w:rPr>
      </w:pPr>
      <w:r w:rsidRPr="00F94584">
        <w:rPr>
          <w:rFonts w:ascii="Arial" w:hAnsi="Arial" w:cs="Arial"/>
        </w:rPr>
        <w:t xml:space="preserve">stabileşte măsuri pentru îmbunătăţirea din punct de vedere al protecţiei mediului a activităţilor agenţilor economici implicaţi în ciclul de viaţă al vehiculelor şi, în special, ale agenţilor economici direct implicaţi în tratarea vehiculelor scoase din uz. </w:t>
      </w:r>
    </w:p>
    <w:p w:rsidR="003F451C" w:rsidRPr="00F94584" w:rsidRDefault="003F451C" w:rsidP="00882FB1">
      <w:pPr>
        <w:pStyle w:val="ListParagraph"/>
        <w:numPr>
          <w:ilvl w:val="0"/>
          <w:numId w:val="72"/>
        </w:numPr>
        <w:autoSpaceDE w:val="0"/>
        <w:autoSpaceDN w:val="0"/>
        <w:adjustRightInd w:val="0"/>
        <w:jc w:val="both"/>
        <w:rPr>
          <w:rFonts w:ascii="Arial" w:hAnsi="Arial" w:cs="Arial"/>
        </w:rPr>
      </w:pPr>
      <w:r w:rsidRPr="00F94584">
        <w:rPr>
          <w:rFonts w:ascii="Arial" w:hAnsi="Arial" w:cs="Arial"/>
        </w:rPr>
        <w:t xml:space="preserve">se aplică cu respectarea legislaţiei naţionale privind standardele de siguranţă, emisiile în atmosferă şi nivelul emisiilor de zgomot, precum şi cele referitoare la protecţia solului şi a apei. </w:t>
      </w:r>
    </w:p>
    <w:p w:rsidR="003F451C" w:rsidRPr="00F94584" w:rsidRDefault="003F451C" w:rsidP="00882FB1">
      <w:pPr>
        <w:pStyle w:val="ListParagraph"/>
        <w:numPr>
          <w:ilvl w:val="0"/>
          <w:numId w:val="72"/>
        </w:numPr>
        <w:autoSpaceDE w:val="0"/>
        <w:autoSpaceDN w:val="0"/>
        <w:adjustRightInd w:val="0"/>
        <w:jc w:val="both"/>
        <w:rPr>
          <w:rFonts w:ascii="Arial" w:hAnsi="Arial" w:cs="Arial"/>
        </w:rPr>
      </w:pPr>
      <w:r w:rsidRPr="00F94584">
        <w:rPr>
          <w:rFonts w:ascii="Arial" w:hAnsi="Arial" w:cs="Arial"/>
        </w:rPr>
        <w:t>se aplică vehiculelor scoase din uz, inclusiv componentelor şi materialelor acestora, fără a se ţine seama de modul în care vehiculul a fost întreţinut sau reparat pe toată durata utilizării acestuia şi indiferent dacă acesta este echipat cu componente furnizate de producător sau cu alte componente a căror montare ca piese de schimb sau ca piese de înlocuire se realizează respectându-se reglementările naţionale în domeniu</w:t>
      </w:r>
    </w:p>
    <w:p w:rsidR="003F451C" w:rsidRPr="00F94584" w:rsidRDefault="003F451C" w:rsidP="003F451C">
      <w:pPr>
        <w:autoSpaceDE w:val="0"/>
        <w:autoSpaceDN w:val="0"/>
        <w:adjustRightInd w:val="0"/>
        <w:ind w:firstLine="735"/>
        <w:jc w:val="both"/>
        <w:rPr>
          <w:rFonts w:ascii="Arial" w:hAnsi="Arial" w:cs="Arial"/>
        </w:rPr>
      </w:pP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 xml:space="preserve">Începând cu data de 1 ianuarie 2007, agenţii economici trebuie să asigure realizarea următoarelor obiective, luând în considerare masa medie la gol: </w:t>
      </w:r>
    </w:p>
    <w:p w:rsidR="003F451C" w:rsidRPr="00F94584" w:rsidRDefault="003F451C" w:rsidP="00882FB1">
      <w:pPr>
        <w:pStyle w:val="ListParagraph"/>
        <w:numPr>
          <w:ilvl w:val="0"/>
          <w:numId w:val="79"/>
        </w:numPr>
        <w:autoSpaceDE w:val="0"/>
        <w:autoSpaceDN w:val="0"/>
        <w:adjustRightInd w:val="0"/>
        <w:ind w:left="426"/>
        <w:jc w:val="both"/>
        <w:rPr>
          <w:rFonts w:ascii="Arial" w:hAnsi="Arial" w:cs="Arial"/>
        </w:rPr>
      </w:pPr>
      <w:r w:rsidRPr="00F94584">
        <w:rPr>
          <w:rFonts w:ascii="Arial" w:hAnsi="Arial" w:cs="Arial"/>
        </w:rPr>
        <w:t xml:space="preserve">reutilizarea şi valorificarea a cel puţin 75% din masa vehiculelor fabricate înainte de 1 ianuarie 1980; </w:t>
      </w:r>
    </w:p>
    <w:p w:rsidR="003F451C" w:rsidRPr="00F94584" w:rsidRDefault="003F451C" w:rsidP="00882FB1">
      <w:pPr>
        <w:pStyle w:val="ListParagraph"/>
        <w:numPr>
          <w:ilvl w:val="0"/>
          <w:numId w:val="79"/>
        </w:numPr>
        <w:autoSpaceDE w:val="0"/>
        <w:autoSpaceDN w:val="0"/>
        <w:adjustRightInd w:val="0"/>
        <w:ind w:left="426"/>
        <w:jc w:val="both"/>
        <w:rPr>
          <w:rFonts w:ascii="Arial" w:hAnsi="Arial" w:cs="Arial"/>
        </w:rPr>
      </w:pPr>
      <w:r w:rsidRPr="00F94584">
        <w:rPr>
          <w:rFonts w:ascii="Arial" w:hAnsi="Arial" w:cs="Arial"/>
        </w:rPr>
        <w:t xml:space="preserve">reutilizarea şi valorificarea a cel puţin 85% din masa vehiculelor fabricate după 1 ianuarie 1980; </w:t>
      </w:r>
    </w:p>
    <w:p w:rsidR="003F451C" w:rsidRPr="00F94584" w:rsidRDefault="003F451C" w:rsidP="00882FB1">
      <w:pPr>
        <w:pStyle w:val="ListParagraph"/>
        <w:numPr>
          <w:ilvl w:val="0"/>
          <w:numId w:val="79"/>
        </w:numPr>
        <w:autoSpaceDE w:val="0"/>
        <w:autoSpaceDN w:val="0"/>
        <w:adjustRightInd w:val="0"/>
        <w:ind w:left="426"/>
        <w:jc w:val="both"/>
        <w:rPr>
          <w:rFonts w:ascii="Arial" w:hAnsi="Arial" w:cs="Arial"/>
        </w:rPr>
      </w:pPr>
      <w:r w:rsidRPr="00F94584">
        <w:rPr>
          <w:rFonts w:ascii="Arial" w:hAnsi="Arial" w:cs="Arial"/>
        </w:rPr>
        <w:t xml:space="preserve">reutilizarea şi reciclarea a 70% din masa vehiculelor fabricate înainte de 1 ianuarie1980; </w:t>
      </w:r>
    </w:p>
    <w:p w:rsidR="003F451C" w:rsidRPr="00F94584" w:rsidRDefault="003F451C" w:rsidP="00882FB1">
      <w:pPr>
        <w:pStyle w:val="ListParagraph"/>
        <w:numPr>
          <w:ilvl w:val="0"/>
          <w:numId w:val="79"/>
        </w:numPr>
        <w:autoSpaceDE w:val="0"/>
        <w:autoSpaceDN w:val="0"/>
        <w:adjustRightInd w:val="0"/>
        <w:ind w:left="426"/>
        <w:jc w:val="both"/>
        <w:rPr>
          <w:rFonts w:ascii="Arial" w:hAnsi="Arial" w:cs="Arial"/>
        </w:rPr>
      </w:pPr>
      <w:r w:rsidRPr="00F94584">
        <w:rPr>
          <w:rFonts w:ascii="Arial" w:hAnsi="Arial" w:cs="Arial"/>
        </w:rPr>
        <w:lastRenderedPageBreak/>
        <w:t xml:space="preserve">reutilizarea şi reciclarea a 80% din masa vehiculelor fabricate începând cu data de 1 ianuarie 1980. </w:t>
      </w: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Începând cu data de 1 ianuarie 2015, agenţii economici trebuie să asigure realizarea următoarelor obiective, luând în considerare masa medie la gol:</w:t>
      </w:r>
    </w:p>
    <w:p w:rsidR="003F451C" w:rsidRPr="00F94584" w:rsidRDefault="003F451C" w:rsidP="00882FB1">
      <w:pPr>
        <w:pStyle w:val="ListParagraph"/>
        <w:numPr>
          <w:ilvl w:val="0"/>
          <w:numId w:val="79"/>
        </w:numPr>
        <w:autoSpaceDE w:val="0"/>
        <w:autoSpaceDN w:val="0"/>
        <w:adjustRightInd w:val="0"/>
        <w:ind w:left="426"/>
        <w:jc w:val="both"/>
        <w:rPr>
          <w:rFonts w:ascii="Arial" w:hAnsi="Arial" w:cs="Arial"/>
        </w:rPr>
      </w:pPr>
      <w:r w:rsidRPr="00F94584">
        <w:rPr>
          <w:rFonts w:ascii="Arial" w:hAnsi="Arial" w:cs="Arial"/>
        </w:rPr>
        <w:t xml:space="preserve">reutilizarea şi valorificarea a cel puţin 95% din masa vehiculelor, pentru toate vehiculele scoase din uz; </w:t>
      </w:r>
    </w:p>
    <w:p w:rsidR="003F451C" w:rsidRPr="00F94584" w:rsidRDefault="003F451C" w:rsidP="00882FB1">
      <w:pPr>
        <w:pStyle w:val="ListParagraph"/>
        <w:numPr>
          <w:ilvl w:val="0"/>
          <w:numId w:val="79"/>
        </w:numPr>
        <w:autoSpaceDE w:val="0"/>
        <w:autoSpaceDN w:val="0"/>
        <w:adjustRightInd w:val="0"/>
        <w:ind w:left="426"/>
        <w:jc w:val="both"/>
        <w:rPr>
          <w:rFonts w:ascii="Arial" w:hAnsi="Arial" w:cs="Arial"/>
        </w:rPr>
      </w:pPr>
      <w:r w:rsidRPr="00F94584">
        <w:rPr>
          <w:rFonts w:ascii="Arial" w:hAnsi="Arial" w:cs="Arial"/>
        </w:rPr>
        <w:t xml:space="preserve">reutilizarea şi reciclarea a cel puţin 85% din masa vehiculelor, pentru toate vehiculele scoase din uz. </w:t>
      </w: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Este de aşteptat ca numărul de vehicule scoase din uz să crească în mod semnificativ în România, acest lucru fiind justificat de tendinţa de creştere a numărului de vehicule scoase din uz din perioada 2005-2010, în care se observă iniţial o creştere ponderată, dar începând cu anul 2010-2011 creşterea a este semnificativă.</w:t>
      </w: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Există o reţea de companii comerciale, răspândite relativ uniform la nivel naţional, care desfăşoară operaţiuni de colectare, dezmembrare şi valorificare a VSU. La primirea vehiculului uzat, operatorul economic eliberează certificatul de distrugere pe baza căruia se realizează radierea vehiculului, precum şi o notă în care se menţionează părţile componente lipsă.</w:t>
      </w: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În judeţul Brăila sunt autorizaţi: 3 operatori economici:</w:t>
      </w:r>
    </w:p>
    <w:p w:rsidR="003F451C" w:rsidRPr="00F94584" w:rsidRDefault="003F451C" w:rsidP="00882FB1">
      <w:pPr>
        <w:pStyle w:val="ListParagraph"/>
        <w:numPr>
          <w:ilvl w:val="0"/>
          <w:numId w:val="80"/>
        </w:numPr>
        <w:autoSpaceDE w:val="0"/>
        <w:autoSpaceDN w:val="0"/>
        <w:adjustRightInd w:val="0"/>
        <w:spacing w:after="200" w:line="276" w:lineRule="auto"/>
        <w:jc w:val="both"/>
        <w:rPr>
          <w:rFonts w:ascii="Arial" w:hAnsi="Arial" w:cs="Arial"/>
        </w:rPr>
      </w:pPr>
      <w:r w:rsidRPr="00F94584">
        <w:rPr>
          <w:rFonts w:ascii="Arial" w:hAnsi="Arial" w:cs="Arial"/>
        </w:rPr>
        <w:t>pentru colectarea VSU : SC Miori</w:t>
      </w:r>
      <w:r>
        <w:rPr>
          <w:rFonts w:ascii="Arial" w:hAnsi="Arial" w:cs="Arial"/>
        </w:rPr>
        <w:t>ț</w:t>
      </w:r>
      <w:r w:rsidRPr="00F94584">
        <w:rPr>
          <w:rFonts w:ascii="Arial" w:hAnsi="Arial" w:cs="Arial"/>
        </w:rPr>
        <w:t>a Com SRL si SC APAN Auto SRL</w:t>
      </w:r>
    </w:p>
    <w:p w:rsidR="003F451C" w:rsidRPr="00F94584" w:rsidRDefault="003F451C" w:rsidP="00882FB1">
      <w:pPr>
        <w:pStyle w:val="ListParagraph"/>
        <w:numPr>
          <w:ilvl w:val="0"/>
          <w:numId w:val="80"/>
        </w:numPr>
        <w:autoSpaceDE w:val="0"/>
        <w:autoSpaceDN w:val="0"/>
        <w:adjustRightInd w:val="0"/>
        <w:spacing w:after="200" w:line="276" w:lineRule="auto"/>
        <w:jc w:val="both"/>
        <w:rPr>
          <w:rFonts w:ascii="Arial" w:hAnsi="Arial" w:cs="Arial"/>
        </w:rPr>
      </w:pPr>
      <w:r w:rsidRPr="00F94584">
        <w:rPr>
          <w:rFonts w:ascii="Arial" w:hAnsi="Arial" w:cs="Arial"/>
        </w:rPr>
        <w:t>pentru dezmembrarea VSU: SC Miori</w:t>
      </w:r>
      <w:r>
        <w:rPr>
          <w:rFonts w:ascii="Arial" w:hAnsi="Arial" w:cs="Arial"/>
        </w:rPr>
        <w:t>ț</w:t>
      </w:r>
      <w:r w:rsidRPr="00F94584">
        <w:rPr>
          <w:rFonts w:ascii="Arial" w:hAnsi="Arial" w:cs="Arial"/>
        </w:rPr>
        <w:t>a Com SRL și SC Corsani  SRL.</w:t>
      </w:r>
    </w:p>
    <w:p w:rsidR="003F451C" w:rsidRPr="00F94584" w:rsidRDefault="003F451C" w:rsidP="003F451C">
      <w:pPr>
        <w:autoSpaceDE w:val="0"/>
        <w:autoSpaceDN w:val="0"/>
        <w:adjustRightInd w:val="0"/>
        <w:ind w:firstLine="735"/>
        <w:jc w:val="both"/>
        <w:rPr>
          <w:rFonts w:ascii="Arial" w:hAnsi="Arial" w:cs="Arial"/>
        </w:rPr>
      </w:pPr>
      <w:r w:rsidRPr="00F94584">
        <w:rPr>
          <w:rFonts w:ascii="Arial" w:hAnsi="Arial" w:cs="Arial"/>
        </w:rPr>
        <w:t xml:space="preserve">Numărul total de vehicule scoase din uz, colectate şi tratate în anul 2014, a fost de 290 unităţi (tabel nr. VII.1.3.3.-1) . </w:t>
      </w:r>
    </w:p>
    <w:p w:rsidR="003F451C" w:rsidRPr="00F94584" w:rsidRDefault="003F451C" w:rsidP="003F451C">
      <w:pPr>
        <w:jc w:val="both"/>
        <w:rPr>
          <w:rFonts w:ascii="Arial" w:hAnsi="Arial" w:cs="Arial"/>
        </w:rPr>
      </w:pPr>
    </w:p>
    <w:p w:rsidR="003F451C" w:rsidRPr="00F94584" w:rsidRDefault="003F451C" w:rsidP="003F451C">
      <w:pPr>
        <w:jc w:val="both"/>
        <w:rPr>
          <w:rFonts w:ascii="Arial" w:hAnsi="Arial" w:cs="Arial"/>
        </w:rPr>
      </w:pPr>
      <w:r w:rsidRPr="00C71694">
        <w:rPr>
          <w:rFonts w:ascii="Arial" w:hAnsi="Arial" w:cs="Arial"/>
          <w:b/>
        </w:rPr>
        <w:t>Tabel nr. VII.1.3.3.-1</w:t>
      </w:r>
      <w:r w:rsidRPr="00F94584">
        <w:rPr>
          <w:rFonts w:ascii="Arial" w:hAnsi="Arial" w:cs="Arial"/>
        </w:rPr>
        <w:t xml:space="preserve"> VSU colectate si tratate in perioada 2005-2014 in judetul Br</w:t>
      </w:r>
      <w:r>
        <w:rPr>
          <w:rFonts w:ascii="Arial" w:hAnsi="Arial" w:cs="Arial"/>
        </w:rPr>
        <w:t>ă</w:t>
      </w:r>
      <w:r w:rsidRPr="00F94584">
        <w:rPr>
          <w:rFonts w:ascii="Arial" w:hAnsi="Arial" w:cs="Arial"/>
        </w:rPr>
        <w:t>ila</w:t>
      </w:r>
    </w:p>
    <w:tbl>
      <w:tblPr>
        <w:tblW w:w="9809" w:type="dxa"/>
        <w:tblInd w:w="103" w:type="dxa"/>
        <w:tblLook w:val="04A0"/>
      </w:tblPr>
      <w:tblGrid>
        <w:gridCol w:w="1706"/>
        <w:gridCol w:w="750"/>
        <w:gridCol w:w="706"/>
        <w:gridCol w:w="832"/>
        <w:gridCol w:w="850"/>
        <w:gridCol w:w="851"/>
        <w:gridCol w:w="850"/>
        <w:gridCol w:w="851"/>
        <w:gridCol w:w="750"/>
        <w:gridCol w:w="850"/>
        <w:gridCol w:w="851"/>
      </w:tblGrid>
      <w:tr w:rsidR="003F451C" w:rsidRPr="006C7116" w:rsidTr="004E468C">
        <w:trPr>
          <w:trHeight w:val="300"/>
        </w:trPr>
        <w:tc>
          <w:tcPr>
            <w:tcW w:w="1706" w:type="dxa"/>
            <w:tcBorders>
              <w:top w:val="single" w:sz="4" w:space="0" w:color="auto"/>
              <w:left w:val="single" w:sz="4" w:space="0" w:color="auto"/>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 Anul</w:t>
            </w:r>
          </w:p>
        </w:tc>
        <w:tc>
          <w:tcPr>
            <w:tcW w:w="7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2005</w:t>
            </w:r>
          </w:p>
        </w:tc>
        <w:tc>
          <w:tcPr>
            <w:tcW w:w="668"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2006</w:t>
            </w:r>
          </w:p>
        </w:tc>
        <w:tc>
          <w:tcPr>
            <w:tcW w:w="832"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2007</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2008</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2009</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2010</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2011</w:t>
            </w:r>
          </w:p>
        </w:tc>
        <w:tc>
          <w:tcPr>
            <w:tcW w:w="7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2012</w:t>
            </w:r>
          </w:p>
        </w:tc>
        <w:tc>
          <w:tcPr>
            <w:tcW w:w="850"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2013</w:t>
            </w:r>
          </w:p>
        </w:tc>
        <w:tc>
          <w:tcPr>
            <w:tcW w:w="851" w:type="dxa"/>
            <w:tcBorders>
              <w:top w:val="single" w:sz="4" w:space="0" w:color="auto"/>
              <w:left w:val="nil"/>
              <w:bottom w:val="single" w:sz="4" w:space="0" w:color="auto"/>
              <w:right w:val="single" w:sz="4" w:space="0" w:color="auto"/>
            </w:tcBorders>
            <w:shd w:val="clear" w:color="auto" w:fill="BFBFBF" w:themeFill="background1" w:themeFillShade="BF"/>
            <w:noWrap/>
            <w:vAlign w:val="bottom"/>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2014</w:t>
            </w:r>
          </w:p>
        </w:tc>
      </w:tr>
      <w:tr w:rsidR="003F451C" w:rsidRPr="006C7116" w:rsidTr="004E468C">
        <w:trPr>
          <w:trHeight w:val="600"/>
        </w:trPr>
        <w:tc>
          <w:tcPr>
            <w:tcW w:w="1706" w:type="dxa"/>
            <w:tcBorders>
              <w:top w:val="nil"/>
              <w:left w:val="single" w:sz="4" w:space="0" w:color="auto"/>
              <w:bottom w:val="single" w:sz="4" w:space="0" w:color="auto"/>
              <w:right w:val="single" w:sz="4" w:space="0" w:color="auto"/>
            </w:tcBorders>
            <w:shd w:val="clear" w:color="auto" w:fill="auto"/>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 xml:space="preserve">VSU colectate si tratate </w:t>
            </w:r>
          </w:p>
        </w:tc>
        <w:tc>
          <w:tcPr>
            <w:tcW w:w="750"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134</w:t>
            </w:r>
          </w:p>
        </w:tc>
        <w:tc>
          <w:tcPr>
            <w:tcW w:w="668"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238</w:t>
            </w:r>
          </w:p>
        </w:tc>
        <w:tc>
          <w:tcPr>
            <w:tcW w:w="832"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391</w:t>
            </w:r>
          </w:p>
        </w:tc>
        <w:tc>
          <w:tcPr>
            <w:tcW w:w="850"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508</w:t>
            </w:r>
          </w:p>
        </w:tc>
        <w:tc>
          <w:tcPr>
            <w:tcW w:w="851"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485</w:t>
            </w:r>
          </w:p>
        </w:tc>
        <w:tc>
          <w:tcPr>
            <w:tcW w:w="850"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2376</w:t>
            </w:r>
          </w:p>
        </w:tc>
        <w:tc>
          <w:tcPr>
            <w:tcW w:w="851"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1838</w:t>
            </w:r>
          </w:p>
        </w:tc>
        <w:tc>
          <w:tcPr>
            <w:tcW w:w="750"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607</w:t>
            </w:r>
          </w:p>
        </w:tc>
        <w:tc>
          <w:tcPr>
            <w:tcW w:w="850"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98</w:t>
            </w:r>
          </w:p>
        </w:tc>
        <w:tc>
          <w:tcPr>
            <w:tcW w:w="851" w:type="dxa"/>
            <w:tcBorders>
              <w:top w:val="nil"/>
              <w:left w:val="nil"/>
              <w:bottom w:val="single" w:sz="4" w:space="0" w:color="auto"/>
              <w:right w:val="single" w:sz="4" w:space="0" w:color="auto"/>
            </w:tcBorders>
            <w:shd w:val="clear" w:color="auto" w:fill="auto"/>
            <w:noWrap/>
            <w:vAlign w:val="center"/>
            <w:hideMark/>
          </w:tcPr>
          <w:p w:rsidR="003F451C" w:rsidRPr="006C7116" w:rsidRDefault="003F451C" w:rsidP="004E468C">
            <w:pPr>
              <w:jc w:val="center"/>
              <w:rPr>
                <w:rFonts w:ascii="Arial" w:eastAsia="Times New Roman" w:hAnsi="Arial" w:cs="Arial"/>
                <w:sz w:val="22"/>
                <w:szCs w:val="22"/>
                <w:lang w:eastAsia="ro-RO"/>
              </w:rPr>
            </w:pPr>
            <w:r w:rsidRPr="006C7116">
              <w:rPr>
                <w:rFonts w:ascii="Arial" w:eastAsia="Times New Roman" w:hAnsi="Arial" w:cs="Arial"/>
                <w:sz w:val="22"/>
                <w:szCs w:val="22"/>
                <w:lang w:eastAsia="ro-RO"/>
              </w:rPr>
              <w:t>290</w:t>
            </w:r>
          </w:p>
        </w:tc>
      </w:tr>
    </w:tbl>
    <w:p w:rsidR="003F451C" w:rsidRPr="00F94584" w:rsidRDefault="003F451C" w:rsidP="003F451C">
      <w:pPr>
        <w:jc w:val="both"/>
        <w:rPr>
          <w:rFonts w:ascii="Arial" w:hAnsi="Arial" w:cs="Arial"/>
        </w:rPr>
      </w:pPr>
    </w:p>
    <w:p w:rsidR="003F451C" w:rsidRPr="00F94584" w:rsidRDefault="003F451C" w:rsidP="003F451C">
      <w:pPr>
        <w:jc w:val="both"/>
        <w:rPr>
          <w:rFonts w:ascii="Arial" w:hAnsi="Arial" w:cs="Arial"/>
        </w:rPr>
      </w:pPr>
    </w:p>
    <w:p w:rsidR="003F451C" w:rsidRPr="00F94584" w:rsidRDefault="003F451C" w:rsidP="003F451C">
      <w:pPr>
        <w:jc w:val="center"/>
        <w:rPr>
          <w:rFonts w:ascii="Arial" w:hAnsi="Arial" w:cs="Arial"/>
        </w:rPr>
      </w:pPr>
      <w:r w:rsidRPr="00F94584">
        <w:rPr>
          <w:rFonts w:ascii="Arial" w:hAnsi="Arial" w:cs="Arial"/>
        </w:rPr>
        <w:t>Figura VII.1.3.3.-1 VSU colectate si tratate in perioada 2005-2014 in judetul Braila</w:t>
      </w:r>
    </w:p>
    <w:p w:rsidR="003F451C" w:rsidRPr="00F94584" w:rsidRDefault="003F451C" w:rsidP="003F451C">
      <w:pPr>
        <w:jc w:val="center"/>
        <w:rPr>
          <w:rFonts w:ascii="Arial" w:hAnsi="Arial" w:cs="Arial"/>
        </w:rPr>
      </w:pPr>
      <w:r w:rsidRPr="00F94584">
        <w:rPr>
          <w:rFonts w:ascii="Arial" w:hAnsi="Arial" w:cs="Arial"/>
          <w:noProof/>
          <w:lang w:val="ro-RO" w:eastAsia="ro-RO"/>
        </w:rPr>
        <w:drawing>
          <wp:inline distT="0" distB="0" distL="0" distR="0">
            <wp:extent cx="5061976" cy="3429000"/>
            <wp:effectExtent l="19050" t="0" r="24374" b="0"/>
            <wp:docPr id="117"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12"/>
              </a:graphicData>
            </a:graphic>
          </wp:inline>
        </w:drawing>
      </w:r>
    </w:p>
    <w:p w:rsidR="003F451C" w:rsidRPr="00F94584" w:rsidRDefault="003F451C" w:rsidP="003F451C">
      <w:pPr>
        <w:autoSpaceDE w:val="0"/>
        <w:autoSpaceDN w:val="0"/>
        <w:adjustRightInd w:val="0"/>
        <w:ind w:firstLine="737"/>
        <w:jc w:val="both"/>
        <w:rPr>
          <w:rFonts w:ascii="Arial" w:hAnsi="Arial" w:cs="Arial"/>
        </w:rPr>
      </w:pPr>
    </w:p>
    <w:p w:rsidR="003F451C" w:rsidRPr="00F94584" w:rsidRDefault="003F451C" w:rsidP="003F451C">
      <w:pPr>
        <w:autoSpaceDE w:val="0"/>
        <w:autoSpaceDN w:val="0"/>
        <w:adjustRightInd w:val="0"/>
        <w:ind w:firstLine="737"/>
        <w:jc w:val="both"/>
        <w:rPr>
          <w:rFonts w:ascii="Arial" w:hAnsi="Arial" w:cs="Arial"/>
        </w:rPr>
      </w:pP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rPr>
        <w:t>Programul de reînnoire a parcului auto, desfăşurat în România (programul Rabla) este finanţat prin Administraţia Fondului pentru Mediu. Principalul deşeu valorificat rezultat din dezmembrarea vehiculelor colectate, a fost cel metalic. Celelalte părţi componente au fost fie valorificate către societăţi autorizate (de ex. acumulatori uzaţi, sticlă, ulei uzat, anvelope, componente mari de plastic), fie eliminate prin co-incinerare.</w:t>
      </w:r>
    </w:p>
    <w:p w:rsidR="003F451C" w:rsidRPr="00F94584" w:rsidRDefault="003F451C" w:rsidP="003F451C">
      <w:pPr>
        <w:autoSpaceDE w:val="0"/>
        <w:autoSpaceDN w:val="0"/>
        <w:adjustRightInd w:val="0"/>
        <w:jc w:val="both"/>
        <w:rPr>
          <w:rFonts w:ascii="Arial" w:hAnsi="Arial" w:cs="Arial"/>
        </w:rPr>
      </w:pPr>
    </w:p>
    <w:p w:rsidR="003F451C" w:rsidRPr="00F94584" w:rsidRDefault="003F451C" w:rsidP="003F451C">
      <w:pPr>
        <w:jc w:val="both"/>
        <w:rPr>
          <w:rFonts w:ascii="Arial" w:hAnsi="Arial" w:cs="Arial"/>
        </w:rPr>
      </w:pPr>
      <w:r w:rsidRPr="00F94584">
        <w:rPr>
          <w:rFonts w:ascii="Arial" w:hAnsi="Arial" w:cs="Arial"/>
          <w:b/>
        </w:rPr>
        <w:t xml:space="preserve">Tabel nr. </w:t>
      </w:r>
      <w:r w:rsidRPr="00F94584">
        <w:rPr>
          <w:rFonts w:ascii="Arial" w:hAnsi="Arial" w:cs="Arial"/>
        </w:rPr>
        <w:t>VII.1.3.3.-2 Cantităţi VSU colectate prin Programul de reînnoire a parcului auto</w:t>
      </w:r>
      <w:r w:rsidRPr="00F94584">
        <w:rPr>
          <w:rFonts w:ascii="Arial" w:hAnsi="Arial" w:cs="Arial"/>
          <w:i/>
        </w:rPr>
        <w:t>”Rabla”</w:t>
      </w:r>
    </w:p>
    <w:tbl>
      <w:tblPr>
        <w:tblW w:w="9256" w:type="dxa"/>
        <w:jc w:val="center"/>
        <w:tblInd w:w="-60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1684"/>
        <w:gridCol w:w="764"/>
        <w:gridCol w:w="845"/>
        <w:gridCol w:w="844"/>
        <w:gridCol w:w="750"/>
        <w:gridCol w:w="813"/>
        <w:gridCol w:w="846"/>
        <w:gridCol w:w="847"/>
        <w:gridCol w:w="1013"/>
        <w:gridCol w:w="850"/>
      </w:tblGrid>
      <w:tr w:rsidR="003F451C" w:rsidRPr="00F94584" w:rsidTr="004E468C">
        <w:trPr>
          <w:jc w:val="center"/>
        </w:trPr>
        <w:tc>
          <w:tcPr>
            <w:tcW w:w="1684" w:type="dxa"/>
            <w:vAlign w:val="center"/>
          </w:tcPr>
          <w:p w:rsidR="003F451C" w:rsidRPr="00F94584" w:rsidRDefault="003F451C" w:rsidP="004E468C">
            <w:pPr>
              <w:jc w:val="center"/>
              <w:rPr>
                <w:rFonts w:ascii="Arial" w:hAnsi="Arial" w:cs="Arial"/>
              </w:rPr>
            </w:pPr>
          </w:p>
        </w:tc>
        <w:tc>
          <w:tcPr>
            <w:tcW w:w="764"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2005</w:t>
            </w:r>
          </w:p>
        </w:tc>
        <w:tc>
          <w:tcPr>
            <w:tcW w:w="845"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2006</w:t>
            </w:r>
          </w:p>
        </w:tc>
        <w:tc>
          <w:tcPr>
            <w:tcW w:w="844"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2007</w:t>
            </w:r>
          </w:p>
        </w:tc>
        <w:tc>
          <w:tcPr>
            <w:tcW w:w="750"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2008</w:t>
            </w:r>
          </w:p>
        </w:tc>
        <w:tc>
          <w:tcPr>
            <w:tcW w:w="813"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2009</w:t>
            </w:r>
          </w:p>
        </w:tc>
        <w:tc>
          <w:tcPr>
            <w:tcW w:w="846"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2010</w:t>
            </w:r>
          </w:p>
        </w:tc>
        <w:tc>
          <w:tcPr>
            <w:tcW w:w="847" w:type="dxa"/>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2011</w:t>
            </w:r>
          </w:p>
        </w:tc>
        <w:tc>
          <w:tcPr>
            <w:tcW w:w="1013" w:type="dxa"/>
            <w:tcBorders>
              <w:right w:val="single" w:sz="4" w:space="0" w:color="auto"/>
            </w:tcBorders>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2012</w:t>
            </w:r>
          </w:p>
        </w:tc>
        <w:tc>
          <w:tcPr>
            <w:tcW w:w="850" w:type="dxa"/>
            <w:tcBorders>
              <w:left w:val="single" w:sz="4" w:space="0" w:color="auto"/>
            </w:tcBorders>
            <w:shd w:val="clear" w:color="auto" w:fill="E0E0E0"/>
            <w:vAlign w:val="center"/>
          </w:tcPr>
          <w:p w:rsidR="003F451C" w:rsidRPr="00F94584" w:rsidRDefault="003F451C" w:rsidP="004E468C">
            <w:pPr>
              <w:jc w:val="center"/>
              <w:rPr>
                <w:rFonts w:ascii="Arial" w:hAnsi="Arial" w:cs="Arial"/>
              </w:rPr>
            </w:pPr>
            <w:r w:rsidRPr="00F94584">
              <w:rPr>
                <w:rFonts w:ascii="Arial" w:hAnsi="Arial" w:cs="Arial"/>
              </w:rPr>
              <w:t>2013</w:t>
            </w:r>
          </w:p>
        </w:tc>
      </w:tr>
      <w:tr w:rsidR="003F451C" w:rsidRPr="00F94584" w:rsidTr="004E468C">
        <w:trPr>
          <w:jc w:val="center"/>
        </w:trPr>
        <w:tc>
          <w:tcPr>
            <w:tcW w:w="1684" w:type="dxa"/>
            <w:vAlign w:val="center"/>
          </w:tcPr>
          <w:p w:rsidR="003F451C" w:rsidRPr="00F94584" w:rsidRDefault="003F451C" w:rsidP="004E468C">
            <w:pPr>
              <w:jc w:val="center"/>
              <w:rPr>
                <w:rFonts w:ascii="Arial" w:hAnsi="Arial" w:cs="Arial"/>
                <w:lang w:val="pt-BR"/>
              </w:rPr>
            </w:pPr>
            <w:r w:rsidRPr="00F94584">
              <w:rPr>
                <w:rFonts w:ascii="Arial" w:hAnsi="Arial" w:cs="Arial"/>
                <w:lang w:val="pt-BR"/>
              </w:rPr>
              <w:t>Vehicule scoase din uz colectate (numar/an)</w:t>
            </w:r>
          </w:p>
        </w:tc>
        <w:tc>
          <w:tcPr>
            <w:tcW w:w="764" w:type="dxa"/>
            <w:vAlign w:val="center"/>
          </w:tcPr>
          <w:p w:rsidR="003F451C" w:rsidRPr="00F94584" w:rsidRDefault="003F451C" w:rsidP="004E468C">
            <w:pPr>
              <w:jc w:val="center"/>
              <w:rPr>
                <w:rFonts w:ascii="Arial" w:hAnsi="Arial" w:cs="Arial"/>
                <w:lang w:val="pt-BR"/>
              </w:rPr>
            </w:pPr>
            <w:r w:rsidRPr="00F94584">
              <w:rPr>
                <w:rFonts w:ascii="Arial" w:hAnsi="Arial" w:cs="Arial"/>
                <w:lang w:val="pt-BR"/>
              </w:rPr>
              <w:t>134</w:t>
            </w:r>
          </w:p>
        </w:tc>
        <w:tc>
          <w:tcPr>
            <w:tcW w:w="845" w:type="dxa"/>
            <w:vAlign w:val="center"/>
          </w:tcPr>
          <w:p w:rsidR="003F451C" w:rsidRPr="00F94584" w:rsidRDefault="003F451C" w:rsidP="004E468C">
            <w:pPr>
              <w:jc w:val="center"/>
              <w:rPr>
                <w:rFonts w:ascii="Arial" w:hAnsi="Arial" w:cs="Arial"/>
              </w:rPr>
            </w:pPr>
            <w:r w:rsidRPr="00F94584">
              <w:rPr>
                <w:rFonts w:ascii="Arial" w:hAnsi="Arial" w:cs="Arial"/>
              </w:rPr>
              <w:t>238</w:t>
            </w:r>
          </w:p>
        </w:tc>
        <w:tc>
          <w:tcPr>
            <w:tcW w:w="844" w:type="dxa"/>
            <w:vAlign w:val="center"/>
          </w:tcPr>
          <w:p w:rsidR="003F451C" w:rsidRPr="00F94584" w:rsidRDefault="003F451C" w:rsidP="004E468C">
            <w:pPr>
              <w:jc w:val="center"/>
              <w:rPr>
                <w:rFonts w:ascii="Arial" w:hAnsi="Arial" w:cs="Arial"/>
              </w:rPr>
            </w:pPr>
            <w:r w:rsidRPr="00F94584">
              <w:rPr>
                <w:rFonts w:ascii="Arial" w:hAnsi="Arial" w:cs="Arial"/>
              </w:rPr>
              <w:t>391</w:t>
            </w:r>
          </w:p>
        </w:tc>
        <w:tc>
          <w:tcPr>
            <w:tcW w:w="750" w:type="dxa"/>
            <w:vAlign w:val="center"/>
          </w:tcPr>
          <w:p w:rsidR="003F451C" w:rsidRPr="00F94584" w:rsidRDefault="003F451C" w:rsidP="004E468C">
            <w:pPr>
              <w:jc w:val="center"/>
              <w:rPr>
                <w:rFonts w:ascii="Arial" w:hAnsi="Arial" w:cs="Arial"/>
              </w:rPr>
            </w:pPr>
            <w:r w:rsidRPr="00F94584">
              <w:rPr>
                <w:rFonts w:ascii="Arial" w:hAnsi="Arial" w:cs="Arial"/>
              </w:rPr>
              <w:t>508</w:t>
            </w:r>
          </w:p>
        </w:tc>
        <w:tc>
          <w:tcPr>
            <w:tcW w:w="813" w:type="dxa"/>
            <w:vAlign w:val="center"/>
          </w:tcPr>
          <w:p w:rsidR="003F451C" w:rsidRPr="00F94584" w:rsidRDefault="003F451C" w:rsidP="004E468C">
            <w:pPr>
              <w:jc w:val="center"/>
              <w:rPr>
                <w:rFonts w:ascii="Arial" w:hAnsi="Arial" w:cs="Arial"/>
              </w:rPr>
            </w:pPr>
            <w:r w:rsidRPr="00F94584">
              <w:rPr>
                <w:rFonts w:ascii="Arial" w:hAnsi="Arial" w:cs="Arial"/>
              </w:rPr>
              <w:t>485</w:t>
            </w:r>
          </w:p>
        </w:tc>
        <w:tc>
          <w:tcPr>
            <w:tcW w:w="846" w:type="dxa"/>
            <w:vAlign w:val="center"/>
          </w:tcPr>
          <w:p w:rsidR="003F451C" w:rsidRPr="00F94584" w:rsidRDefault="003F451C" w:rsidP="004E468C">
            <w:pPr>
              <w:jc w:val="center"/>
              <w:rPr>
                <w:rFonts w:ascii="Arial" w:hAnsi="Arial" w:cs="Arial"/>
              </w:rPr>
            </w:pPr>
          </w:p>
          <w:p w:rsidR="003F451C" w:rsidRPr="00F94584" w:rsidRDefault="003F451C" w:rsidP="004E468C">
            <w:pPr>
              <w:jc w:val="center"/>
              <w:rPr>
                <w:rFonts w:ascii="Arial" w:hAnsi="Arial" w:cs="Arial"/>
              </w:rPr>
            </w:pPr>
            <w:r w:rsidRPr="00F94584">
              <w:rPr>
                <w:rFonts w:ascii="Arial" w:hAnsi="Arial" w:cs="Arial"/>
              </w:rPr>
              <w:t>2376</w:t>
            </w:r>
          </w:p>
          <w:p w:rsidR="003F451C" w:rsidRPr="00F94584" w:rsidRDefault="003F451C" w:rsidP="004E468C">
            <w:pPr>
              <w:jc w:val="center"/>
              <w:rPr>
                <w:rFonts w:ascii="Arial" w:hAnsi="Arial" w:cs="Arial"/>
              </w:rPr>
            </w:pPr>
          </w:p>
        </w:tc>
        <w:tc>
          <w:tcPr>
            <w:tcW w:w="847" w:type="dxa"/>
            <w:vAlign w:val="center"/>
          </w:tcPr>
          <w:p w:rsidR="003F451C" w:rsidRPr="00F94584" w:rsidRDefault="003F451C" w:rsidP="004E468C">
            <w:pPr>
              <w:jc w:val="center"/>
              <w:rPr>
                <w:rFonts w:ascii="Arial" w:hAnsi="Arial" w:cs="Arial"/>
              </w:rPr>
            </w:pPr>
            <w:r w:rsidRPr="00F94584">
              <w:rPr>
                <w:rFonts w:ascii="Arial" w:hAnsi="Arial" w:cs="Arial"/>
              </w:rPr>
              <w:t>1838</w:t>
            </w:r>
          </w:p>
        </w:tc>
        <w:tc>
          <w:tcPr>
            <w:tcW w:w="1013" w:type="dxa"/>
            <w:tcBorders>
              <w:right w:val="single" w:sz="4" w:space="0" w:color="auto"/>
            </w:tcBorders>
            <w:vAlign w:val="center"/>
          </w:tcPr>
          <w:p w:rsidR="003F451C" w:rsidRPr="00F94584" w:rsidRDefault="003F451C" w:rsidP="004E468C">
            <w:pPr>
              <w:jc w:val="center"/>
              <w:rPr>
                <w:rFonts w:ascii="Arial" w:hAnsi="Arial" w:cs="Arial"/>
              </w:rPr>
            </w:pPr>
          </w:p>
          <w:p w:rsidR="003F451C" w:rsidRPr="00F94584" w:rsidRDefault="003F451C" w:rsidP="004E468C">
            <w:pPr>
              <w:ind w:left="-213" w:hanging="58"/>
              <w:jc w:val="center"/>
              <w:rPr>
                <w:rFonts w:ascii="Arial" w:hAnsi="Arial" w:cs="Arial"/>
              </w:rPr>
            </w:pPr>
            <w:r w:rsidRPr="00F94584">
              <w:rPr>
                <w:rFonts w:ascii="Arial" w:hAnsi="Arial" w:cs="Arial"/>
              </w:rPr>
              <w:t>607</w:t>
            </w:r>
          </w:p>
          <w:p w:rsidR="003F451C" w:rsidRPr="00F94584" w:rsidRDefault="003F451C" w:rsidP="004E468C">
            <w:pPr>
              <w:jc w:val="center"/>
              <w:rPr>
                <w:rFonts w:ascii="Arial" w:hAnsi="Arial" w:cs="Arial"/>
              </w:rPr>
            </w:pPr>
          </w:p>
        </w:tc>
        <w:tc>
          <w:tcPr>
            <w:tcW w:w="850" w:type="dxa"/>
            <w:tcBorders>
              <w:left w:val="single" w:sz="4" w:space="0" w:color="auto"/>
            </w:tcBorders>
            <w:vAlign w:val="center"/>
          </w:tcPr>
          <w:p w:rsidR="003F451C" w:rsidRPr="00F94584" w:rsidRDefault="003F451C" w:rsidP="004E468C">
            <w:pPr>
              <w:jc w:val="center"/>
              <w:rPr>
                <w:rFonts w:ascii="Arial" w:hAnsi="Arial" w:cs="Arial"/>
              </w:rPr>
            </w:pPr>
          </w:p>
          <w:p w:rsidR="003F451C" w:rsidRPr="00F94584" w:rsidRDefault="003F451C" w:rsidP="004E468C">
            <w:pPr>
              <w:jc w:val="center"/>
              <w:rPr>
                <w:rFonts w:ascii="Arial" w:hAnsi="Arial" w:cs="Arial"/>
              </w:rPr>
            </w:pPr>
            <w:r w:rsidRPr="00F94584">
              <w:rPr>
                <w:rFonts w:ascii="Arial" w:hAnsi="Arial" w:cs="Arial"/>
              </w:rPr>
              <w:t>98</w:t>
            </w:r>
          </w:p>
          <w:p w:rsidR="003F451C" w:rsidRPr="00F94584" w:rsidRDefault="003F451C" w:rsidP="004E468C">
            <w:pPr>
              <w:jc w:val="center"/>
              <w:rPr>
                <w:rFonts w:ascii="Arial" w:hAnsi="Arial" w:cs="Arial"/>
              </w:rPr>
            </w:pPr>
          </w:p>
        </w:tc>
      </w:tr>
    </w:tbl>
    <w:p w:rsidR="003F451C" w:rsidRPr="00F94584" w:rsidRDefault="003F451C" w:rsidP="003F451C">
      <w:pPr>
        <w:pStyle w:val="ListParagraph"/>
        <w:rPr>
          <w:rFonts w:ascii="Arial" w:hAnsi="Arial" w:cs="Arial"/>
        </w:rPr>
      </w:pPr>
    </w:p>
    <w:p w:rsidR="003F451C" w:rsidRPr="00F94584" w:rsidRDefault="003F451C" w:rsidP="003F451C">
      <w:pPr>
        <w:tabs>
          <w:tab w:val="left" w:leader="dot" w:pos="9356"/>
        </w:tabs>
        <w:ind w:left="1624"/>
        <w:rPr>
          <w:rFonts w:ascii="Arial" w:hAnsi="Arial" w:cs="Arial"/>
          <w:lang w:val="ro-RO"/>
        </w:rPr>
      </w:pPr>
    </w:p>
    <w:p w:rsidR="003F451C" w:rsidRPr="006C7116" w:rsidRDefault="003F451C" w:rsidP="003F451C">
      <w:pPr>
        <w:tabs>
          <w:tab w:val="left" w:pos="1358"/>
          <w:tab w:val="left" w:leader="dot" w:pos="9356"/>
        </w:tabs>
        <w:rPr>
          <w:rFonts w:ascii="Arial" w:hAnsi="Arial" w:cs="Arial"/>
          <w:b/>
          <w:lang w:val="ro-RO"/>
        </w:rPr>
      </w:pPr>
      <w:r w:rsidRPr="006C7116">
        <w:rPr>
          <w:rFonts w:ascii="Arial" w:hAnsi="Arial" w:cs="Arial"/>
          <w:b/>
          <w:lang w:val="ro-RO"/>
        </w:rPr>
        <w:t>VII.1.4.Impacturi şi presiuni privind deşeurile</w:t>
      </w:r>
    </w:p>
    <w:p w:rsidR="003F451C" w:rsidRPr="00F94584" w:rsidRDefault="003F451C" w:rsidP="003F451C">
      <w:pPr>
        <w:autoSpaceDE w:val="0"/>
        <w:autoSpaceDN w:val="0"/>
        <w:adjustRightInd w:val="0"/>
        <w:jc w:val="both"/>
        <w:rPr>
          <w:rFonts w:ascii="Arial" w:eastAsia="Times New Roman" w:hAnsi="Arial" w:cs="Arial"/>
          <w:lang w:val="ro-RO" w:eastAsia="ro-RO"/>
        </w:rPr>
      </w:pP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Toate activităţile implicate în sistemul de gestionare a deşeurilor, respectiv de colectare, transport, tratare, valorificare, eliminare şi dezafectare a infrastructurii aferente pot avea un impact negativ asupra mediului dacă nu sunt respectate normativele ce stabilesc condiţiile de gestionare ecologică.</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Deşeurile industriale constituie surse de risc pentru sănătate datorită conţinutului lor în substanţe toxice precum metale grele (plumb, cadmiu), pesticide, solvenţi, uleiuri uzate. Problema cea mai dificilă o constituie materialele periculoase (inclusiv nămolurile toxice, produse petroliere, reziduuri de la vopsitorii, zguri metalurgice) dacă sunt depozitate în comun cu deşeuri solide orăşenești. Aceasta situaţie poate genera apariţia unor amestecuri şi combinaţii inflamabile, explozive sau corozive.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Principalele forme de impact şi risc determinate de depozitele de deşeuri municipale şi industriale, în ordinea în care sunt percepute de populaţie, sunt:</w:t>
      </w:r>
    </w:p>
    <w:p w:rsidR="003F451C" w:rsidRPr="00F94584" w:rsidRDefault="003F451C" w:rsidP="00882FB1">
      <w:pPr>
        <w:numPr>
          <w:ilvl w:val="0"/>
          <w:numId w:val="64"/>
        </w:numPr>
        <w:rPr>
          <w:rFonts w:ascii="Arial" w:hAnsi="Arial" w:cs="Arial"/>
        </w:rPr>
      </w:pPr>
      <w:r w:rsidRPr="00F94584">
        <w:rPr>
          <w:rFonts w:ascii="Arial" w:hAnsi="Arial" w:cs="Arial"/>
        </w:rPr>
        <w:t xml:space="preserve">modificări de peisaj şi disconfort vizual; </w:t>
      </w:r>
    </w:p>
    <w:p w:rsidR="003F451C" w:rsidRPr="00F94584" w:rsidRDefault="003F451C" w:rsidP="00882FB1">
      <w:pPr>
        <w:numPr>
          <w:ilvl w:val="0"/>
          <w:numId w:val="64"/>
        </w:numPr>
        <w:rPr>
          <w:rFonts w:ascii="Arial" w:hAnsi="Arial" w:cs="Arial"/>
        </w:rPr>
      </w:pPr>
      <w:r w:rsidRPr="00F94584">
        <w:rPr>
          <w:rFonts w:ascii="Arial" w:hAnsi="Arial" w:cs="Arial"/>
        </w:rPr>
        <w:t xml:space="preserve">poluarea aerului; </w:t>
      </w:r>
    </w:p>
    <w:p w:rsidR="003F451C" w:rsidRPr="00F94584" w:rsidRDefault="003F451C" w:rsidP="00882FB1">
      <w:pPr>
        <w:numPr>
          <w:ilvl w:val="0"/>
          <w:numId w:val="64"/>
        </w:numPr>
        <w:rPr>
          <w:rFonts w:ascii="Arial" w:hAnsi="Arial" w:cs="Arial"/>
        </w:rPr>
      </w:pPr>
      <w:r w:rsidRPr="00F94584">
        <w:rPr>
          <w:rFonts w:ascii="Arial" w:hAnsi="Arial" w:cs="Arial"/>
        </w:rPr>
        <w:t xml:space="preserve">poluarea apelor de suprafaţă; </w:t>
      </w:r>
    </w:p>
    <w:p w:rsidR="003F451C" w:rsidRPr="00F94584" w:rsidRDefault="003F451C" w:rsidP="00882FB1">
      <w:pPr>
        <w:numPr>
          <w:ilvl w:val="0"/>
          <w:numId w:val="64"/>
        </w:numPr>
        <w:rPr>
          <w:rFonts w:ascii="Arial" w:hAnsi="Arial" w:cs="Arial"/>
        </w:rPr>
      </w:pPr>
      <w:r w:rsidRPr="00F94584">
        <w:rPr>
          <w:rFonts w:ascii="Arial" w:hAnsi="Arial" w:cs="Arial"/>
        </w:rPr>
        <w:t xml:space="preserve">modificări ale fertilităţii solurilor şi ale compoziţiei biocenozelor pe terenurile învecinate. </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Scoaterea din circuitul natural sau economic a terenurilor pentru depozitele de deşeuri este un proces ce poate fi considerat temporar, dar care în termenii conceptului de “dezvoltare durabilă”, se întinde pe durata a cel puţin două generaţii dacă se însumează perioadele de amenajare (1-3 ani), exploatare (15-30 ani), refacere ecologică şi postmonitorizare (15-20 ani).</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Astfel, colectarea, stocarea şi transportul pot fi surse generatoare de emisii poluante pentru atmosferă, sol şi implicit pentru sănătatea oamenilor. Actualele practici utilizate în managementul deşeurilor urbane (colectare, transport, depozitare, etc), sunt încă necorespunzătoare, generând un impact negativ asupra factorilor de mediu şi facilitând înmulţirea şi împrăştierea agenţilor purtători de microbi.</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În prezent, în România, eliminarea deşeurilor urbane se face aproape excusiv prin depozitare, cu excepţia unui procent de circa 3% (reprezentat mai ales de deşeurile comerciale) care se valorifică. Această situaţie se datorează în mare parte şi necunoaşterii compoziţiei actuale a deşeurilor urbane care a făcut să perpetueze depozitarea ca unică formă de eliminare. Depozitarea este însă soluţia aflată la nivelul cel mai de jos al ierarhiei opţiunilor de eliminare a deşeurilor.</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Impactul asupra mediului este ireversibil. Perioadele de timp pentru descompunerea deşeurilor depozitate variază în funcţie de compoziţia fiecărui tip de deşeu astfel:</w:t>
      </w:r>
    </w:p>
    <w:p w:rsidR="003F451C" w:rsidRPr="00F94584" w:rsidRDefault="003F451C" w:rsidP="00882FB1">
      <w:pPr>
        <w:numPr>
          <w:ilvl w:val="0"/>
          <w:numId w:val="74"/>
        </w:numPr>
        <w:jc w:val="both"/>
        <w:rPr>
          <w:rFonts w:ascii="Arial" w:hAnsi="Arial" w:cs="Arial"/>
        </w:rPr>
      </w:pPr>
      <w:r w:rsidRPr="00F94584">
        <w:rPr>
          <w:rFonts w:ascii="Arial" w:hAnsi="Arial" w:cs="Arial"/>
        </w:rPr>
        <w:lastRenderedPageBreak/>
        <w:t xml:space="preserve">pentru hârtie şi carton – 3 până la 12 luni, </w:t>
      </w:r>
    </w:p>
    <w:p w:rsidR="003F451C" w:rsidRPr="00F94584" w:rsidRDefault="003F451C" w:rsidP="00882FB1">
      <w:pPr>
        <w:numPr>
          <w:ilvl w:val="0"/>
          <w:numId w:val="74"/>
        </w:numPr>
        <w:jc w:val="both"/>
        <w:rPr>
          <w:rFonts w:ascii="Arial" w:hAnsi="Arial" w:cs="Arial"/>
        </w:rPr>
      </w:pPr>
      <w:r w:rsidRPr="00F94584">
        <w:rPr>
          <w:rFonts w:ascii="Arial" w:hAnsi="Arial" w:cs="Arial"/>
        </w:rPr>
        <w:t xml:space="preserve">pentru deşeuri biodegradabile din hrana vegetală – 3 luni, </w:t>
      </w:r>
    </w:p>
    <w:p w:rsidR="003F451C" w:rsidRPr="00F94584" w:rsidRDefault="003F451C" w:rsidP="00882FB1">
      <w:pPr>
        <w:numPr>
          <w:ilvl w:val="0"/>
          <w:numId w:val="74"/>
        </w:numPr>
        <w:jc w:val="both"/>
        <w:rPr>
          <w:rFonts w:ascii="Arial" w:hAnsi="Arial" w:cs="Arial"/>
          <w:lang w:val="da-DK"/>
        </w:rPr>
      </w:pPr>
      <w:r w:rsidRPr="00F94584">
        <w:rPr>
          <w:rFonts w:ascii="Arial" w:hAnsi="Arial" w:cs="Arial"/>
          <w:lang w:val="da-DK"/>
        </w:rPr>
        <w:t xml:space="preserve">pentru ambalajele din sticlă – 1000 ani, </w:t>
      </w:r>
    </w:p>
    <w:p w:rsidR="003F451C" w:rsidRPr="00F94584" w:rsidRDefault="003F451C" w:rsidP="00882FB1">
      <w:pPr>
        <w:numPr>
          <w:ilvl w:val="0"/>
          <w:numId w:val="74"/>
        </w:numPr>
        <w:jc w:val="both"/>
        <w:rPr>
          <w:rFonts w:ascii="Arial" w:hAnsi="Arial" w:cs="Arial"/>
          <w:lang w:val="da-DK"/>
        </w:rPr>
      </w:pPr>
      <w:r w:rsidRPr="00F94584">
        <w:rPr>
          <w:rFonts w:ascii="Arial" w:hAnsi="Arial" w:cs="Arial"/>
          <w:lang w:val="da-DK"/>
        </w:rPr>
        <w:t xml:space="preserve">pentru ambalajele din plastic tip PET – 100 până la 1000 ani, </w:t>
      </w:r>
    </w:p>
    <w:p w:rsidR="003F451C" w:rsidRPr="00F94584" w:rsidRDefault="003F451C" w:rsidP="00882FB1">
      <w:pPr>
        <w:numPr>
          <w:ilvl w:val="0"/>
          <w:numId w:val="74"/>
        </w:numPr>
        <w:jc w:val="both"/>
        <w:rPr>
          <w:rFonts w:ascii="Arial" w:hAnsi="Arial" w:cs="Arial"/>
          <w:lang w:val="da-DK"/>
        </w:rPr>
      </w:pPr>
      <w:r w:rsidRPr="00F94584">
        <w:rPr>
          <w:rFonts w:ascii="Arial" w:hAnsi="Arial" w:cs="Arial"/>
          <w:lang w:val="da-DK"/>
        </w:rPr>
        <w:t xml:space="preserve">dozele din aluminiu – 10 până la 100 ani, </w:t>
      </w:r>
    </w:p>
    <w:p w:rsidR="003F451C" w:rsidRPr="00F94584" w:rsidRDefault="003F451C" w:rsidP="00882FB1">
      <w:pPr>
        <w:numPr>
          <w:ilvl w:val="0"/>
          <w:numId w:val="74"/>
        </w:numPr>
        <w:jc w:val="both"/>
        <w:rPr>
          <w:rFonts w:ascii="Arial" w:hAnsi="Arial" w:cs="Arial"/>
          <w:lang w:val="da-DK"/>
        </w:rPr>
      </w:pPr>
      <w:r w:rsidRPr="00F94584">
        <w:rPr>
          <w:rFonts w:ascii="Arial" w:hAnsi="Arial" w:cs="Arial"/>
          <w:lang w:val="da-DK"/>
        </w:rPr>
        <w:t>textilele – 1 până la 7 ani, etc.</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În termeni de biodiversitate, un depozit de deşeuri înseamnă eliminarea de pe suprafaţa afectată acestei folosinţe a unui numar de 30 - 300 specii / ha, fără a considera şi populaţia microbiologică a solului. În plus, biocenozele din vecinătatea depozitului se modifică în sensul că:</w:t>
      </w:r>
    </w:p>
    <w:p w:rsidR="003F451C" w:rsidRPr="00F94584" w:rsidRDefault="003F451C" w:rsidP="00882FB1">
      <w:pPr>
        <w:numPr>
          <w:ilvl w:val="0"/>
          <w:numId w:val="65"/>
        </w:numPr>
        <w:jc w:val="both"/>
        <w:rPr>
          <w:rFonts w:ascii="Arial" w:hAnsi="Arial" w:cs="Arial"/>
          <w:lang w:val="it-IT"/>
        </w:rPr>
      </w:pPr>
      <w:r w:rsidRPr="00F94584">
        <w:rPr>
          <w:rFonts w:ascii="Arial" w:hAnsi="Arial" w:cs="Arial"/>
          <w:lang w:val="it-IT"/>
        </w:rPr>
        <w:t xml:space="preserve">în asociaţiile vegetale devin dominante speciile ruderale specifice zonelor poluate; </w:t>
      </w:r>
    </w:p>
    <w:p w:rsidR="003F451C" w:rsidRPr="00F94584" w:rsidRDefault="003F451C" w:rsidP="00882FB1">
      <w:pPr>
        <w:numPr>
          <w:ilvl w:val="0"/>
          <w:numId w:val="65"/>
        </w:numPr>
        <w:jc w:val="both"/>
        <w:rPr>
          <w:rFonts w:ascii="Arial" w:hAnsi="Arial" w:cs="Arial"/>
          <w:lang w:val="it-IT"/>
        </w:rPr>
      </w:pPr>
      <w:r w:rsidRPr="00F94584">
        <w:rPr>
          <w:rFonts w:ascii="Arial" w:hAnsi="Arial" w:cs="Arial"/>
          <w:lang w:val="it-IT"/>
        </w:rPr>
        <w:t xml:space="preserve">unele mamifere, păsări, insecte părăsesc zona, în avantajul celor care îşi găsesc hrana în gunoaie (şobolani, ciori). </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Deşi efectele asupra florei şi faunei sunt teoretic limitate în timp la durata exploatării depozitului, reconstrucţia ecologică realizată dupa eliberarea zonei de sarcini tehnologice nu va mai putea restabili echilibrul biologic iniţial, evoluţia biosistemului fiind ireversibil modificată. Terenurile ocupate de depozitele de deşeuri sunt considerate terenuri degradate, care nu mai pot fi utilizate în scopuri agricole.</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 xml:space="preserve">Datorită implicaţiilor deosebite pe care le are depozitarea în poluarea solului şi subsolului s-a impus sistarea depozitării pe </w:t>
      </w:r>
      <w:r w:rsidRPr="00F94584">
        <w:rPr>
          <w:rFonts w:ascii="Arial" w:hAnsi="Arial" w:cs="Arial"/>
          <w:b/>
          <w:lang w:val="it-IT"/>
        </w:rPr>
        <w:t>depozitele neconforme de deşeuri municipale</w:t>
      </w:r>
      <w:r w:rsidRPr="00F94584">
        <w:rPr>
          <w:rFonts w:ascii="Arial" w:hAnsi="Arial" w:cs="Arial"/>
          <w:lang w:val="it-IT"/>
        </w:rPr>
        <w:t xml:space="preserve"> şi </w:t>
      </w:r>
      <w:r w:rsidRPr="00F94584">
        <w:rPr>
          <w:rFonts w:ascii="Arial" w:hAnsi="Arial" w:cs="Arial"/>
          <w:b/>
          <w:lang w:val="it-IT"/>
        </w:rPr>
        <w:t>industriale</w:t>
      </w:r>
      <w:r w:rsidRPr="00F94584">
        <w:rPr>
          <w:rFonts w:ascii="Arial" w:hAnsi="Arial" w:cs="Arial"/>
          <w:lang w:val="it-IT"/>
        </w:rPr>
        <w:t>. Ca urmare există un singur depozit neconform de deșeuri municipale în operare care este planificat să sisteze activitatea în anul 2017.</w:t>
      </w:r>
    </w:p>
    <w:p w:rsidR="003F451C" w:rsidRPr="00F94584" w:rsidRDefault="003F451C" w:rsidP="003F451C">
      <w:pPr>
        <w:autoSpaceDE w:val="0"/>
        <w:autoSpaceDN w:val="0"/>
        <w:adjustRightInd w:val="0"/>
        <w:ind w:firstLine="737"/>
        <w:jc w:val="both"/>
        <w:rPr>
          <w:rFonts w:ascii="Arial" w:hAnsi="Arial" w:cs="Arial"/>
        </w:rPr>
      </w:pPr>
      <w:r w:rsidRPr="00F94584">
        <w:rPr>
          <w:rFonts w:ascii="Arial" w:hAnsi="Arial" w:cs="Arial"/>
          <w:lang w:val="it-IT"/>
        </w:rPr>
        <w:t xml:space="preserve">În ceea ce priveşte industria de foraj şi extracţie a petrolului deşeurile din acest domeniu sunt periculoase pentru om şi mediu. Depozitarea necontrolată duce la poluarea solurilor şi a apelor subterane. Un astfel de exemplu este batalul vechi de şlam petrolier de la Oprişeneşti, depozit neconform, unde s-a sistat depozitarea în anul 2006 dar amplasamentul este încadrat în lista siturilor contaminate. Pe lângă lucrările specifice de dezafectare sunt necesare lucrări de decontaminare pentru sol şi apa freatică. Urmează a se realiza un program de ecologizare deoarece în urma investigaţiilor s-a identificat contaminarea solului. </w:t>
      </w:r>
    </w:p>
    <w:p w:rsidR="003F451C" w:rsidRPr="00F94584" w:rsidRDefault="003F451C" w:rsidP="003F451C">
      <w:pPr>
        <w:autoSpaceDE w:val="0"/>
        <w:autoSpaceDN w:val="0"/>
        <w:adjustRightInd w:val="0"/>
        <w:ind w:firstLine="737"/>
        <w:jc w:val="both"/>
        <w:rPr>
          <w:rFonts w:ascii="Arial" w:hAnsi="Arial" w:cs="Arial"/>
          <w:lang w:val="it-IT"/>
        </w:rPr>
      </w:pPr>
      <w:r w:rsidRPr="00F94584">
        <w:rPr>
          <w:rFonts w:ascii="Arial" w:hAnsi="Arial" w:cs="Arial"/>
          <w:lang w:val="it-IT"/>
        </w:rPr>
        <w:t xml:space="preserve">Eliminarea deşeurilor menajere din mediul rural pe terenuri neamenajate a fost sistată la 16 iulie 2009 însă depozitările necontrolate nu au dispărut în totalitate. </w:t>
      </w:r>
      <w:r w:rsidRPr="00F94584">
        <w:rPr>
          <w:rFonts w:ascii="Arial" w:hAnsi="Arial" w:cs="Arial"/>
          <w:bCs/>
        </w:rPr>
        <w:t>A</w:t>
      </w:r>
      <w:r w:rsidRPr="00F94584">
        <w:rPr>
          <w:rFonts w:ascii="Arial" w:hAnsi="Arial" w:cs="Arial"/>
          <w:lang w:val="it-IT"/>
        </w:rPr>
        <w:t>proximativ 80% din compoziţia deşeurilor care erau eliminate pe platformele rurale era reprezentată de dejecţiile de la animalele crescute în gospodăriile populaţiei.</w:t>
      </w:r>
    </w:p>
    <w:p w:rsidR="003F451C" w:rsidRPr="00F94584" w:rsidRDefault="003F451C" w:rsidP="003F451C">
      <w:pPr>
        <w:autoSpaceDE w:val="0"/>
        <w:autoSpaceDN w:val="0"/>
        <w:adjustRightInd w:val="0"/>
        <w:jc w:val="both"/>
        <w:rPr>
          <w:rFonts w:ascii="Arial" w:eastAsia="Times New Roman" w:hAnsi="Arial" w:cs="Arial"/>
          <w:lang w:val="ro-RO" w:eastAsia="ro-RO"/>
        </w:rPr>
      </w:pPr>
    </w:p>
    <w:p w:rsidR="003F451C" w:rsidRPr="00F94584" w:rsidRDefault="003F451C" w:rsidP="003F451C">
      <w:pPr>
        <w:autoSpaceDE w:val="0"/>
        <w:autoSpaceDN w:val="0"/>
        <w:adjustRightInd w:val="0"/>
        <w:jc w:val="both"/>
        <w:rPr>
          <w:rFonts w:ascii="Arial" w:eastAsia="Times New Roman" w:hAnsi="Arial" w:cs="Arial"/>
          <w:b/>
          <w:lang w:val="ro-RO" w:eastAsia="ro-RO"/>
        </w:rPr>
      </w:pPr>
      <w:r w:rsidRPr="00F94584">
        <w:rPr>
          <w:rFonts w:ascii="Arial" w:eastAsia="Times New Roman" w:hAnsi="Arial" w:cs="Arial"/>
          <w:b/>
          <w:lang w:val="ro-RO" w:eastAsia="ro-RO"/>
        </w:rPr>
        <w:t xml:space="preserve">Măsuri aplicate de către autorităţile administrației publice locale și județene pentru îmbunătăţirea managementului deşeurilor </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Prin implementarea prevederilor legale în activitatea curentă a agenţilor economici şi a administraţiilor publice locale, se preconizează că impactul gestionării deşeurilor asupra mediului şi sănătăţii umane se va reduce semnificativ.</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 xml:space="preserve">Obiectivul general al Strategiei Naţionale de Gestionare a Deşeurilor este dezvoltarea unui </w:t>
      </w:r>
      <w:r w:rsidRPr="00F94584">
        <w:rPr>
          <w:rFonts w:ascii="Arial" w:hAnsi="Arial" w:cs="Arial"/>
          <w:b/>
          <w:lang w:val="it-IT"/>
        </w:rPr>
        <w:t>sistem integrat de gestionare a deşeurilor</w:t>
      </w:r>
      <w:r w:rsidRPr="00F94584">
        <w:rPr>
          <w:rFonts w:ascii="Arial" w:hAnsi="Arial" w:cs="Arial"/>
          <w:lang w:val="it-IT"/>
        </w:rPr>
        <w:t>, eficient din punct de vedere economic şi care să asigure protecţia sănătăţii populaţiei şi a mediului.</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Aplicarea unui sistem durabil de gestionare a deşeurilor implică schimbări majore ale practicilor actuale. În prezent priorităţile în gestionarea deşeurilor nu sunt în conformitate cu prevederile legislative care stabilesc următoarea ierarhie:</w:t>
      </w:r>
    </w:p>
    <w:p w:rsidR="003F451C" w:rsidRPr="00F94584" w:rsidRDefault="00043583" w:rsidP="00882FB1">
      <w:pPr>
        <w:numPr>
          <w:ilvl w:val="1"/>
          <w:numId w:val="63"/>
        </w:numPr>
        <w:tabs>
          <w:tab w:val="clear" w:pos="1440"/>
        </w:tabs>
        <w:ind w:left="993" w:firstLine="0"/>
        <w:rPr>
          <w:rFonts w:ascii="Arial" w:hAnsi="Arial" w:cs="Arial"/>
        </w:rPr>
      </w:pPr>
      <w:hyperlink r:id="rId113" w:anchor="#" w:history="1"/>
      <w:r w:rsidR="003F451C" w:rsidRPr="00F94584">
        <w:rPr>
          <w:rFonts w:ascii="Arial" w:hAnsi="Arial" w:cs="Arial"/>
        </w:rPr>
        <w:t>prevenirea( minimizarea cantităţilor generate);</w:t>
      </w:r>
    </w:p>
    <w:p w:rsidR="003F451C" w:rsidRPr="00F94584" w:rsidRDefault="00043583" w:rsidP="00882FB1">
      <w:pPr>
        <w:numPr>
          <w:ilvl w:val="1"/>
          <w:numId w:val="63"/>
        </w:numPr>
        <w:tabs>
          <w:tab w:val="clear" w:pos="1440"/>
        </w:tabs>
        <w:ind w:left="993" w:firstLine="0"/>
        <w:rPr>
          <w:rFonts w:ascii="Arial" w:hAnsi="Arial" w:cs="Arial"/>
        </w:rPr>
      </w:pPr>
      <w:hyperlink r:id="rId114" w:anchor="#" w:history="1"/>
      <w:r w:rsidR="003F451C" w:rsidRPr="00F94584">
        <w:rPr>
          <w:rFonts w:ascii="Arial" w:hAnsi="Arial" w:cs="Arial"/>
        </w:rPr>
        <w:t>pregătirea pentru reutilizare;</w:t>
      </w:r>
    </w:p>
    <w:p w:rsidR="003F451C" w:rsidRPr="00F94584" w:rsidRDefault="00043583" w:rsidP="00882FB1">
      <w:pPr>
        <w:numPr>
          <w:ilvl w:val="1"/>
          <w:numId w:val="63"/>
        </w:numPr>
        <w:tabs>
          <w:tab w:val="clear" w:pos="1440"/>
        </w:tabs>
        <w:ind w:left="993" w:firstLine="0"/>
        <w:rPr>
          <w:rFonts w:ascii="Arial" w:hAnsi="Arial" w:cs="Arial"/>
        </w:rPr>
      </w:pPr>
      <w:hyperlink r:id="rId115" w:anchor="#" w:history="1"/>
      <w:r w:rsidR="003F451C" w:rsidRPr="00F94584">
        <w:rPr>
          <w:rFonts w:ascii="Arial" w:hAnsi="Arial" w:cs="Arial"/>
        </w:rPr>
        <w:t>reciclarea;</w:t>
      </w:r>
    </w:p>
    <w:p w:rsidR="003F451C" w:rsidRPr="00F94584" w:rsidRDefault="00043583" w:rsidP="00882FB1">
      <w:pPr>
        <w:numPr>
          <w:ilvl w:val="1"/>
          <w:numId w:val="63"/>
        </w:numPr>
        <w:tabs>
          <w:tab w:val="clear" w:pos="1440"/>
        </w:tabs>
        <w:ind w:left="993" w:firstLine="0"/>
        <w:rPr>
          <w:rFonts w:ascii="Arial" w:hAnsi="Arial" w:cs="Arial"/>
        </w:rPr>
      </w:pPr>
      <w:hyperlink r:id="rId116" w:anchor="#" w:history="1"/>
      <w:r w:rsidR="003F451C" w:rsidRPr="00F94584">
        <w:rPr>
          <w:rFonts w:ascii="Arial" w:hAnsi="Arial" w:cs="Arial"/>
        </w:rPr>
        <w:t>alte operaţiuni de valorificare, de exemplu valorificarea energetică;</w:t>
      </w:r>
    </w:p>
    <w:p w:rsidR="003F451C" w:rsidRPr="00F94584" w:rsidRDefault="00043583" w:rsidP="00882FB1">
      <w:pPr>
        <w:numPr>
          <w:ilvl w:val="1"/>
          <w:numId w:val="63"/>
        </w:numPr>
        <w:tabs>
          <w:tab w:val="clear" w:pos="1440"/>
        </w:tabs>
        <w:ind w:left="993" w:firstLine="0"/>
        <w:rPr>
          <w:rFonts w:ascii="Arial" w:hAnsi="Arial" w:cs="Arial"/>
        </w:rPr>
      </w:pPr>
      <w:hyperlink r:id="rId117" w:anchor="#" w:history="1"/>
      <w:r w:rsidR="003F451C" w:rsidRPr="00F94584">
        <w:rPr>
          <w:rFonts w:ascii="Arial" w:hAnsi="Arial" w:cs="Arial"/>
        </w:rPr>
        <w:t>eliminarea (depozitarea).</w:t>
      </w:r>
    </w:p>
    <w:p w:rsidR="003F451C" w:rsidRPr="00F94584" w:rsidRDefault="003F451C" w:rsidP="003F451C">
      <w:pPr>
        <w:jc w:val="center"/>
        <w:rPr>
          <w:rFonts w:ascii="Arial" w:hAnsi="Arial" w:cs="Arial"/>
          <w:b/>
        </w:rPr>
      </w:pPr>
    </w:p>
    <w:p w:rsidR="003F451C" w:rsidRPr="00F94584" w:rsidRDefault="003F451C" w:rsidP="003F451C">
      <w:pPr>
        <w:jc w:val="both"/>
        <w:rPr>
          <w:rFonts w:ascii="Arial" w:hAnsi="Arial" w:cs="Arial"/>
          <w:b/>
        </w:rPr>
      </w:pPr>
      <w:r w:rsidRPr="00F94584">
        <w:rPr>
          <w:rFonts w:ascii="Arial" w:hAnsi="Arial" w:cs="Arial"/>
          <w:b/>
        </w:rPr>
        <w:lastRenderedPageBreak/>
        <w:t xml:space="preserve">Planul Judetean de Gestionare a Deşeurilor (PJGD) </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Planul Judeţean de Gestionare a Deşeurilor (PJGD) aprobat în 2009 a prevăzut:</w:t>
      </w:r>
    </w:p>
    <w:p w:rsidR="003F451C" w:rsidRPr="00F94584" w:rsidRDefault="003F451C" w:rsidP="00882FB1">
      <w:pPr>
        <w:numPr>
          <w:ilvl w:val="0"/>
          <w:numId w:val="76"/>
        </w:numPr>
        <w:tabs>
          <w:tab w:val="left" w:pos="171"/>
        </w:tabs>
        <w:jc w:val="both"/>
        <w:rPr>
          <w:rFonts w:ascii="Arial" w:hAnsi="Arial" w:cs="Arial"/>
        </w:rPr>
      </w:pPr>
      <w:r w:rsidRPr="00F94584">
        <w:rPr>
          <w:rFonts w:ascii="Arial" w:hAnsi="Arial" w:cs="Arial"/>
        </w:rPr>
        <w:t>precolectare aport individual la platforme comune pe 4 fracții- colectarea deşeurilor de către populație din gospodării și depozitarea la puncte de colectare (recipienți de depozitare specializați)</w:t>
      </w:r>
    </w:p>
    <w:p w:rsidR="003F451C" w:rsidRPr="00F94584" w:rsidRDefault="003F451C" w:rsidP="00882FB1">
      <w:pPr>
        <w:numPr>
          <w:ilvl w:val="0"/>
          <w:numId w:val="76"/>
        </w:numPr>
        <w:tabs>
          <w:tab w:val="left" w:pos="171"/>
        </w:tabs>
        <w:jc w:val="both"/>
        <w:rPr>
          <w:rFonts w:ascii="Arial" w:hAnsi="Arial" w:cs="Arial"/>
          <w:lang w:val="it-IT"/>
        </w:rPr>
      </w:pPr>
      <w:r w:rsidRPr="00F94584">
        <w:rPr>
          <w:rFonts w:ascii="Arial" w:hAnsi="Arial" w:cs="Arial"/>
          <w:lang w:val="it-IT"/>
        </w:rPr>
        <w:t xml:space="preserve">colectare-gestionare pe 5 zone Muchea, Făurei, Ianca, Însurăţei si Frecăței, </w:t>
      </w:r>
    </w:p>
    <w:p w:rsidR="003F451C" w:rsidRPr="00F94584" w:rsidRDefault="003F451C" w:rsidP="00882FB1">
      <w:pPr>
        <w:numPr>
          <w:ilvl w:val="0"/>
          <w:numId w:val="76"/>
        </w:numPr>
        <w:tabs>
          <w:tab w:val="left" w:pos="171"/>
        </w:tabs>
        <w:jc w:val="both"/>
        <w:rPr>
          <w:rFonts w:ascii="Arial" w:hAnsi="Arial" w:cs="Arial"/>
          <w:lang w:val="it-IT"/>
        </w:rPr>
      </w:pPr>
      <w:r w:rsidRPr="00F94584">
        <w:rPr>
          <w:rFonts w:ascii="Arial" w:hAnsi="Arial" w:cs="Arial"/>
          <w:lang w:val="it-IT"/>
        </w:rPr>
        <w:t>3 statii de transfer  Făurei, Frecăței și Însurăţei</w:t>
      </w:r>
    </w:p>
    <w:p w:rsidR="003F451C" w:rsidRPr="00F94584" w:rsidRDefault="003F451C" w:rsidP="00882FB1">
      <w:pPr>
        <w:numPr>
          <w:ilvl w:val="0"/>
          <w:numId w:val="76"/>
        </w:numPr>
        <w:tabs>
          <w:tab w:val="left" w:pos="171"/>
        </w:tabs>
        <w:jc w:val="both"/>
        <w:rPr>
          <w:rFonts w:ascii="Arial" w:hAnsi="Arial" w:cs="Arial"/>
          <w:lang w:val="it-IT"/>
        </w:rPr>
      </w:pPr>
      <w:r w:rsidRPr="00F94584">
        <w:rPr>
          <w:rFonts w:ascii="Arial" w:hAnsi="Arial" w:cs="Arial"/>
          <w:lang w:val="it-IT"/>
        </w:rPr>
        <w:t>sortarea la depozitele ecologice Muchea și Ianca, la statie de sortare de la Ianca și la nivel centralizat -complex Ecologic Vădeni.</w:t>
      </w:r>
    </w:p>
    <w:p w:rsidR="003F451C" w:rsidRPr="00F94584" w:rsidRDefault="003F451C" w:rsidP="00882FB1">
      <w:pPr>
        <w:numPr>
          <w:ilvl w:val="0"/>
          <w:numId w:val="76"/>
        </w:numPr>
        <w:tabs>
          <w:tab w:val="left" w:pos="171"/>
        </w:tabs>
        <w:jc w:val="both"/>
        <w:rPr>
          <w:rFonts w:ascii="Arial" w:hAnsi="Arial" w:cs="Arial"/>
          <w:lang w:val="it-IT"/>
        </w:rPr>
      </w:pPr>
      <w:r w:rsidRPr="00F94584">
        <w:rPr>
          <w:rFonts w:ascii="Arial" w:hAnsi="Arial" w:cs="Arial"/>
          <w:lang w:val="it-IT"/>
        </w:rPr>
        <w:t xml:space="preserve">3 statii de compost realizate anterior întocmirii PJGD, Făurei, Ianca și Însurăţei, </w:t>
      </w:r>
    </w:p>
    <w:p w:rsidR="003F451C" w:rsidRPr="00F94584" w:rsidRDefault="003F451C" w:rsidP="00882FB1">
      <w:pPr>
        <w:numPr>
          <w:ilvl w:val="0"/>
          <w:numId w:val="76"/>
        </w:numPr>
        <w:tabs>
          <w:tab w:val="left" w:pos="171"/>
        </w:tabs>
        <w:jc w:val="both"/>
        <w:rPr>
          <w:rFonts w:ascii="Arial" w:hAnsi="Arial" w:cs="Arial"/>
          <w:lang w:val="it-IT"/>
        </w:rPr>
      </w:pPr>
      <w:r w:rsidRPr="00F94584">
        <w:rPr>
          <w:rFonts w:ascii="Arial" w:hAnsi="Arial" w:cs="Arial"/>
          <w:lang w:val="it-IT"/>
        </w:rPr>
        <w:t>tratare deşeuri- complex integrat la Vădeni tratare a deşeurilor</w:t>
      </w:r>
    </w:p>
    <w:p w:rsidR="003F451C" w:rsidRPr="00F94584" w:rsidRDefault="003F451C" w:rsidP="00882FB1">
      <w:pPr>
        <w:numPr>
          <w:ilvl w:val="0"/>
          <w:numId w:val="76"/>
        </w:numPr>
        <w:tabs>
          <w:tab w:val="left" w:pos="171"/>
        </w:tabs>
        <w:jc w:val="both"/>
        <w:rPr>
          <w:rFonts w:ascii="Arial" w:hAnsi="Arial" w:cs="Arial"/>
          <w:lang w:val="it-IT"/>
        </w:rPr>
      </w:pPr>
      <w:r w:rsidRPr="00F94584">
        <w:rPr>
          <w:rFonts w:ascii="Arial" w:hAnsi="Arial" w:cs="Arial"/>
          <w:lang w:val="it-IT"/>
        </w:rPr>
        <w:t>eliminare deşeuri-depozitate în două depozite conforme: Muchea (existent) și Ianca ce urmează a se înființa</w:t>
      </w:r>
    </w:p>
    <w:p w:rsidR="003F451C" w:rsidRPr="00F94584" w:rsidRDefault="003F451C" w:rsidP="003F451C">
      <w:pPr>
        <w:tabs>
          <w:tab w:val="left" w:pos="171"/>
        </w:tabs>
        <w:ind w:left="-360"/>
        <w:jc w:val="both"/>
        <w:rPr>
          <w:rFonts w:ascii="Arial" w:hAnsi="Arial" w:cs="Arial"/>
          <w:lang w:val="it-IT"/>
        </w:rPr>
      </w:pP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 xml:space="preserve">Ulterior, a fost realizat Planul de investiții pe termen lung pentru perioada 2008 - 2038 ”Managementul Integrat al Deşeurilor în Județul Brăila” (MASTERPLAN), (aprobat prin HCJ nr. 95/2009), plan care stabileste calendarul de implementare pentru realizarea investițiilor din PJGD și obținerea finanțărilor prin POS Mediu. În luna iulie 2011 s-a emis acordul integrat de mediu pentru investiţiile prevăzute în MASTERPLAN: </w:t>
      </w:r>
    </w:p>
    <w:p w:rsidR="003F451C" w:rsidRPr="00F94584" w:rsidRDefault="003F451C" w:rsidP="00882FB1">
      <w:pPr>
        <w:widowControl w:val="0"/>
        <w:numPr>
          <w:ilvl w:val="0"/>
          <w:numId w:val="73"/>
        </w:numPr>
        <w:jc w:val="both"/>
        <w:rPr>
          <w:rFonts w:ascii="Arial" w:hAnsi="Arial" w:cs="Arial"/>
          <w:lang w:val="it-IT"/>
        </w:rPr>
      </w:pPr>
      <w:r w:rsidRPr="00F94584">
        <w:rPr>
          <w:rFonts w:ascii="Arial" w:hAnsi="Arial" w:cs="Arial"/>
          <w:lang w:val="it-IT"/>
        </w:rPr>
        <w:t xml:space="preserve">staţie de transfer Însurăţei, </w:t>
      </w:r>
    </w:p>
    <w:p w:rsidR="003F451C" w:rsidRPr="00F94584" w:rsidRDefault="003F451C" w:rsidP="00882FB1">
      <w:pPr>
        <w:widowControl w:val="0"/>
        <w:numPr>
          <w:ilvl w:val="0"/>
          <w:numId w:val="73"/>
        </w:numPr>
        <w:jc w:val="both"/>
        <w:rPr>
          <w:rFonts w:ascii="Arial" w:hAnsi="Arial" w:cs="Arial"/>
          <w:lang w:val="it-IT"/>
        </w:rPr>
      </w:pPr>
      <w:r w:rsidRPr="00F94584">
        <w:rPr>
          <w:rFonts w:ascii="Arial" w:hAnsi="Arial" w:cs="Arial"/>
          <w:lang w:val="it-IT"/>
        </w:rPr>
        <w:t>nouă staţie de transfer la Muchea după ce depozitul de la Muchea va sista activitatea.</w:t>
      </w:r>
    </w:p>
    <w:p w:rsidR="003F451C" w:rsidRPr="00F94584" w:rsidRDefault="003F451C" w:rsidP="00882FB1">
      <w:pPr>
        <w:widowControl w:val="0"/>
        <w:numPr>
          <w:ilvl w:val="0"/>
          <w:numId w:val="73"/>
        </w:numPr>
        <w:jc w:val="both"/>
        <w:rPr>
          <w:rFonts w:ascii="Arial" w:hAnsi="Arial" w:cs="Arial"/>
          <w:lang w:val="it-IT"/>
        </w:rPr>
      </w:pPr>
      <w:r w:rsidRPr="00F94584">
        <w:rPr>
          <w:rFonts w:ascii="Arial" w:hAnsi="Arial" w:cs="Arial"/>
          <w:lang w:val="it-IT"/>
        </w:rPr>
        <w:t xml:space="preserve">staţie de sortare Ianca, </w:t>
      </w:r>
    </w:p>
    <w:p w:rsidR="003F451C" w:rsidRPr="00F94584" w:rsidRDefault="003F451C" w:rsidP="00882FB1">
      <w:pPr>
        <w:widowControl w:val="0"/>
        <w:numPr>
          <w:ilvl w:val="0"/>
          <w:numId w:val="73"/>
        </w:numPr>
        <w:jc w:val="both"/>
        <w:rPr>
          <w:rFonts w:ascii="Arial" w:hAnsi="Arial" w:cs="Arial"/>
          <w:lang w:val="it-IT"/>
        </w:rPr>
      </w:pPr>
      <w:r w:rsidRPr="00F94584">
        <w:rPr>
          <w:rFonts w:ascii="Arial" w:hAnsi="Arial" w:cs="Arial"/>
          <w:lang w:val="it-IT"/>
        </w:rPr>
        <w:t xml:space="preserve">staţie de sortare şi staţie de tratare mecano biologică Vădeni. </w:t>
      </w:r>
    </w:p>
    <w:p w:rsidR="003F451C" w:rsidRPr="00F94584" w:rsidRDefault="003F451C" w:rsidP="00882FB1">
      <w:pPr>
        <w:widowControl w:val="0"/>
        <w:numPr>
          <w:ilvl w:val="0"/>
          <w:numId w:val="73"/>
        </w:numPr>
        <w:jc w:val="both"/>
        <w:rPr>
          <w:rFonts w:ascii="Arial" w:hAnsi="Arial" w:cs="Arial"/>
          <w:lang w:val="it-IT"/>
        </w:rPr>
      </w:pPr>
      <w:r w:rsidRPr="00F94584">
        <w:rPr>
          <w:rFonts w:ascii="Arial" w:hAnsi="Arial" w:cs="Arial"/>
          <w:lang w:val="it-IT"/>
        </w:rPr>
        <w:t>depozit nou în apropierea oraşului Ianca care după anul 2026, anul închiderii depozitului Muchea va deservi întreg judeţul</w:t>
      </w:r>
    </w:p>
    <w:p w:rsidR="003F451C" w:rsidRPr="00F94584" w:rsidRDefault="003F451C" w:rsidP="00882FB1">
      <w:pPr>
        <w:widowControl w:val="0"/>
        <w:numPr>
          <w:ilvl w:val="0"/>
          <w:numId w:val="73"/>
        </w:numPr>
        <w:jc w:val="both"/>
        <w:rPr>
          <w:rFonts w:ascii="Arial" w:hAnsi="Arial" w:cs="Arial"/>
          <w:lang w:val="it-IT"/>
        </w:rPr>
      </w:pPr>
      <w:r w:rsidRPr="00F94584">
        <w:rPr>
          <w:rFonts w:ascii="Arial" w:hAnsi="Arial" w:cs="Arial"/>
          <w:lang w:val="it-IT"/>
        </w:rPr>
        <w:t>închidere depozit neconform Ianca</w:t>
      </w:r>
    </w:p>
    <w:p w:rsidR="003F451C" w:rsidRPr="00F94584" w:rsidRDefault="003F451C" w:rsidP="003F451C">
      <w:pPr>
        <w:widowControl w:val="0"/>
        <w:ind w:firstLine="720"/>
        <w:jc w:val="both"/>
        <w:rPr>
          <w:rFonts w:ascii="Arial" w:hAnsi="Arial" w:cs="Arial"/>
          <w:lang w:val="it-IT"/>
        </w:rPr>
      </w:pP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Obiectivele proiectului sunt următoarele:</w:t>
      </w:r>
    </w:p>
    <w:p w:rsidR="003F451C" w:rsidRPr="00F94584" w:rsidRDefault="003F451C" w:rsidP="00882FB1">
      <w:pPr>
        <w:widowControl w:val="0"/>
        <w:numPr>
          <w:ilvl w:val="0"/>
          <w:numId w:val="78"/>
        </w:numPr>
        <w:ind w:left="0" w:firstLine="284"/>
        <w:jc w:val="both"/>
        <w:rPr>
          <w:rFonts w:ascii="Arial" w:hAnsi="Arial" w:cs="Arial"/>
          <w:lang w:val="it-IT"/>
        </w:rPr>
      </w:pPr>
      <w:r w:rsidRPr="00F94584">
        <w:rPr>
          <w:rFonts w:ascii="Arial" w:hAnsi="Arial" w:cs="Arial"/>
          <w:lang w:val="it-IT"/>
        </w:rPr>
        <w:t>Asigurarea conformităţii cu legislaţia UE şi cu legislaţia românească privind depozitarea deşeurilor biodegradabile, prin construirea unei staţii de compostare a deşeurilor, precum şi prin implementarea unui sistem de colectare selectivă a acestora;</w:t>
      </w:r>
    </w:p>
    <w:p w:rsidR="003F451C" w:rsidRPr="00F94584" w:rsidRDefault="003F451C" w:rsidP="00882FB1">
      <w:pPr>
        <w:widowControl w:val="0"/>
        <w:numPr>
          <w:ilvl w:val="0"/>
          <w:numId w:val="78"/>
        </w:numPr>
        <w:ind w:left="0" w:firstLine="284"/>
        <w:jc w:val="both"/>
        <w:rPr>
          <w:rFonts w:ascii="Arial" w:hAnsi="Arial" w:cs="Arial"/>
          <w:lang w:val="it-IT"/>
        </w:rPr>
      </w:pPr>
      <w:r w:rsidRPr="00F94584">
        <w:rPr>
          <w:rFonts w:ascii="Arial" w:hAnsi="Arial" w:cs="Arial"/>
          <w:lang w:val="it-IT"/>
        </w:rPr>
        <w:t>Asigurarea conformităţii cu legislaţia UE şi cu legislaţia românească privind colectarea deşeurilor din ambalaje, prin construirea unei staţii de sortare a deşeurilor, precum şi prin implementarea unui sistem de colectare selectivă a acestora;</w:t>
      </w:r>
    </w:p>
    <w:p w:rsidR="003F451C" w:rsidRPr="00F94584" w:rsidRDefault="003F451C" w:rsidP="00882FB1">
      <w:pPr>
        <w:widowControl w:val="0"/>
        <w:numPr>
          <w:ilvl w:val="0"/>
          <w:numId w:val="78"/>
        </w:numPr>
        <w:ind w:left="0" w:firstLine="284"/>
        <w:jc w:val="both"/>
        <w:rPr>
          <w:rFonts w:ascii="Arial" w:hAnsi="Arial" w:cs="Arial"/>
          <w:lang w:val="it-IT"/>
        </w:rPr>
      </w:pPr>
      <w:r w:rsidRPr="00F94584">
        <w:rPr>
          <w:rFonts w:ascii="Arial" w:hAnsi="Arial" w:cs="Arial"/>
          <w:lang w:val="it-IT"/>
        </w:rPr>
        <w:t>Reducerea costurilor de transport a deşeurilor municipale mixte prin construirea unei staţii de transfer şi achiziţia echipamentelor şi utilajelor necesare pentru transfer;</w:t>
      </w:r>
    </w:p>
    <w:p w:rsidR="003F451C" w:rsidRPr="00F94584" w:rsidRDefault="003F451C" w:rsidP="00882FB1">
      <w:pPr>
        <w:widowControl w:val="0"/>
        <w:numPr>
          <w:ilvl w:val="0"/>
          <w:numId w:val="78"/>
        </w:numPr>
        <w:ind w:left="0" w:firstLine="284"/>
        <w:jc w:val="both"/>
        <w:rPr>
          <w:rFonts w:ascii="Arial" w:hAnsi="Arial" w:cs="Arial"/>
          <w:lang w:val="it-IT"/>
        </w:rPr>
      </w:pPr>
      <w:r w:rsidRPr="00F94584">
        <w:rPr>
          <w:rFonts w:ascii="Arial" w:hAnsi="Arial" w:cs="Arial"/>
          <w:lang w:val="it-IT"/>
        </w:rPr>
        <w:t>Realizarea unei depozitări a deşeurilor eficientă din punct de vedere ecologic, prin construirea unui centru de management integrat al deşeurilor, a cărei componentă principală este un depozit ecologic;</w:t>
      </w:r>
    </w:p>
    <w:p w:rsidR="003F451C" w:rsidRPr="00F94584" w:rsidRDefault="003F451C" w:rsidP="00882FB1">
      <w:pPr>
        <w:widowControl w:val="0"/>
        <w:numPr>
          <w:ilvl w:val="0"/>
          <w:numId w:val="78"/>
        </w:numPr>
        <w:ind w:left="0" w:firstLine="284"/>
        <w:jc w:val="both"/>
        <w:rPr>
          <w:rFonts w:ascii="Arial" w:hAnsi="Arial" w:cs="Arial"/>
          <w:lang w:val="it-IT"/>
        </w:rPr>
      </w:pPr>
      <w:r w:rsidRPr="00F94584">
        <w:rPr>
          <w:rFonts w:ascii="Arial" w:hAnsi="Arial" w:cs="Arial"/>
          <w:lang w:val="it-IT"/>
        </w:rPr>
        <w:t>Reducerea la minim a impactului depozitelor urbane asupra mediului, prin închiderea şi reabilitarea depozitelor urbane existente în judeţul Brăila.</w:t>
      </w:r>
    </w:p>
    <w:p w:rsidR="003F451C" w:rsidRPr="00F94584" w:rsidRDefault="003F451C" w:rsidP="00882FB1">
      <w:pPr>
        <w:widowControl w:val="0"/>
        <w:numPr>
          <w:ilvl w:val="0"/>
          <w:numId w:val="78"/>
        </w:numPr>
        <w:ind w:left="0" w:firstLine="284"/>
        <w:jc w:val="both"/>
        <w:rPr>
          <w:rFonts w:ascii="Arial" w:hAnsi="Arial" w:cs="Arial"/>
          <w:lang w:val="it-IT"/>
        </w:rPr>
      </w:pPr>
      <w:r w:rsidRPr="00F94584">
        <w:rPr>
          <w:rFonts w:ascii="Arial" w:hAnsi="Arial" w:cs="Arial"/>
          <w:lang w:val="it-IT"/>
        </w:rPr>
        <w:t>La acestea se adaugă un contract de furnizare bunuri: “Achiziţii de echipamente pentru colectarea deşeurilor din judeţul Brăila” şi un contract de concesiune servicii pentru desemnarea operatorilor sistemului de management integrat al deşeurilor din judeţul Brăila.</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Contractul de finanțare prin POS Mediu s-a semnat în septembrie 2013. Valoarea totală a proiectului este de 117.510.033 lei inclusiv TVA, din care valoarea eligibilă conform POS Mediu este de 104.266.631 lei, împărțită pe surse de finanțare astfel:</w:t>
      </w:r>
    </w:p>
    <w:p w:rsidR="003F451C" w:rsidRPr="00F94584" w:rsidRDefault="003F451C" w:rsidP="00882FB1">
      <w:pPr>
        <w:widowControl w:val="0"/>
        <w:numPr>
          <w:ilvl w:val="0"/>
          <w:numId w:val="77"/>
        </w:numPr>
        <w:ind w:left="1498" w:hanging="364"/>
        <w:jc w:val="both"/>
        <w:rPr>
          <w:rFonts w:ascii="Arial" w:hAnsi="Arial" w:cs="Arial"/>
          <w:lang w:val="it-IT"/>
        </w:rPr>
      </w:pPr>
      <w:r w:rsidRPr="00F94584">
        <w:rPr>
          <w:rFonts w:ascii="Arial" w:hAnsi="Arial" w:cs="Arial"/>
          <w:lang w:val="it-IT"/>
        </w:rPr>
        <w:t>finanţare nerambursabilă din Fondul European de Dezvoltare Regională şi din bugetul de stat: 103.184.362 lei</w:t>
      </w:r>
    </w:p>
    <w:p w:rsidR="003F451C" w:rsidRPr="00F94584" w:rsidRDefault="003F451C" w:rsidP="00882FB1">
      <w:pPr>
        <w:widowControl w:val="0"/>
        <w:numPr>
          <w:ilvl w:val="0"/>
          <w:numId w:val="77"/>
        </w:numPr>
        <w:ind w:firstLine="720"/>
        <w:jc w:val="both"/>
        <w:rPr>
          <w:rFonts w:ascii="Arial" w:hAnsi="Arial" w:cs="Arial"/>
          <w:lang w:val="it-IT"/>
        </w:rPr>
      </w:pPr>
      <w:r w:rsidRPr="00F94584">
        <w:rPr>
          <w:rFonts w:ascii="Arial" w:hAnsi="Arial" w:cs="Arial"/>
          <w:lang w:val="it-IT"/>
        </w:rPr>
        <w:t>contribuţia Beneficiarului, din bugetul local: 1.042.269 lei</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lastRenderedPageBreak/>
        <w:t xml:space="preserve">Beneficiarul direct al proiectului va fi Consiliul Judeţean Brăila (în numele Asociaţiei de Dezvoltare Intercomunitară „Eco Dunărea” Brăila).Beneficiarii finali ai acestui proiect de management al deşeurilor vor fi gospodăriile din judeţ, instituţiile administrative şi sociale, precum şi agenţii economici ce îşi desfăşoară activitatea în Judeţul Brăila, în funcţie de tipul de deşeu pe care îl produc. Indirect, întreaga populaţie a judeţului va beneficia de pe urma acestui proiect, prin faptul că toţi vor utiliza un sistem de management al deşeurilor cu un impact redus asupra mediului înconjurator. </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Implementarea proiectului prevede atribuirea şi derularea a cinci contracte de servicii de asistenţă tehnică şi audit şi trei contracte de lucrări:</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1. Închidere depozit vechi şi construcţie depozit ecologic şi staţie de sortare laIanca;</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2. Construcţie staţie de transfer la Însurăţei;</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3. Construcţie staţie sortare şi staţie de tratare mecano-biologică la Vădeni.</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 xml:space="preserve">Colectarea de la populaţie se va face pe două fracţii, umed şi uscat, excepţie făcând localităţile izolate cu producţii scăzute de deşeuri şi pentru zonele aglomerate urbane. </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 xml:space="preserve">  Până la realizarea investiţiilor planificate s-a implementat deja o soluţie tranzitorie de colectare şi eliminare a deşeurilor menajere din judeţ prin :</w:t>
      </w:r>
    </w:p>
    <w:p w:rsidR="003F451C" w:rsidRPr="00F94584" w:rsidRDefault="003F451C" w:rsidP="003F451C">
      <w:pPr>
        <w:widowControl w:val="0"/>
        <w:ind w:firstLine="720"/>
        <w:jc w:val="both"/>
        <w:rPr>
          <w:rFonts w:ascii="Arial" w:hAnsi="Arial" w:cs="Arial"/>
          <w:lang w:val="it-IT"/>
        </w:rPr>
      </w:pPr>
    </w:p>
    <w:p w:rsidR="003F451C" w:rsidRPr="00F94584" w:rsidRDefault="003F451C" w:rsidP="00882FB1">
      <w:pPr>
        <w:pStyle w:val="Implicit"/>
        <w:numPr>
          <w:ilvl w:val="0"/>
          <w:numId w:val="85"/>
        </w:numPr>
        <w:tabs>
          <w:tab w:val="clear" w:pos="720"/>
          <w:tab w:val="left" w:pos="187"/>
          <w:tab w:val="left" w:pos="935"/>
          <w:tab w:val="left" w:pos="1260"/>
          <w:tab w:val="left" w:pos="1620"/>
        </w:tabs>
        <w:spacing w:after="0" w:line="115" w:lineRule="atLeast"/>
        <w:ind w:left="748" w:firstLine="0"/>
        <w:jc w:val="both"/>
        <w:rPr>
          <w:rFonts w:ascii="Arial" w:hAnsi="Arial" w:cs="Arial"/>
          <w:color w:val="auto"/>
          <w:lang w:val="ro-RO"/>
        </w:rPr>
      </w:pPr>
      <w:r w:rsidRPr="00F94584">
        <w:rPr>
          <w:rFonts w:ascii="Arial" w:hAnsi="Arial" w:cs="Arial"/>
          <w:color w:val="auto"/>
          <w:lang w:val="ro-RO"/>
        </w:rPr>
        <w:t xml:space="preserve">amenajarea a 10 puncte zonale de colectare prevăzute cu containere de mare capacitate (32mc) în localitățile: Frecăţei, Șuțești, Surdila Găiseanca, Bărăganu, Viziru, Cireşu, Jirlău, Movila Miresii, Silistraru şi Măxineni; </w:t>
      </w:r>
    </w:p>
    <w:p w:rsidR="003F451C" w:rsidRPr="00F94584" w:rsidRDefault="003F451C" w:rsidP="00882FB1">
      <w:pPr>
        <w:pStyle w:val="Implicit"/>
        <w:numPr>
          <w:ilvl w:val="0"/>
          <w:numId w:val="85"/>
        </w:numPr>
        <w:tabs>
          <w:tab w:val="clear" w:pos="720"/>
          <w:tab w:val="left" w:pos="187"/>
          <w:tab w:val="left" w:pos="935"/>
          <w:tab w:val="left" w:pos="1260"/>
          <w:tab w:val="left" w:pos="1620"/>
        </w:tabs>
        <w:spacing w:after="0" w:line="115" w:lineRule="atLeast"/>
        <w:ind w:left="748" w:firstLine="0"/>
        <w:jc w:val="both"/>
        <w:rPr>
          <w:rFonts w:ascii="Arial" w:hAnsi="Arial" w:cs="Arial"/>
          <w:color w:val="auto"/>
        </w:rPr>
      </w:pPr>
      <w:r w:rsidRPr="00F94584">
        <w:rPr>
          <w:rFonts w:ascii="Arial" w:hAnsi="Arial" w:cs="Arial"/>
          <w:color w:val="auto"/>
        </w:rPr>
        <w:t xml:space="preserve">fiecărui punct de colectare îi sunt arondate câte 3-4 comune, fiecare răspunde pentru colectarea deşeurilor de la populaţie şi depunerea la punctele zonale. Deşeurile sunt colectate de la locuinţe în saci de plastic, transportate cu ajutorul tractoarelor cu remorcă şi descărcate în containere; </w:t>
      </w:r>
    </w:p>
    <w:p w:rsidR="003F451C" w:rsidRPr="00F94584" w:rsidRDefault="003F451C" w:rsidP="00882FB1">
      <w:pPr>
        <w:pStyle w:val="Implicit"/>
        <w:numPr>
          <w:ilvl w:val="0"/>
          <w:numId w:val="85"/>
        </w:numPr>
        <w:tabs>
          <w:tab w:val="clear" w:pos="720"/>
          <w:tab w:val="left" w:pos="187"/>
          <w:tab w:val="left" w:pos="935"/>
          <w:tab w:val="left" w:pos="1260"/>
          <w:tab w:val="left" w:pos="1620"/>
        </w:tabs>
        <w:spacing w:after="0" w:line="115" w:lineRule="atLeast"/>
        <w:ind w:left="748" w:firstLine="0"/>
        <w:jc w:val="both"/>
        <w:rPr>
          <w:rFonts w:ascii="Arial" w:hAnsi="Arial" w:cs="Arial"/>
          <w:color w:val="auto"/>
        </w:rPr>
      </w:pPr>
      <w:r w:rsidRPr="00F94584">
        <w:rPr>
          <w:rFonts w:ascii="Arial" w:hAnsi="Arial" w:cs="Arial"/>
          <w:color w:val="auto"/>
        </w:rPr>
        <w:t>colectarea de la populaţie se realizează prin: 6 operatori de salubritate care operează numai în zona rurală, 2 operatori care deservesc şi municipiul Brăila sau prin servicii proprii de salubrizare organizate de administraţia publică locală, astfel încât toate localităţile beneficiază de servicii de salubrizare.</w:t>
      </w:r>
    </w:p>
    <w:p w:rsidR="003F451C" w:rsidRPr="00F94584" w:rsidRDefault="003F451C" w:rsidP="00882FB1">
      <w:pPr>
        <w:numPr>
          <w:ilvl w:val="0"/>
          <w:numId w:val="85"/>
        </w:numPr>
        <w:shd w:val="clear" w:color="auto" w:fill="FFFFFF"/>
        <w:tabs>
          <w:tab w:val="clear" w:pos="1260"/>
          <w:tab w:val="num" w:pos="851"/>
        </w:tabs>
        <w:ind w:left="709" w:firstLine="0"/>
        <w:jc w:val="both"/>
        <w:rPr>
          <w:rFonts w:ascii="Arial" w:hAnsi="Arial" w:cs="Arial"/>
        </w:rPr>
      </w:pPr>
      <w:r w:rsidRPr="00F94584">
        <w:rPr>
          <w:rFonts w:ascii="Arial" w:hAnsi="Arial" w:cs="Arial"/>
        </w:rPr>
        <w:t>transportul deșeurilor menajere de la punctele de colectare pana la depozitul ecologic Muchea se realizeaza de catre operatorul de salubritate desemnat in urma procedurii de achizitie publica, cu ajutorul unui cap tractor cu sistem de incarcare – descarcare – basculare cu carlig, si a 11 containere metalice de capacitate mare, proprietate a Consiliului Judetean Braila</w:t>
      </w:r>
    </w:p>
    <w:p w:rsidR="003F451C" w:rsidRPr="00F94584" w:rsidRDefault="003F451C" w:rsidP="00882FB1">
      <w:pPr>
        <w:pStyle w:val="Implicit"/>
        <w:numPr>
          <w:ilvl w:val="0"/>
          <w:numId w:val="85"/>
        </w:numPr>
        <w:tabs>
          <w:tab w:val="clear" w:pos="720"/>
          <w:tab w:val="left" w:pos="187"/>
          <w:tab w:val="left" w:pos="935"/>
          <w:tab w:val="left" w:pos="1260"/>
          <w:tab w:val="left" w:pos="1620"/>
        </w:tabs>
        <w:spacing w:after="0" w:line="115" w:lineRule="atLeast"/>
        <w:ind w:left="748" w:firstLine="0"/>
        <w:jc w:val="both"/>
        <w:rPr>
          <w:rFonts w:ascii="Arial" w:hAnsi="Arial" w:cs="Arial"/>
          <w:color w:val="auto"/>
        </w:rPr>
      </w:pPr>
      <w:r w:rsidRPr="00F94584">
        <w:rPr>
          <w:rFonts w:ascii="Arial" w:hAnsi="Arial" w:cs="Arial"/>
          <w:color w:val="auto"/>
        </w:rPr>
        <w:t>după umplere containerele sunt transportate de către S.C. RECORWOOD S.R.L. (prin contract</w:t>
      </w:r>
      <w:r w:rsidRPr="00F94584">
        <w:rPr>
          <w:rFonts w:ascii="Arial" w:hAnsi="Arial" w:cs="Arial"/>
          <w:color w:val="auto"/>
          <w:lang w:val="ro-RO"/>
        </w:rPr>
        <w:t xml:space="preserve"> de delegare a gestiunii prin concesiune a serviciului de transport</w:t>
      </w:r>
      <w:r w:rsidRPr="00F94584">
        <w:rPr>
          <w:rFonts w:ascii="Arial" w:hAnsi="Arial" w:cs="Arial"/>
          <w:color w:val="auto"/>
        </w:rPr>
        <w:t xml:space="preserve"> încheiat cu ADI </w:t>
      </w:r>
      <w:r w:rsidRPr="00F94584">
        <w:rPr>
          <w:rFonts w:ascii="Arial" w:hAnsi="Arial" w:cs="Arial"/>
          <w:color w:val="auto"/>
          <w:lang w:val="ro-RO"/>
        </w:rPr>
        <w:t xml:space="preserve">,,ECO DUNĂREA" Brăila) </w:t>
      </w:r>
      <w:r w:rsidRPr="00F94584">
        <w:rPr>
          <w:rFonts w:ascii="Arial" w:hAnsi="Arial" w:cs="Arial"/>
          <w:color w:val="auto"/>
        </w:rPr>
        <w:t xml:space="preserve">la depozitul Muchea pentru eliminare. Containerele vor fi integrate ulterior în sistemul noilor investiţii şi vor deservi localităţile din Insula Mare a Brăilei precum şi municipiul Brăila pentru deşeurile din parcuri şi grădini care vor fi compostate. </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ab/>
        <w:t>Soluţia implementată asigură un grad de acoperire cu servicii de salubritate de 100% în mediul rural, dar cu caracter temporar, și are caracter de tranziţie până la darea în exploatare a investiţiilor proiectate (sfârșitul anului 2015).</w:t>
      </w:r>
    </w:p>
    <w:p w:rsidR="003F451C" w:rsidRPr="00F94584" w:rsidRDefault="003F451C" w:rsidP="003F451C">
      <w:pPr>
        <w:pStyle w:val="BodyTextIndent2BodyTextIndent2Char"/>
        <w:ind w:left="0" w:right="23"/>
        <w:rPr>
          <w:rFonts w:ascii="Arial" w:hAnsi="Arial" w:cs="Arial"/>
          <w:bCs/>
          <w:sz w:val="24"/>
          <w:szCs w:val="24"/>
        </w:rPr>
      </w:pPr>
    </w:p>
    <w:p w:rsidR="003F451C" w:rsidRPr="00716325" w:rsidRDefault="003F451C" w:rsidP="003F451C">
      <w:pPr>
        <w:tabs>
          <w:tab w:val="left" w:pos="1358"/>
          <w:tab w:val="left" w:leader="dot" w:pos="9356"/>
        </w:tabs>
        <w:ind w:left="993"/>
        <w:rPr>
          <w:rFonts w:ascii="Arial" w:hAnsi="Arial" w:cs="Arial"/>
          <w:b/>
          <w:lang w:val="ro-RO"/>
        </w:rPr>
      </w:pPr>
      <w:bookmarkStart w:id="6" w:name="_GoBack"/>
      <w:bookmarkEnd w:id="6"/>
      <w:r w:rsidRPr="00716325">
        <w:rPr>
          <w:rFonts w:ascii="Arial" w:hAnsi="Arial" w:cs="Arial"/>
          <w:b/>
          <w:lang w:val="ro-RO"/>
        </w:rPr>
        <w:t>VII.1.5.Tendinţe şi prognoze privind generarea deşeurilor</w:t>
      </w:r>
    </w:p>
    <w:p w:rsidR="003F451C" w:rsidRPr="00F94584" w:rsidRDefault="003F451C" w:rsidP="003F451C">
      <w:pPr>
        <w:widowControl w:val="0"/>
        <w:ind w:firstLine="720"/>
        <w:jc w:val="both"/>
        <w:rPr>
          <w:rFonts w:ascii="Arial" w:hAnsi="Arial" w:cs="Arial"/>
          <w:lang w:val="it-IT"/>
        </w:rPr>
      </w:pPr>
      <w:r w:rsidRPr="00F94584">
        <w:rPr>
          <w:rFonts w:ascii="Arial" w:hAnsi="Arial" w:cs="Arial"/>
          <w:lang w:val="it-IT"/>
        </w:rPr>
        <w:t>Cu toate ca s-au inregistrat progrese în ceea ce privește gestionarea deșeurilor municipale, inexistenta infrastructurii integrate de gestionare face ca anumite ținte să nu poata fi realizate și anume:</w:t>
      </w:r>
    </w:p>
    <w:p w:rsidR="003F451C" w:rsidRPr="00F94584" w:rsidRDefault="003F451C" w:rsidP="00882FB1">
      <w:pPr>
        <w:pStyle w:val="Textdetabel"/>
        <w:numPr>
          <w:ilvl w:val="0"/>
          <w:numId w:val="86"/>
        </w:numPr>
        <w:jc w:val="both"/>
        <w:rPr>
          <w:rFonts w:ascii="Arial" w:hAnsi="Arial" w:cs="Arial"/>
          <w:sz w:val="24"/>
          <w:szCs w:val="24"/>
        </w:rPr>
      </w:pPr>
      <w:r w:rsidRPr="00F94584">
        <w:rPr>
          <w:rFonts w:ascii="Arial" w:hAnsi="Arial" w:cs="Arial"/>
          <w:sz w:val="24"/>
          <w:szCs w:val="24"/>
        </w:rPr>
        <w:t xml:space="preserve">reducerea cantitatilor de deșeuri biodegradabile care ajung la eliminare prin depozitare, care pana in 2016 trebuie sa reprezinte numai 35% din cantitatile depozitate in 1995. În acest scop a fost stabilit un obiectiv anual de diminuare cu 15% care înca nu se poate </w:t>
      </w:r>
      <w:r w:rsidRPr="00F94584">
        <w:rPr>
          <w:rFonts w:ascii="Arial" w:hAnsi="Arial" w:cs="Arial"/>
          <w:sz w:val="24"/>
          <w:szCs w:val="24"/>
        </w:rPr>
        <w:lastRenderedPageBreak/>
        <w:t>realiza integral și pentru care administrația publică trebuie să plătească penalizari din care se constituie Fondul pentru Mediu.</w:t>
      </w:r>
    </w:p>
    <w:p w:rsidR="003F451C" w:rsidRPr="00F94584" w:rsidRDefault="003F451C" w:rsidP="00882FB1">
      <w:pPr>
        <w:pStyle w:val="Textdetabel"/>
        <w:numPr>
          <w:ilvl w:val="0"/>
          <w:numId w:val="86"/>
        </w:numPr>
        <w:jc w:val="both"/>
        <w:rPr>
          <w:rFonts w:ascii="Arial" w:hAnsi="Arial" w:cs="Arial"/>
          <w:sz w:val="24"/>
          <w:szCs w:val="24"/>
        </w:rPr>
      </w:pPr>
      <w:r w:rsidRPr="00F94584">
        <w:rPr>
          <w:rFonts w:ascii="Arial" w:hAnsi="Arial" w:cs="Arial"/>
          <w:sz w:val="24"/>
          <w:szCs w:val="24"/>
        </w:rPr>
        <w:t xml:space="preserve">devierea acestor deșeuri de la depozitare este condiționata de </w:t>
      </w:r>
    </w:p>
    <w:p w:rsidR="003F451C" w:rsidRPr="00F94584" w:rsidRDefault="003F451C" w:rsidP="00882FB1">
      <w:pPr>
        <w:pStyle w:val="Textdetabel"/>
        <w:numPr>
          <w:ilvl w:val="0"/>
          <w:numId w:val="87"/>
        </w:numPr>
        <w:tabs>
          <w:tab w:val="clear" w:pos="360"/>
          <w:tab w:val="num" w:pos="935"/>
        </w:tabs>
        <w:ind w:left="1309"/>
        <w:jc w:val="both"/>
        <w:rPr>
          <w:rFonts w:ascii="Arial" w:hAnsi="Arial" w:cs="Arial"/>
          <w:sz w:val="24"/>
          <w:szCs w:val="24"/>
        </w:rPr>
      </w:pPr>
      <w:r w:rsidRPr="00F94584">
        <w:rPr>
          <w:rFonts w:ascii="Arial" w:hAnsi="Arial" w:cs="Arial"/>
          <w:sz w:val="24"/>
          <w:szCs w:val="24"/>
        </w:rPr>
        <w:t xml:space="preserve">colectarea separata la sursă a deșeurilor reciclabile din deșeurile menajere, </w:t>
      </w:r>
    </w:p>
    <w:p w:rsidR="003F451C" w:rsidRPr="00F94584" w:rsidRDefault="003F451C" w:rsidP="00882FB1">
      <w:pPr>
        <w:pStyle w:val="Textdetabel"/>
        <w:numPr>
          <w:ilvl w:val="0"/>
          <w:numId w:val="87"/>
        </w:numPr>
        <w:tabs>
          <w:tab w:val="clear" w:pos="360"/>
          <w:tab w:val="num" w:pos="935"/>
        </w:tabs>
        <w:ind w:left="1309"/>
        <w:jc w:val="both"/>
        <w:rPr>
          <w:rFonts w:ascii="Arial" w:hAnsi="Arial" w:cs="Arial"/>
          <w:sz w:val="24"/>
          <w:szCs w:val="24"/>
        </w:rPr>
      </w:pPr>
      <w:r w:rsidRPr="00F94584">
        <w:rPr>
          <w:rFonts w:ascii="Arial" w:hAnsi="Arial" w:cs="Arial"/>
          <w:sz w:val="24"/>
          <w:szCs w:val="24"/>
        </w:rPr>
        <w:t xml:space="preserve">de existenta unor dotari suficiente de colectare separata a ambalajelor si a altor tipuri de deșeuri reciclabile si </w:t>
      </w:r>
    </w:p>
    <w:p w:rsidR="003F451C" w:rsidRPr="00F94584" w:rsidRDefault="003F451C" w:rsidP="00882FB1">
      <w:pPr>
        <w:pStyle w:val="Textdetabel"/>
        <w:numPr>
          <w:ilvl w:val="0"/>
          <w:numId w:val="87"/>
        </w:numPr>
        <w:tabs>
          <w:tab w:val="clear" w:pos="360"/>
          <w:tab w:val="num" w:pos="935"/>
        </w:tabs>
        <w:ind w:left="1309"/>
        <w:jc w:val="both"/>
        <w:rPr>
          <w:rFonts w:ascii="Arial" w:hAnsi="Arial" w:cs="Arial"/>
          <w:sz w:val="24"/>
          <w:szCs w:val="24"/>
        </w:rPr>
      </w:pPr>
      <w:r w:rsidRPr="00F94584">
        <w:rPr>
          <w:rFonts w:ascii="Arial" w:hAnsi="Arial" w:cs="Arial"/>
          <w:sz w:val="24"/>
          <w:szCs w:val="24"/>
        </w:rPr>
        <w:t xml:space="preserve">nu in ultimul rand de constientizarea populatiei in vederea utilizarii acestor dotari in care colectarea se bazeaza pe aport propriu. </w:t>
      </w:r>
    </w:p>
    <w:p w:rsidR="003F451C" w:rsidRPr="00F94584" w:rsidRDefault="003F451C" w:rsidP="00882FB1">
      <w:pPr>
        <w:pStyle w:val="Textdetabel"/>
        <w:numPr>
          <w:ilvl w:val="0"/>
          <w:numId w:val="86"/>
        </w:numPr>
        <w:jc w:val="both"/>
        <w:rPr>
          <w:rFonts w:ascii="Arial" w:hAnsi="Arial" w:cs="Arial"/>
          <w:sz w:val="24"/>
          <w:szCs w:val="24"/>
        </w:rPr>
      </w:pPr>
      <w:r w:rsidRPr="00F94584">
        <w:rPr>
          <w:rFonts w:ascii="Arial" w:hAnsi="Arial" w:cs="Arial"/>
          <w:sz w:val="24"/>
          <w:szCs w:val="24"/>
        </w:rPr>
        <w:t>aceleasi cauze ridica riscuri si pentru atingerea obiectivelor de recuperare/valorificare/reciclare a materialelor reciclabile din deșeuri menajere. Pana in 2020 nivelul de pregatire pentru reutilizare si reciclare a hartiei, plasticului si sticlei din deșeuri  menajere trebuie sa atinga 50% din masa totala de deșeuri generate si colectate de la populatie.</w:t>
      </w:r>
    </w:p>
    <w:p w:rsidR="003F451C" w:rsidRPr="00F94584" w:rsidRDefault="003F451C" w:rsidP="00882FB1">
      <w:pPr>
        <w:pStyle w:val="Textdetabel"/>
        <w:numPr>
          <w:ilvl w:val="0"/>
          <w:numId w:val="86"/>
        </w:numPr>
        <w:jc w:val="both"/>
        <w:rPr>
          <w:rFonts w:ascii="Arial" w:hAnsi="Arial" w:cs="Arial"/>
          <w:sz w:val="24"/>
          <w:szCs w:val="24"/>
        </w:rPr>
      </w:pPr>
      <w:r w:rsidRPr="00F94584">
        <w:rPr>
          <w:rFonts w:ascii="Arial" w:hAnsi="Arial" w:cs="Arial"/>
          <w:sz w:val="24"/>
          <w:szCs w:val="24"/>
        </w:rPr>
        <w:t xml:space="preserve">nu sunt inca implementate solutii de colectare separata a deșeurilor municipale voluminoase si periculoase. </w:t>
      </w:r>
    </w:p>
    <w:p w:rsidR="003F451C" w:rsidRPr="00F94584" w:rsidRDefault="003F451C" w:rsidP="00882FB1">
      <w:pPr>
        <w:pStyle w:val="Textdetabel"/>
        <w:numPr>
          <w:ilvl w:val="0"/>
          <w:numId w:val="86"/>
        </w:numPr>
        <w:jc w:val="both"/>
        <w:rPr>
          <w:rFonts w:ascii="Arial" w:hAnsi="Arial" w:cs="Arial"/>
          <w:sz w:val="24"/>
          <w:szCs w:val="24"/>
        </w:rPr>
      </w:pPr>
      <w:r w:rsidRPr="00F94584">
        <w:rPr>
          <w:rFonts w:ascii="Arial" w:hAnsi="Arial" w:cs="Arial"/>
          <w:sz w:val="24"/>
          <w:szCs w:val="24"/>
        </w:rPr>
        <w:t>pentru deșeuri din demolari, pana in anul 2020 trebuie sa se atinga o rata de valorificare de 70% din totalul cantitatilor produse.</w:t>
      </w:r>
    </w:p>
    <w:p w:rsidR="003F451C" w:rsidRPr="00117620" w:rsidRDefault="003F451C" w:rsidP="003F451C">
      <w:pPr>
        <w:pStyle w:val="ListParagraph"/>
        <w:rPr>
          <w:rFonts w:ascii="Arial" w:hAnsi="Arial" w:cs="Arial"/>
          <w:i/>
        </w:rPr>
      </w:pPr>
    </w:p>
    <w:p w:rsidR="00012F90" w:rsidRPr="002D227D" w:rsidRDefault="00012F90" w:rsidP="00012F90">
      <w:pPr>
        <w:rPr>
          <w:rFonts w:ascii="Arial" w:hAnsi="Arial" w:cs="Arial"/>
          <w:b/>
          <w:sz w:val="28"/>
          <w:szCs w:val="28"/>
          <w:lang w:val="en-US"/>
        </w:rPr>
      </w:pPr>
      <w:r w:rsidRPr="002D227D">
        <w:rPr>
          <w:rFonts w:ascii="Arial" w:hAnsi="Arial" w:cs="Arial"/>
          <w:b/>
          <w:sz w:val="28"/>
          <w:szCs w:val="28"/>
          <w:lang w:val="en-US"/>
        </w:rPr>
        <w:t xml:space="preserve"> IX MEDIUL URBAN, SǍNǍTATEA ŞI CALITATEA VIEŢII</w:t>
      </w:r>
    </w:p>
    <w:p w:rsidR="00012F90" w:rsidRPr="00445B38" w:rsidRDefault="00012F90" w:rsidP="00012F90">
      <w:pPr>
        <w:rPr>
          <w:rFonts w:ascii="Arial" w:hAnsi="Arial" w:cs="Arial"/>
          <w:b/>
          <w:i/>
          <w:lang w:val="en-US"/>
        </w:rPr>
      </w:pPr>
      <w:r w:rsidRPr="00445B38">
        <w:rPr>
          <w:rFonts w:ascii="Arial" w:hAnsi="Arial" w:cs="Arial"/>
          <w:b/>
          <w:i/>
          <w:lang w:val="en-US"/>
        </w:rPr>
        <w:t>IX.1.Mediul urban şi calitatea vieţii:</w:t>
      </w:r>
      <w:r>
        <w:rPr>
          <w:rFonts w:ascii="Arial" w:hAnsi="Arial" w:cs="Arial"/>
          <w:b/>
          <w:i/>
          <w:lang w:val="en-US"/>
        </w:rPr>
        <w:t xml:space="preserve"> </w:t>
      </w:r>
      <w:r w:rsidRPr="00445B38">
        <w:rPr>
          <w:rFonts w:ascii="Arial" w:hAnsi="Arial" w:cs="Arial"/>
          <w:b/>
          <w:i/>
          <w:lang w:val="en-US"/>
        </w:rPr>
        <w:t>stare şi consecinţe</w:t>
      </w:r>
    </w:p>
    <w:p w:rsidR="00012F90" w:rsidRPr="00137802" w:rsidRDefault="00012F90" w:rsidP="00012F90">
      <w:pPr>
        <w:rPr>
          <w:rFonts w:ascii="Arial" w:hAnsi="Arial" w:cs="Arial"/>
          <w:b/>
          <w:lang w:val="en-US"/>
        </w:rPr>
      </w:pPr>
      <w:r>
        <w:rPr>
          <w:rFonts w:ascii="Arial" w:hAnsi="Arial" w:cs="Arial"/>
          <w:lang w:val="en-US"/>
        </w:rPr>
        <w:t xml:space="preserve">      </w:t>
      </w:r>
      <w:r w:rsidRPr="00137802">
        <w:rPr>
          <w:rFonts w:ascii="Arial" w:hAnsi="Arial" w:cs="Arial"/>
          <w:b/>
          <w:lang w:val="en-US"/>
        </w:rPr>
        <w:t>IX .1.1.Calitatea aerului din aglomerările urbane şi efectele asupra sănătăţii</w:t>
      </w:r>
    </w:p>
    <w:p w:rsidR="00012F90" w:rsidRPr="00416F01" w:rsidRDefault="00012F90" w:rsidP="00012F90">
      <w:pPr>
        <w:ind w:left="708"/>
        <w:rPr>
          <w:rFonts w:ascii="Arial" w:hAnsi="Arial" w:cs="Arial"/>
          <w:lang w:val="en-US"/>
        </w:rPr>
      </w:pPr>
      <w:r w:rsidRPr="00B854D5">
        <w:rPr>
          <w:rFonts w:ascii="Arial" w:hAnsi="Arial" w:cs="Arial"/>
          <w:b/>
        </w:rPr>
        <w:t>IX.1.1.1. Depăşiri ale concentraţiei medii anuale de PM10, NO2, SO2 şi O3 în anumite aglomerări urbane</w:t>
      </w:r>
      <w:r>
        <w:rPr>
          <w:rFonts w:ascii="Arial" w:hAnsi="Arial" w:cs="Arial"/>
          <w:b/>
        </w:rPr>
        <w:t xml:space="preserve">  </w:t>
      </w:r>
      <w:r w:rsidRPr="00416F01">
        <w:rPr>
          <w:rFonts w:ascii="Arial" w:hAnsi="Arial" w:cs="Arial"/>
          <w:lang w:val="en-US"/>
        </w:rPr>
        <w:t>A. Indicatori Specifici - Cod indicator România RO 04</w:t>
      </w:r>
    </w:p>
    <w:p w:rsidR="00012F90" w:rsidRPr="00654D79" w:rsidRDefault="00012F90" w:rsidP="00012F90">
      <w:pPr>
        <w:rPr>
          <w:rFonts w:ascii="Arial" w:hAnsi="Arial" w:cs="Arial"/>
        </w:rPr>
      </w:pPr>
      <w:r w:rsidRPr="00B854D5">
        <w:rPr>
          <w:rFonts w:ascii="Arial" w:hAnsi="Arial" w:cs="Arial"/>
          <w:b/>
        </w:rPr>
        <w:t xml:space="preserve">Tabel nr. IX.1.1.1. </w:t>
      </w:r>
      <w:r>
        <w:rPr>
          <w:rFonts w:ascii="Arial" w:hAnsi="Arial" w:cs="Arial"/>
          <w:b/>
        </w:rPr>
        <w:t>–</w:t>
      </w:r>
      <w:r w:rsidRPr="00B854D5">
        <w:rPr>
          <w:rFonts w:ascii="Arial" w:hAnsi="Arial" w:cs="Arial"/>
          <w:b/>
        </w:rPr>
        <w:t xml:space="preserve"> 1</w:t>
      </w:r>
      <w:r>
        <w:rPr>
          <w:rFonts w:ascii="Arial" w:hAnsi="Arial" w:cs="Arial"/>
          <w:b/>
        </w:rPr>
        <w:t xml:space="preserve"> </w:t>
      </w:r>
      <w:r w:rsidRPr="00B854D5">
        <w:rPr>
          <w:rFonts w:ascii="Arial" w:hAnsi="Arial" w:cs="Arial"/>
        </w:rPr>
        <w:t>Concentraţiile medii ale poluanţilor monitorizaţi în aglomerarea Brăila</w:t>
      </w:r>
    </w:p>
    <w:tbl>
      <w:tblPr>
        <w:tblW w:w="4714" w:type="pct"/>
        <w:jc w:val="center"/>
        <w:tblInd w:w="392" w:type="dxa"/>
        <w:tblBorders>
          <w:top w:val="single" w:sz="12" w:space="0" w:color="000000"/>
          <w:left w:val="single" w:sz="12" w:space="0" w:color="000000"/>
          <w:bottom w:val="single" w:sz="12" w:space="0" w:color="000000"/>
          <w:right w:val="single" w:sz="12" w:space="0" w:color="000000"/>
          <w:insideH w:val="single" w:sz="6" w:space="0" w:color="000000"/>
          <w:insideV w:val="single" w:sz="6" w:space="0" w:color="000000"/>
        </w:tblBorders>
        <w:tblLook w:val="0000"/>
      </w:tblPr>
      <w:tblGrid>
        <w:gridCol w:w="1915"/>
        <w:gridCol w:w="1466"/>
        <w:gridCol w:w="1084"/>
        <w:gridCol w:w="951"/>
        <w:gridCol w:w="952"/>
        <w:gridCol w:w="817"/>
        <w:gridCol w:w="866"/>
        <w:gridCol w:w="817"/>
        <w:gridCol w:w="824"/>
      </w:tblGrid>
      <w:tr w:rsidR="00012F90" w:rsidRPr="00654D79" w:rsidTr="00012F90">
        <w:trPr>
          <w:trHeight w:val="255"/>
          <w:jc w:val="center"/>
        </w:trPr>
        <w:tc>
          <w:tcPr>
            <w:tcW w:w="988" w:type="pct"/>
            <w:vMerge w:val="restart"/>
            <w:tcBorders>
              <w:top w:val="single" w:sz="12" w:space="0" w:color="000000"/>
              <w:left w:val="single" w:sz="12" w:space="0" w:color="000000"/>
              <w:bottom w:val="single" w:sz="6" w:space="0" w:color="000000"/>
              <w:right w:val="single" w:sz="6" w:space="0" w:color="000000"/>
            </w:tcBorders>
            <w:shd w:val="clear" w:color="auto" w:fill="FBD4B4" w:themeFill="accent6" w:themeFillTint="66"/>
            <w:noWrap/>
            <w:vAlign w:val="center"/>
          </w:tcPr>
          <w:p w:rsidR="00012F90" w:rsidRPr="00654D79" w:rsidRDefault="00012F90" w:rsidP="00012F90">
            <w:pPr>
              <w:tabs>
                <w:tab w:val="center" w:pos="4680"/>
                <w:tab w:val="right" w:pos="9000"/>
              </w:tabs>
              <w:jc w:val="center"/>
              <w:rPr>
                <w:rFonts w:ascii="Arial" w:hAnsi="Arial" w:cs="Arial"/>
                <w:b/>
                <w:color w:val="000000"/>
              </w:rPr>
            </w:pPr>
            <w:r w:rsidRPr="00654D79">
              <w:rPr>
                <w:rFonts w:ascii="Arial" w:hAnsi="Arial" w:cs="Arial"/>
                <w:b/>
                <w:color w:val="000000"/>
              </w:rPr>
              <w:t>POLUANT</w:t>
            </w:r>
          </w:p>
        </w:tc>
        <w:tc>
          <w:tcPr>
            <w:tcW w:w="757" w:type="pct"/>
            <w:vMerge w:val="restart"/>
            <w:tcBorders>
              <w:top w:val="single" w:sz="12" w:space="0" w:color="000000"/>
              <w:left w:val="single" w:sz="6" w:space="0" w:color="000000"/>
              <w:bottom w:val="single" w:sz="6" w:space="0" w:color="000000"/>
              <w:right w:val="single" w:sz="6" w:space="0" w:color="000000"/>
            </w:tcBorders>
            <w:shd w:val="clear" w:color="auto" w:fill="FBD4B4" w:themeFill="accent6" w:themeFillTint="66"/>
            <w:noWrap/>
            <w:vAlign w:val="center"/>
          </w:tcPr>
          <w:p w:rsidR="00012F90" w:rsidRPr="00654D79" w:rsidRDefault="00012F90" w:rsidP="00012F90">
            <w:pPr>
              <w:tabs>
                <w:tab w:val="center" w:pos="4680"/>
                <w:tab w:val="right" w:pos="9000"/>
              </w:tabs>
              <w:jc w:val="center"/>
              <w:rPr>
                <w:rFonts w:ascii="Arial" w:hAnsi="Arial" w:cs="Arial"/>
                <w:b/>
                <w:color w:val="000000"/>
              </w:rPr>
            </w:pPr>
            <w:r w:rsidRPr="00654D79">
              <w:rPr>
                <w:rFonts w:ascii="Arial" w:hAnsi="Arial" w:cs="Arial"/>
                <w:b/>
                <w:color w:val="000000"/>
              </w:rPr>
              <w:t>Tip staţie</w:t>
            </w:r>
          </w:p>
          <w:p w:rsidR="00012F90" w:rsidRPr="00654D79" w:rsidRDefault="00012F90" w:rsidP="00012F90">
            <w:pPr>
              <w:tabs>
                <w:tab w:val="center" w:pos="4680"/>
                <w:tab w:val="right" w:pos="9000"/>
              </w:tabs>
              <w:jc w:val="center"/>
              <w:rPr>
                <w:rFonts w:ascii="Arial" w:hAnsi="Arial" w:cs="Arial"/>
                <w:b/>
                <w:color w:val="000000"/>
              </w:rPr>
            </w:pPr>
          </w:p>
          <w:p w:rsidR="00012F90" w:rsidRPr="00654D79" w:rsidRDefault="00012F90" w:rsidP="00012F90">
            <w:pPr>
              <w:tabs>
                <w:tab w:val="center" w:pos="4680"/>
                <w:tab w:val="right" w:pos="9000"/>
              </w:tabs>
              <w:jc w:val="center"/>
              <w:rPr>
                <w:rFonts w:ascii="Arial" w:hAnsi="Arial" w:cs="Arial"/>
                <w:color w:val="000000"/>
              </w:rPr>
            </w:pPr>
          </w:p>
        </w:tc>
        <w:tc>
          <w:tcPr>
            <w:tcW w:w="3255" w:type="pct"/>
            <w:gridSpan w:val="7"/>
            <w:tcBorders>
              <w:top w:val="single" w:sz="12" w:space="0" w:color="000000"/>
              <w:left w:val="single" w:sz="6" w:space="0" w:color="000000"/>
              <w:bottom w:val="single" w:sz="6" w:space="0" w:color="000000"/>
              <w:right w:val="single" w:sz="12" w:space="0" w:color="000000"/>
            </w:tcBorders>
            <w:shd w:val="clear" w:color="auto" w:fill="FBD4B4" w:themeFill="accent6" w:themeFillTint="66"/>
            <w:noWrap/>
            <w:vAlign w:val="center"/>
          </w:tcPr>
          <w:p w:rsidR="00012F90" w:rsidRPr="00654D79" w:rsidRDefault="00012F90" w:rsidP="00012F90">
            <w:pPr>
              <w:tabs>
                <w:tab w:val="center" w:pos="4680"/>
                <w:tab w:val="right" w:pos="9000"/>
              </w:tabs>
              <w:jc w:val="center"/>
              <w:rPr>
                <w:rFonts w:ascii="Arial" w:hAnsi="Arial" w:cs="Arial"/>
                <w:b/>
                <w:color w:val="000000"/>
              </w:rPr>
            </w:pPr>
            <w:r w:rsidRPr="00654D79">
              <w:rPr>
                <w:rFonts w:ascii="Arial" w:hAnsi="Arial" w:cs="Arial"/>
                <w:b/>
                <w:color w:val="000000"/>
              </w:rPr>
              <w:t>Concentraţia medie anuală</w:t>
            </w:r>
          </w:p>
        </w:tc>
      </w:tr>
      <w:tr w:rsidR="00012F90" w:rsidRPr="00654D79" w:rsidTr="00012F90">
        <w:trPr>
          <w:trHeight w:val="295"/>
          <w:jc w:val="center"/>
        </w:trPr>
        <w:tc>
          <w:tcPr>
            <w:tcW w:w="988" w:type="pct"/>
            <w:vMerge/>
            <w:tcBorders>
              <w:top w:val="single" w:sz="12" w:space="0" w:color="000000"/>
              <w:left w:val="single" w:sz="12" w:space="0" w:color="000000"/>
              <w:bottom w:val="single" w:sz="6" w:space="0" w:color="000000"/>
              <w:right w:val="single" w:sz="6" w:space="0" w:color="000000"/>
            </w:tcBorders>
            <w:shd w:val="clear" w:color="auto" w:fill="FBD4B4" w:themeFill="accent6" w:themeFillTint="66"/>
            <w:vAlign w:val="center"/>
          </w:tcPr>
          <w:p w:rsidR="00012F90" w:rsidRPr="00654D79" w:rsidRDefault="00012F90" w:rsidP="00012F90">
            <w:pPr>
              <w:rPr>
                <w:rFonts w:ascii="Arial" w:hAnsi="Arial" w:cs="Arial"/>
              </w:rPr>
            </w:pPr>
          </w:p>
        </w:tc>
        <w:tc>
          <w:tcPr>
            <w:tcW w:w="757" w:type="pct"/>
            <w:vMerge/>
            <w:tcBorders>
              <w:top w:val="single" w:sz="12" w:space="0" w:color="000000"/>
              <w:left w:val="single" w:sz="6" w:space="0" w:color="000000"/>
              <w:bottom w:val="single" w:sz="6" w:space="0" w:color="000000"/>
              <w:right w:val="single" w:sz="6" w:space="0" w:color="000000"/>
            </w:tcBorders>
            <w:shd w:val="clear" w:color="auto" w:fill="FBD4B4" w:themeFill="accent6" w:themeFillTint="66"/>
            <w:vAlign w:val="center"/>
          </w:tcPr>
          <w:p w:rsidR="00012F90" w:rsidRPr="00654D79" w:rsidRDefault="00012F90" w:rsidP="00012F90">
            <w:pPr>
              <w:rPr>
                <w:rFonts w:ascii="Arial" w:hAnsi="Arial" w:cs="Arial"/>
              </w:rPr>
            </w:pPr>
          </w:p>
        </w:tc>
        <w:tc>
          <w:tcPr>
            <w:tcW w:w="559" w:type="pct"/>
            <w:tcBorders>
              <w:top w:val="single" w:sz="6" w:space="0" w:color="000000"/>
              <w:left w:val="single" w:sz="6" w:space="0" w:color="000000"/>
              <w:bottom w:val="single" w:sz="6" w:space="0" w:color="000000"/>
              <w:right w:val="single" w:sz="4" w:space="0" w:color="auto"/>
            </w:tcBorders>
            <w:shd w:val="clear" w:color="auto" w:fill="FBD4B4" w:themeFill="accent6" w:themeFillTint="66"/>
            <w:vAlign w:val="center"/>
          </w:tcPr>
          <w:p w:rsidR="00012F90" w:rsidRPr="00654D79" w:rsidRDefault="00012F90" w:rsidP="00012F90">
            <w:pPr>
              <w:jc w:val="center"/>
              <w:rPr>
                <w:rFonts w:ascii="Arial" w:hAnsi="Arial" w:cs="Arial"/>
                <w:b/>
              </w:rPr>
            </w:pPr>
            <w:r w:rsidRPr="00654D79">
              <w:rPr>
                <w:rFonts w:ascii="Arial" w:hAnsi="Arial" w:cs="Arial"/>
                <w:b/>
                <w:color w:val="000000"/>
              </w:rPr>
              <w:t>2008</w:t>
            </w:r>
          </w:p>
        </w:tc>
        <w:tc>
          <w:tcPr>
            <w:tcW w:w="491" w:type="pct"/>
            <w:tcBorders>
              <w:top w:val="single" w:sz="6" w:space="0" w:color="000000"/>
              <w:left w:val="single" w:sz="4" w:space="0" w:color="auto"/>
              <w:bottom w:val="single" w:sz="6" w:space="0" w:color="000000"/>
              <w:right w:val="single" w:sz="4" w:space="0" w:color="auto"/>
            </w:tcBorders>
            <w:shd w:val="clear" w:color="auto" w:fill="FBD4B4" w:themeFill="accent6" w:themeFillTint="66"/>
            <w:noWrap/>
            <w:vAlign w:val="center"/>
          </w:tcPr>
          <w:p w:rsidR="00012F90" w:rsidRPr="00654D79" w:rsidRDefault="00012F90" w:rsidP="00012F90">
            <w:pPr>
              <w:tabs>
                <w:tab w:val="center" w:pos="4680"/>
                <w:tab w:val="right" w:pos="9000"/>
              </w:tabs>
              <w:jc w:val="center"/>
              <w:rPr>
                <w:rFonts w:ascii="Arial" w:hAnsi="Arial" w:cs="Arial"/>
                <w:b/>
                <w:color w:val="000000"/>
              </w:rPr>
            </w:pPr>
            <w:r w:rsidRPr="00654D79">
              <w:rPr>
                <w:rFonts w:ascii="Arial" w:hAnsi="Arial" w:cs="Arial"/>
                <w:b/>
                <w:color w:val="000000"/>
              </w:rPr>
              <w:t>2009</w:t>
            </w:r>
          </w:p>
        </w:tc>
        <w:tc>
          <w:tcPr>
            <w:tcW w:w="491" w:type="pct"/>
            <w:tcBorders>
              <w:top w:val="single" w:sz="6" w:space="0" w:color="000000"/>
              <w:left w:val="single" w:sz="4" w:space="0" w:color="auto"/>
              <w:bottom w:val="single" w:sz="6" w:space="0" w:color="000000"/>
              <w:right w:val="single" w:sz="4" w:space="0" w:color="auto"/>
            </w:tcBorders>
            <w:shd w:val="clear" w:color="auto" w:fill="FBD4B4" w:themeFill="accent6" w:themeFillTint="66"/>
            <w:vAlign w:val="center"/>
          </w:tcPr>
          <w:p w:rsidR="00012F90" w:rsidRPr="00654D79" w:rsidRDefault="00012F90" w:rsidP="00012F90">
            <w:pPr>
              <w:tabs>
                <w:tab w:val="center" w:pos="4680"/>
                <w:tab w:val="right" w:pos="9000"/>
              </w:tabs>
              <w:jc w:val="center"/>
              <w:rPr>
                <w:rFonts w:ascii="Arial" w:hAnsi="Arial" w:cs="Arial"/>
                <w:b/>
                <w:color w:val="000000"/>
              </w:rPr>
            </w:pPr>
            <w:r w:rsidRPr="00654D79">
              <w:rPr>
                <w:rFonts w:ascii="Arial" w:hAnsi="Arial" w:cs="Arial"/>
                <w:b/>
                <w:color w:val="000000"/>
              </w:rPr>
              <w:t>2010</w:t>
            </w:r>
          </w:p>
        </w:tc>
        <w:tc>
          <w:tcPr>
            <w:tcW w:w="421" w:type="pct"/>
            <w:tcBorders>
              <w:top w:val="single" w:sz="6" w:space="0" w:color="000000"/>
              <w:left w:val="single" w:sz="4" w:space="0" w:color="auto"/>
              <w:bottom w:val="single" w:sz="6" w:space="0" w:color="000000"/>
              <w:right w:val="single" w:sz="8" w:space="0" w:color="000000"/>
            </w:tcBorders>
            <w:shd w:val="clear" w:color="auto" w:fill="FBD4B4" w:themeFill="accent6" w:themeFillTint="66"/>
            <w:vAlign w:val="center"/>
          </w:tcPr>
          <w:p w:rsidR="00012F90" w:rsidRPr="00654D79" w:rsidRDefault="00012F90" w:rsidP="00012F90">
            <w:pPr>
              <w:tabs>
                <w:tab w:val="center" w:pos="4680"/>
                <w:tab w:val="right" w:pos="9000"/>
              </w:tabs>
              <w:jc w:val="center"/>
              <w:rPr>
                <w:rFonts w:ascii="Arial" w:hAnsi="Arial" w:cs="Arial"/>
                <w:b/>
                <w:color w:val="000000"/>
              </w:rPr>
            </w:pPr>
            <w:r>
              <w:rPr>
                <w:rFonts w:ascii="Arial" w:hAnsi="Arial" w:cs="Arial"/>
                <w:b/>
                <w:color w:val="000000"/>
              </w:rPr>
              <w:t>2011</w:t>
            </w:r>
          </w:p>
        </w:tc>
        <w:tc>
          <w:tcPr>
            <w:tcW w:w="447" w:type="pct"/>
            <w:tcBorders>
              <w:top w:val="single" w:sz="6" w:space="0" w:color="000000"/>
              <w:left w:val="single" w:sz="8" w:space="0" w:color="000000"/>
              <w:bottom w:val="single" w:sz="6" w:space="0" w:color="000000"/>
              <w:right w:val="single" w:sz="8" w:space="0" w:color="000000"/>
            </w:tcBorders>
            <w:shd w:val="clear" w:color="auto" w:fill="FBD4B4" w:themeFill="accent6" w:themeFillTint="66"/>
            <w:vAlign w:val="center"/>
          </w:tcPr>
          <w:p w:rsidR="00012F90" w:rsidRDefault="00012F90" w:rsidP="00012F90">
            <w:pPr>
              <w:tabs>
                <w:tab w:val="center" w:pos="4680"/>
                <w:tab w:val="right" w:pos="9000"/>
              </w:tabs>
              <w:jc w:val="center"/>
              <w:rPr>
                <w:rFonts w:ascii="Arial" w:hAnsi="Arial" w:cs="Arial"/>
                <w:b/>
                <w:color w:val="000000"/>
              </w:rPr>
            </w:pPr>
            <w:r>
              <w:rPr>
                <w:rFonts w:ascii="Arial" w:hAnsi="Arial" w:cs="Arial"/>
                <w:b/>
                <w:color w:val="000000"/>
              </w:rPr>
              <w:t>2012</w:t>
            </w:r>
          </w:p>
        </w:tc>
        <w:tc>
          <w:tcPr>
            <w:tcW w:w="421" w:type="pct"/>
            <w:tcBorders>
              <w:top w:val="single" w:sz="6" w:space="0" w:color="000000"/>
              <w:left w:val="single" w:sz="8" w:space="0" w:color="000000"/>
              <w:bottom w:val="single" w:sz="6" w:space="0" w:color="000000"/>
              <w:right w:val="single" w:sz="8" w:space="0" w:color="000000"/>
            </w:tcBorders>
            <w:shd w:val="clear" w:color="auto" w:fill="FBD4B4" w:themeFill="accent6" w:themeFillTint="66"/>
            <w:vAlign w:val="center"/>
          </w:tcPr>
          <w:p w:rsidR="00012F90" w:rsidRDefault="00012F90" w:rsidP="00012F90">
            <w:pPr>
              <w:tabs>
                <w:tab w:val="center" w:pos="4680"/>
                <w:tab w:val="right" w:pos="9000"/>
              </w:tabs>
              <w:jc w:val="center"/>
              <w:rPr>
                <w:rFonts w:ascii="Arial" w:hAnsi="Arial" w:cs="Arial"/>
                <w:b/>
                <w:color w:val="000000"/>
              </w:rPr>
            </w:pPr>
            <w:r>
              <w:rPr>
                <w:rFonts w:ascii="Arial" w:hAnsi="Arial" w:cs="Arial"/>
                <w:b/>
                <w:color w:val="000000"/>
              </w:rPr>
              <w:t>2013</w:t>
            </w:r>
          </w:p>
        </w:tc>
        <w:tc>
          <w:tcPr>
            <w:tcW w:w="426" w:type="pct"/>
            <w:tcBorders>
              <w:top w:val="single" w:sz="6" w:space="0" w:color="000000"/>
              <w:left w:val="single" w:sz="8" w:space="0" w:color="000000"/>
              <w:bottom w:val="single" w:sz="6" w:space="0" w:color="000000"/>
              <w:right w:val="single" w:sz="12" w:space="0" w:color="000000"/>
            </w:tcBorders>
            <w:shd w:val="clear" w:color="auto" w:fill="FBD4B4" w:themeFill="accent6" w:themeFillTint="66"/>
            <w:vAlign w:val="center"/>
          </w:tcPr>
          <w:p w:rsidR="00012F90" w:rsidRDefault="00012F90" w:rsidP="00012F90">
            <w:pPr>
              <w:tabs>
                <w:tab w:val="center" w:pos="4680"/>
                <w:tab w:val="right" w:pos="9000"/>
              </w:tabs>
              <w:jc w:val="center"/>
              <w:rPr>
                <w:rFonts w:ascii="Arial" w:hAnsi="Arial" w:cs="Arial"/>
                <w:b/>
                <w:color w:val="000000"/>
              </w:rPr>
            </w:pPr>
            <w:r>
              <w:rPr>
                <w:rFonts w:ascii="Arial" w:hAnsi="Arial" w:cs="Arial"/>
                <w:b/>
                <w:color w:val="000000"/>
              </w:rPr>
              <w:t>2014</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color w:val="000000"/>
              </w:rPr>
            </w:pPr>
            <w:r w:rsidRPr="00654D79">
              <w:rPr>
                <w:rFonts w:ascii="Arial" w:hAnsi="Arial" w:cs="Arial"/>
                <w:color w:val="000000"/>
              </w:rPr>
              <w:t>SO</w:t>
            </w:r>
            <w:r w:rsidRPr="00654D79">
              <w:rPr>
                <w:rFonts w:ascii="Arial" w:hAnsi="Arial" w:cs="Arial"/>
                <w:color w:val="000000"/>
                <w:vertAlign w:val="subscript"/>
              </w:rPr>
              <w:t xml:space="preserve">2 </w:t>
            </w:r>
            <w:r w:rsidRPr="00654D79">
              <w:rPr>
                <w:rFonts w:ascii="Arial" w:hAnsi="Arial" w:cs="Arial"/>
                <w:color w:val="000000"/>
              </w:rPr>
              <w:t>(µg/mc)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11,62</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11,73</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10,63</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9,49</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12,28</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14,39</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16,60</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14,00</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8,01</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3,51</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8,63</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14,74</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color w:val="000000"/>
              </w:rPr>
            </w:pPr>
          </w:p>
          <w:p w:rsidR="00012F90" w:rsidRPr="00654D79" w:rsidRDefault="00012F90" w:rsidP="00012F90">
            <w:pPr>
              <w:tabs>
                <w:tab w:val="center" w:pos="4680"/>
                <w:tab w:val="right" w:pos="9000"/>
              </w:tabs>
              <w:jc w:val="center"/>
              <w:rPr>
                <w:rFonts w:ascii="Arial" w:hAnsi="Arial" w:cs="Arial"/>
                <w:color w:val="000000"/>
              </w:rPr>
            </w:pPr>
            <w:r w:rsidRPr="00654D79">
              <w:rPr>
                <w:rFonts w:ascii="Arial" w:hAnsi="Arial" w:cs="Arial"/>
                <w:color w:val="000000"/>
              </w:rPr>
              <w:t>PM10 (µg/mc)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34,02</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29,51</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22,61</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31,52</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28,1</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24,5</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32,5</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28,07</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36,15</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46,03</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28,54</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22,64</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29,07</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color w:val="000000"/>
              </w:rPr>
            </w:pPr>
            <w:r w:rsidRPr="00654D79">
              <w:rPr>
                <w:rFonts w:ascii="Arial" w:hAnsi="Arial" w:cs="Arial"/>
                <w:color w:val="000000"/>
              </w:rPr>
              <w:t>O</w:t>
            </w:r>
            <w:r w:rsidRPr="00654D79">
              <w:rPr>
                <w:rFonts w:ascii="Arial" w:hAnsi="Arial" w:cs="Arial"/>
                <w:color w:val="000000"/>
                <w:vertAlign w:val="subscript"/>
              </w:rPr>
              <w:t xml:space="preserve">3 </w:t>
            </w:r>
            <w:r w:rsidRPr="00654D79">
              <w:rPr>
                <w:rFonts w:ascii="Arial" w:hAnsi="Arial" w:cs="Arial"/>
                <w:color w:val="000000"/>
              </w:rPr>
              <w:t>(µg/mc)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72,66</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65,38</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63,30</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67,42</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57,39</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20,02</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63,16</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68,8</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66,00</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52,50</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71,80</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69,60</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48,24</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color w:val="000000"/>
              </w:rPr>
            </w:pPr>
            <w:r w:rsidRPr="00654D79">
              <w:rPr>
                <w:rFonts w:ascii="Arial" w:hAnsi="Arial" w:cs="Arial"/>
                <w:color w:val="000000"/>
              </w:rPr>
              <w:t>NO</w:t>
            </w:r>
            <w:r w:rsidRPr="00654D79">
              <w:rPr>
                <w:rFonts w:ascii="Arial" w:hAnsi="Arial" w:cs="Arial"/>
                <w:color w:val="000000"/>
                <w:vertAlign w:val="subscript"/>
              </w:rPr>
              <w:t xml:space="preserve">2 </w:t>
            </w:r>
            <w:r w:rsidRPr="00654D79">
              <w:rPr>
                <w:rFonts w:ascii="Arial" w:hAnsi="Arial" w:cs="Arial"/>
                <w:color w:val="000000"/>
              </w:rPr>
              <w:t>(µg/mc)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15,76</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12,25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23,94</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25,36</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24,94</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3,86</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15.5</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12,65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9,98</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10,50</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21,70</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5,15</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43,02</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30,73</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28,09</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30,52</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color w:val="000000"/>
              </w:rPr>
            </w:pPr>
            <w:r w:rsidRPr="00654D79">
              <w:rPr>
                <w:rFonts w:ascii="Arial" w:hAnsi="Arial" w:cs="Arial"/>
                <w:color w:val="000000"/>
              </w:rPr>
              <w:t>NO</w:t>
            </w:r>
            <w:r w:rsidRPr="00654D79">
              <w:rPr>
                <w:rFonts w:ascii="Arial" w:hAnsi="Arial" w:cs="Arial"/>
                <w:color w:val="000000"/>
                <w:vertAlign w:val="subscript"/>
              </w:rPr>
              <w:t xml:space="preserve">x </w:t>
            </w:r>
            <w:r w:rsidRPr="00654D79">
              <w:rPr>
                <w:rFonts w:ascii="Arial" w:hAnsi="Arial" w:cs="Arial"/>
                <w:color w:val="000000"/>
              </w:rPr>
              <w:t>(µg/mc)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21,29</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19,09</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32,95</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33,21</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34,49</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12,14</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20,8</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16,25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17,83</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17,25</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31,62</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14,30</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61,58</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55,37</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43,68</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43,83</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color w:val="000000"/>
              </w:rPr>
            </w:pPr>
            <w:r w:rsidRPr="00654D79">
              <w:rPr>
                <w:rFonts w:ascii="Arial" w:hAnsi="Arial" w:cs="Arial"/>
                <w:color w:val="000000"/>
              </w:rPr>
              <w:t>CO (mg/mc)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0,12</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0,12</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0,13</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0,13</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0,19</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0,15</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0,22</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0,16</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0,104</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0,1</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0,15</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0,26</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0,07</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0,08</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0,98</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0,40</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0,19</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0,42</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0,27</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Pb (µg/mc)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0,04231</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jc w:val="cente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tabs>
                <w:tab w:val="center" w:pos="4680"/>
                <w:tab w:val="right" w:pos="9000"/>
              </w:tabs>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0,0301</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0,0075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0,0052</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jc w:val="cente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0,0463</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0,0009</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0,0085</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val="restart"/>
            <w:tcBorders>
              <w:top w:val="single" w:sz="6" w:space="0" w:color="000000"/>
              <w:left w:val="single" w:sz="12"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Benzen (µg/mc)</w:t>
            </w: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Fond urban</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3,145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0,25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0,13</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vMerge/>
            <w:tcBorders>
              <w:top w:val="single" w:sz="6" w:space="0" w:color="000000"/>
              <w:left w:val="single" w:sz="12" w:space="0" w:color="000000"/>
              <w:bottom w:val="single" w:sz="6" w:space="0" w:color="000000"/>
              <w:right w:val="single" w:sz="6" w:space="0" w:color="000000"/>
            </w:tcBorders>
            <w:shd w:val="clear" w:color="auto" w:fill="FDE9D9" w:themeFill="accent6" w:themeFillTint="33"/>
            <w:vAlign w:val="center"/>
          </w:tcPr>
          <w:p w:rsidR="00012F90" w:rsidRPr="00654D79" w:rsidRDefault="00012F90" w:rsidP="00012F90">
            <w:pPr>
              <w:jc w:val="center"/>
              <w:rPr>
                <w:rFonts w:ascii="Arial" w:hAnsi="Arial" w:cs="Arial"/>
              </w:rPr>
            </w:pPr>
          </w:p>
        </w:tc>
        <w:tc>
          <w:tcPr>
            <w:tcW w:w="757" w:type="pct"/>
            <w:tcBorders>
              <w:top w:val="single" w:sz="6" w:space="0" w:color="000000"/>
              <w:left w:val="single" w:sz="6" w:space="0" w:color="000000"/>
              <w:bottom w:val="single" w:sz="6"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T</w:t>
            </w:r>
          </w:p>
        </w:tc>
        <w:tc>
          <w:tcPr>
            <w:tcW w:w="559" w:type="pct"/>
            <w:tcBorders>
              <w:top w:val="single" w:sz="6" w:space="0" w:color="000000"/>
              <w:left w:val="single" w:sz="6" w:space="0" w:color="000000"/>
              <w:bottom w:val="single" w:sz="6"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4,65</w:t>
            </w:r>
          </w:p>
        </w:tc>
        <w:tc>
          <w:tcPr>
            <w:tcW w:w="491" w:type="pct"/>
            <w:tcBorders>
              <w:top w:val="single" w:sz="6" w:space="0" w:color="000000"/>
              <w:left w:val="single" w:sz="4" w:space="0" w:color="auto"/>
              <w:bottom w:val="single" w:sz="6" w:space="0" w:color="000000"/>
              <w:right w:val="single" w:sz="4" w:space="0" w:color="auto"/>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2,41</w:t>
            </w:r>
          </w:p>
        </w:tc>
        <w:tc>
          <w:tcPr>
            <w:tcW w:w="421" w:type="pct"/>
            <w:tcBorders>
              <w:top w:val="single" w:sz="6" w:space="0" w:color="000000"/>
              <w:left w:val="single" w:sz="4" w:space="0" w:color="auto"/>
              <w:bottom w:val="single" w:sz="6"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c>
          <w:tcPr>
            <w:tcW w:w="421" w:type="pct"/>
            <w:tcBorders>
              <w:top w:val="single" w:sz="6" w:space="0" w:color="000000"/>
              <w:left w:val="single" w:sz="8" w:space="0" w:color="000000"/>
              <w:bottom w:val="single" w:sz="6"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6"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r w:rsidR="00012F90" w:rsidRPr="00654D79" w:rsidTr="00012F90">
        <w:trPr>
          <w:trHeight w:val="255"/>
          <w:jc w:val="center"/>
        </w:trPr>
        <w:tc>
          <w:tcPr>
            <w:tcW w:w="988" w:type="pct"/>
            <w:tcBorders>
              <w:top w:val="single" w:sz="6" w:space="0" w:color="000000"/>
              <w:left w:val="single" w:sz="12" w:space="0" w:color="000000"/>
              <w:bottom w:val="single" w:sz="12"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lastRenderedPageBreak/>
              <w:t>PM</w:t>
            </w:r>
            <w:r w:rsidRPr="00654D79">
              <w:rPr>
                <w:rFonts w:ascii="Arial" w:hAnsi="Arial" w:cs="Arial"/>
                <w:vertAlign w:val="subscript"/>
              </w:rPr>
              <w:t xml:space="preserve">2.5 </w:t>
            </w:r>
            <w:r w:rsidRPr="00654D79">
              <w:rPr>
                <w:rFonts w:ascii="Arial" w:hAnsi="Arial" w:cs="Arial"/>
              </w:rPr>
              <w:t>(µg/mc)</w:t>
            </w:r>
          </w:p>
        </w:tc>
        <w:tc>
          <w:tcPr>
            <w:tcW w:w="757" w:type="pct"/>
            <w:tcBorders>
              <w:top w:val="single" w:sz="6" w:space="0" w:color="000000"/>
              <w:left w:val="single" w:sz="6" w:space="0" w:color="000000"/>
              <w:bottom w:val="single" w:sz="12" w:space="0" w:color="000000"/>
              <w:right w:val="single" w:sz="6" w:space="0" w:color="000000"/>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In</w:t>
            </w:r>
          </w:p>
        </w:tc>
        <w:tc>
          <w:tcPr>
            <w:tcW w:w="559" w:type="pct"/>
            <w:tcBorders>
              <w:top w:val="single" w:sz="6" w:space="0" w:color="000000"/>
              <w:left w:val="single" w:sz="6" w:space="0" w:color="000000"/>
              <w:bottom w:val="single" w:sz="12" w:space="0" w:color="000000"/>
              <w:right w:val="single" w:sz="4" w:space="0" w:color="auto"/>
            </w:tcBorders>
            <w:shd w:val="clear" w:color="auto" w:fill="FDE9D9" w:themeFill="accent6" w:themeFillTint="33"/>
            <w:vAlign w:val="center"/>
          </w:tcPr>
          <w:p w:rsidR="00012F90" w:rsidRPr="00654D79" w:rsidRDefault="00012F90" w:rsidP="00012F90">
            <w:pPr>
              <w:jc w:val="center"/>
              <w:rPr>
                <w:rFonts w:ascii="Arial" w:hAnsi="Arial" w:cs="Arial"/>
              </w:rPr>
            </w:pPr>
            <w:r w:rsidRPr="00654D79">
              <w:rPr>
                <w:rFonts w:ascii="Arial" w:hAnsi="Arial" w:cs="Arial"/>
              </w:rPr>
              <w:t>-</w:t>
            </w:r>
          </w:p>
        </w:tc>
        <w:tc>
          <w:tcPr>
            <w:tcW w:w="491" w:type="pct"/>
            <w:tcBorders>
              <w:top w:val="single" w:sz="6" w:space="0" w:color="000000"/>
              <w:left w:val="single" w:sz="4" w:space="0" w:color="auto"/>
              <w:bottom w:val="single" w:sz="12" w:space="0" w:color="000000"/>
              <w:right w:val="single" w:sz="4" w:space="0" w:color="auto"/>
            </w:tcBorders>
            <w:shd w:val="clear" w:color="auto" w:fill="FDE9D9" w:themeFill="accent6" w:themeFillTint="33"/>
            <w:noWrap/>
            <w:vAlign w:val="center"/>
          </w:tcPr>
          <w:p w:rsidR="00012F90" w:rsidRPr="00654D79" w:rsidRDefault="00012F90" w:rsidP="00012F90">
            <w:pPr>
              <w:jc w:val="center"/>
              <w:rPr>
                <w:rFonts w:ascii="Arial" w:hAnsi="Arial" w:cs="Arial"/>
              </w:rPr>
            </w:pPr>
            <w:r w:rsidRPr="00654D79">
              <w:rPr>
                <w:rFonts w:ascii="Arial" w:hAnsi="Arial" w:cs="Arial"/>
              </w:rPr>
              <w:t>15,46</w:t>
            </w:r>
          </w:p>
        </w:tc>
        <w:tc>
          <w:tcPr>
            <w:tcW w:w="491" w:type="pct"/>
            <w:tcBorders>
              <w:top w:val="single" w:sz="6" w:space="0" w:color="000000"/>
              <w:left w:val="single" w:sz="4" w:space="0" w:color="auto"/>
              <w:bottom w:val="single" w:sz="12"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w:t>
            </w:r>
          </w:p>
        </w:tc>
        <w:tc>
          <w:tcPr>
            <w:tcW w:w="421" w:type="pct"/>
            <w:tcBorders>
              <w:top w:val="single" w:sz="6" w:space="0" w:color="000000"/>
              <w:left w:val="single" w:sz="8" w:space="0" w:color="000000"/>
              <w:bottom w:val="single" w:sz="12" w:space="0" w:color="000000"/>
              <w:right w:val="single" w:sz="8" w:space="0" w:color="000000"/>
            </w:tcBorders>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w:t>
            </w:r>
          </w:p>
        </w:tc>
        <w:tc>
          <w:tcPr>
            <w:tcW w:w="447" w:type="pct"/>
            <w:tcBorders>
              <w:top w:val="single" w:sz="6" w:space="0" w:color="000000"/>
              <w:left w:val="single" w:sz="8" w:space="0" w:color="000000"/>
              <w:bottom w:val="single" w:sz="12"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0,93</w:t>
            </w:r>
          </w:p>
        </w:tc>
        <w:tc>
          <w:tcPr>
            <w:tcW w:w="421" w:type="pct"/>
            <w:tcBorders>
              <w:top w:val="single" w:sz="6" w:space="0" w:color="000000"/>
              <w:left w:val="single" w:sz="8" w:space="0" w:color="000000"/>
              <w:bottom w:val="single" w:sz="12" w:space="0" w:color="000000"/>
              <w:right w:val="single" w:sz="8" w:space="0" w:color="000000"/>
            </w:tcBorders>
            <w:shd w:val="clear" w:color="auto" w:fill="FDE9D9" w:themeFill="accent6" w:themeFillTint="33"/>
          </w:tcPr>
          <w:p w:rsidR="00012F90" w:rsidRDefault="00012F90" w:rsidP="00012F90">
            <w:pPr>
              <w:jc w:val="center"/>
              <w:rPr>
                <w:rFonts w:ascii="Arial" w:hAnsi="Arial" w:cs="Arial"/>
              </w:rPr>
            </w:pPr>
            <w:r>
              <w:rPr>
                <w:rFonts w:ascii="Arial" w:hAnsi="Arial" w:cs="Arial"/>
              </w:rPr>
              <w:t>-</w:t>
            </w:r>
          </w:p>
        </w:tc>
        <w:tc>
          <w:tcPr>
            <w:tcW w:w="426" w:type="pct"/>
            <w:tcBorders>
              <w:top w:val="single" w:sz="6" w:space="0" w:color="000000"/>
              <w:left w:val="single" w:sz="8" w:space="0" w:color="000000"/>
              <w:bottom w:val="single" w:sz="12" w:space="0" w:color="000000"/>
              <w:right w:val="single" w:sz="12" w:space="0" w:color="000000"/>
            </w:tcBorders>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w:t>
            </w:r>
          </w:p>
        </w:tc>
      </w:tr>
    </w:tbl>
    <w:p w:rsidR="00012F90" w:rsidRDefault="00012F90" w:rsidP="00012F90">
      <w:pPr>
        <w:jc w:val="both"/>
        <w:rPr>
          <w:rFonts w:ascii="Arial" w:hAnsi="Arial" w:cs="Arial"/>
          <w:b/>
        </w:rPr>
      </w:pPr>
    </w:p>
    <w:p w:rsidR="00012F90" w:rsidRDefault="00012F90" w:rsidP="00012F90">
      <w:pPr>
        <w:rPr>
          <w:rFonts w:ascii="Arial" w:hAnsi="Arial" w:cs="Arial"/>
          <w:b/>
          <w:vertAlign w:val="subscript"/>
        </w:rPr>
      </w:pPr>
      <w:r w:rsidRPr="00B854D5">
        <w:rPr>
          <w:rFonts w:ascii="Arial" w:hAnsi="Arial" w:cs="Arial"/>
        </w:rPr>
        <w:t xml:space="preserve">În anul 2014 nu </w:t>
      </w:r>
      <w:r>
        <w:rPr>
          <w:rFonts w:ascii="Arial" w:hAnsi="Arial" w:cs="Arial"/>
        </w:rPr>
        <w:t>au existat</w:t>
      </w:r>
      <w:r w:rsidRPr="00B854D5">
        <w:rPr>
          <w:rFonts w:ascii="Arial" w:hAnsi="Arial" w:cs="Arial"/>
        </w:rPr>
        <w:t xml:space="preserve"> depăşiri ale concentraţiilor medii anuale de PM10, NO</w:t>
      </w:r>
      <w:r w:rsidRPr="00B854D5">
        <w:rPr>
          <w:rFonts w:ascii="Arial" w:hAnsi="Arial" w:cs="Arial"/>
          <w:vertAlign w:val="subscript"/>
        </w:rPr>
        <w:t>2</w:t>
      </w:r>
      <w:r w:rsidRPr="00B854D5">
        <w:rPr>
          <w:rFonts w:ascii="Arial" w:hAnsi="Arial" w:cs="Arial"/>
        </w:rPr>
        <w:t>, SO</w:t>
      </w:r>
      <w:r w:rsidRPr="00B854D5">
        <w:rPr>
          <w:rFonts w:ascii="Arial" w:hAnsi="Arial" w:cs="Arial"/>
          <w:vertAlign w:val="subscript"/>
        </w:rPr>
        <w:t>2</w:t>
      </w:r>
      <w:r w:rsidRPr="00B854D5">
        <w:rPr>
          <w:rFonts w:ascii="Arial" w:hAnsi="Arial" w:cs="Arial"/>
        </w:rPr>
        <w:t xml:space="preserve"> şi O</w:t>
      </w:r>
      <w:r w:rsidRPr="00B854D5">
        <w:rPr>
          <w:rFonts w:ascii="Arial" w:hAnsi="Arial" w:cs="Arial"/>
          <w:vertAlign w:val="subscript"/>
        </w:rPr>
        <w:t>3</w:t>
      </w:r>
      <w:r>
        <w:rPr>
          <w:rFonts w:ascii="Arial" w:hAnsi="Arial" w:cs="Arial"/>
          <w:b/>
          <w:vertAlign w:val="subscript"/>
        </w:rPr>
        <w:t>.</w:t>
      </w:r>
    </w:p>
    <w:p w:rsidR="00012F90" w:rsidRDefault="00012F90" w:rsidP="00012F90">
      <w:pPr>
        <w:rPr>
          <w:rFonts w:ascii="Arial" w:hAnsi="Arial" w:cs="Arial"/>
          <w:b/>
          <w:vertAlign w:val="subscript"/>
        </w:rPr>
      </w:pPr>
    </w:p>
    <w:p w:rsidR="00012F90" w:rsidRPr="00D721CE" w:rsidRDefault="00012F90" w:rsidP="00012F90">
      <w:pPr>
        <w:rPr>
          <w:rFonts w:ascii="Arial" w:hAnsi="Arial" w:cs="Arial"/>
          <w:b/>
          <w:lang w:val="en-US"/>
        </w:rPr>
      </w:pPr>
      <w:r w:rsidRPr="00D721CE">
        <w:rPr>
          <w:rFonts w:ascii="Arial" w:hAnsi="Arial" w:cs="Arial"/>
          <w:b/>
          <w:lang w:val="en-US"/>
        </w:rPr>
        <w:t>B. Alte date și informații specifice</w:t>
      </w:r>
    </w:p>
    <w:p w:rsidR="00012F90" w:rsidRPr="00B854D5" w:rsidRDefault="00012F90" w:rsidP="00012F90">
      <w:pPr>
        <w:rPr>
          <w:rFonts w:ascii="Arial" w:hAnsi="Arial" w:cs="Arial"/>
          <w:lang w:val="en-US"/>
        </w:rPr>
      </w:pPr>
      <w:r w:rsidRPr="00B854D5">
        <w:rPr>
          <w:rFonts w:ascii="Arial" w:hAnsi="Arial" w:cs="Arial"/>
          <w:lang w:val="en-US"/>
        </w:rPr>
        <w:t>Sursele de poluare din mediul urban:</w:t>
      </w:r>
    </w:p>
    <w:p w:rsidR="00012F90" w:rsidRDefault="00012F90" w:rsidP="00012F90">
      <w:pPr>
        <w:rPr>
          <w:rFonts w:ascii="Arial" w:hAnsi="Arial" w:cs="Arial"/>
          <w:lang w:eastAsia="ro-RO"/>
        </w:rPr>
      </w:pPr>
      <w:r w:rsidRPr="00B854D5">
        <w:rPr>
          <w:rFonts w:ascii="Arial" w:hAnsi="Arial" w:cs="Arial"/>
          <w:lang w:eastAsia="ro-RO"/>
        </w:rPr>
        <w:t xml:space="preserve">Principalele surse de poluare a aerului </w:t>
      </w:r>
      <w:r w:rsidRPr="00B854D5">
        <w:rPr>
          <w:rFonts w:ascii="Arial" w:hAnsi="Arial" w:cs="Arial"/>
          <w:lang w:val="en-US"/>
        </w:rPr>
        <w:t>din mediul urban</w:t>
      </w:r>
      <w:r w:rsidRPr="00B854D5">
        <w:rPr>
          <w:rFonts w:ascii="Arial" w:hAnsi="Arial" w:cs="Arial"/>
          <w:lang w:eastAsia="ro-RO"/>
        </w:rPr>
        <w:t xml:space="preserve"> </w:t>
      </w:r>
      <w:r>
        <w:rPr>
          <w:rFonts w:ascii="Arial" w:hAnsi="Arial" w:cs="Arial"/>
          <w:lang w:eastAsia="ro-RO"/>
        </w:rPr>
        <w:t>sunt:</w:t>
      </w:r>
    </w:p>
    <w:p w:rsidR="00012F90" w:rsidRPr="002D165F" w:rsidRDefault="00012F90" w:rsidP="005E6B2E">
      <w:pPr>
        <w:pStyle w:val="ListParagraph"/>
        <w:numPr>
          <w:ilvl w:val="0"/>
          <w:numId w:val="52"/>
        </w:numPr>
        <w:rPr>
          <w:rFonts w:ascii="Arial" w:hAnsi="Arial" w:cs="Arial"/>
        </w:rPr>
      </w:pPr>
      <w:r w:rsidRPr="002D165F">
        <w:rPr>
          <w:rFonts w:ascii="Arial" w:hAnsi="Arial" w:cs="Arial"/>
        </w:rPr>
        <w:t>Traficul,</w:t>
      </w:r>
    </w:p>
    <w:p w:rsidR="00012F90" w:rsidRPr="002D165F" w:rsidRDefault="00012F90" w:rsidP="005E6B2E">
      <w:pPr>
        <w:pStyle w:val="ListParagraph"/>
        <w:numPr>
          <w:ilvl w:val="0"/>
          <w:numId w:val="52"/>
        </w:numPr>
        <w:rPr>
          <w:rFonts w:ascii="Arial" w:hAnsi="Arial" w:cs="Arial"/>
        </w:rPr>
      </w:pPr>
      <w:r w:rsidRPr="002D165F">
        <w:rPr>
          <w:rFonts w:ascii="Arial" w:hAnsi="Arial" w:cs="Arial"/>
        </w:rPr>
        <w:t>Procesele industriale şi</w:t>
      </w:r>
    </w:p>
    <w:p w:rsidR="00012F90" w:rsidRPr="002D165F" w:rsidRDefault="00012F90" w:rsidP="005E6B2E">
      <w:pPr>
        <w:pStyle w:val="ListParagraph"/>
        <w:numPr>
          <w:ilvl w:val="0"/>
          <w:numId w:val="52"/>
        </w:numPr>
        <w:rPr>
          <w:rFonts w:ascii="Arial" w:hAnsi="Arial" w:cs="Arial"/>
          <w:lang w:val="en-US"/>
        </w:rPr>
      </w:pPr>
      <w:r w:rsidRPr="002D165F">
        <w:rPr>
          <w:rFonts w:ascii="Arial" w:hAnsi="Arial" w:cs="Arial"/>
        </w:rPr>
        <w:t>Încălzirea rezidenţială</w:t>
      </w:r>
    </w:p>
    <w:p w:rsidR="00012F90" w:rsidRPr="002D165F" w:rsidRDefault="00012F90" w:rsidP="00012F90">
      <w:pPr>
        <w:pStyle w:val="ListParagraph"/>
        <w:ind w:left="0"/>
        <w:rPr>
          <w:rFonts w:ascii="Arial" w:hAnsi="Arial" w:cs="Arial"/>
          <w:lang w:val="en-US"/>
        </w:rPr>
      </w:pPr>
    </w:p>
    <w:p w:rsidR="00012F90" w:rsidRDefault="00012F90" w:rsidP="00012F90">
      <w:pPr>
        <w:rPr>
          <w:rFonts w:ascii="Arial" w:hAnsi="Arial" w:cs="Arial"/>
          <w:lang w:val="en-US"/>
        </w:rPr>
      </w:pPr>
      <w:r w:rsidRPr="00A01C0B">
        <w:rPr>
          <w:rFonts w:ascii="Arial" w:hAnsi="Arial" w:cs="Arial"/>
          <w:b/>
          <w:lang w:val="en-US"/>
        </w:rPr>
        <w:t xml:space="preserve">Indicatori ai efectelor  poluării aerului  asupra sănătăţii populației umane </w:t>
      </w:r>
    </w:p>
    <w:p w:rsidR="00012F90" w:rsidRDefault="00012F90" w:rsidP="00012F90">
      <w:pPr>
        <w:rPr>
          <w:rFonts w:ascii="Arial" w:hAnsi="Arial" w:cs="Arial"/>
          <w:b/>
        </w:rPr>
      </w:pPr>
    </w:p>
    <w:p w:rsidR="00012F90" w:rsidRDefault="00012F90" w:rsidP="00012F90">
      <w:pPr>
        <w:rPr>
          <w:rFonts w:ascii="Arial" w:hAnsi="Arial" w:cs="Arial"/>
          <w:lang w:val="en-US"/>
        </w:rPr>
      </w:pPr>
      <w:r w:rsidRPr="00B854D5">
        <w:rPr>
          <w:rFonts w:ascii="Arial" w:hAnsi="Arial" w:cs="Arial"/>
          <w:b/>
        </w:rPr>
        <w:t xml:space="preserve">Tabel nr. IX.1.1.1. </w:t>
      </w:r>
      <w:r>
        <w:rPr>
          <w:rFonts w:ascii="Arial" w:hAnsi="Arial" w:cs="Arial"/>
          <w:b/>
        </w:rPr>
        <w:t>–</w:t>
      </w:r>
      <w:r w:rsidRPr="00B854D5">
        <w:rPr>
          <w:rFonts w:ascii="Arial" w:hAnsi="Arial" w:cs="Arial"/>
          <w:b/>
        </w:rPr>
        <w:t xml:space="preserve"> </w:t>
      </w:r>
      <w:r>
        <w:rPr>
          <w:rFonts w:ascii="Arial" w:hAnsi="Arial" w:cs="Arial"/>
          <w:b/>
        </w:rPr>
        <w:t>2 -</w:t>
      </w:r>
      <w:r w:rsidRPr="00F928BF">
        <w:rPr>
          <w:rFonts w:ascii="Arial" w:hAnsi="Arial" w:cs="Arial"/>
          <w:lang w:val="en-US"/>
        </w:rPr>
        <w:t xml:space="preserve"> </w:t>
      </w:r>
      <w:r>
        <w:rPr>
          <w:rFonts w:ascii="Arial" w:hAnsi="Arial" w:cs="Arial"/>
          <w:lang w:val="en-US"/>
        </w:rPr>
        <w:t>Mortalitatea generală, la nivelul  judeţului Brăila, cea datorată afecţiunilor respiratorii şi cea prin afecţiuni cardiovasculare în  perioada 2010 -2014</w:t>
      </w:r>
    </w:p>
    <w:p w:rsidR="00012F90" w:rsidRDefault="00012F90" w:rsidP="00012F90">
      <w:pPr>
        <w:rPr>
          <w:rFonts w:ascii="Arial" w:hAnsi="Arial" w:cs="Arial"/>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28"/>
        <w:gridCol w:w="992"/>
        <w:gridCol w:w="992"/>
        <w:gridCol w:w="851"/>
        <w:gridCol w:w="992"/>
        <w:gridCol w:w="992"/>
      </w:tblGrid>
      <w:tr w:rsidR="00012F90" w:rsidRPr="00114393" w:rsidTr="00012F90">
        <w:tc>
          <w:tcPr>
            <w:tcW w:w="4928"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Judeţul Brăila</w:t>
            </w:r>
          </w:p>
        </w:tc>
        <w:tc>
          <w:tcPr>
            <w:tcW w:w="992"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2010</w:t>
            </w:r>
          </w:p>
        </w:tc>
        <w:tc>
          <w:tcPr>
            <w:tcW w:w="992"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2011</w:t>
            </w:r>
          </w:p>
        </w:tc>
        <w:tc>
          <w:tcPr>
            <w:tcW w:w="851"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2012</w:t>
            </w:r>
          </w:p>
        </w:tc>
        <w:tc>
          <w:tcPr>
            <w:tcW w:w="992"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2013</w:t>
            </w:r>
          </w:p>
        </w:tc>
        <w:tc>
          <w:tcPr>
            <w:tcW w:w="992"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2014</w:t>
            </w:r>
          </w:p>
        </w:tc>
      </w:tr>
      <w:tr w:rsidR="00012F90" w:rsidRPr="00114393" w:rsidTr="00012F90">
        <w:tc>
          <w:tcPr>
            <w:tcW w:w="4928" w:type="dxa"/>
            <w:shd w:val="clear" w:color="auto" w:fill="FDE9D9" w:themeFill="accent6" w:themeFillTint="33"/>
          </w:tcPr>
          <w:p w:rsidR="00012F90" w:rsidRPr="001249C5" w:rsidRDefault="00012F90" w:rsidP="00012F90">
            <w:pPr>
              <w:rPr>
                <w:rFonts w:ascii="Arial" w:hAnsi="Arial" w:cs="Arial"/>
              </w:rPr>
            </w:pPr>
            <w:r>
              <w:rPr>
                <w:rFonts w:ascii="Arial" w:hAnsi="Arial" w:cs="Arial"/>
                <w:lang w:val="en-US"/>
              </w:rPr>
              <w:t xml:space="preserve">Mortalitate </w:t>
            </w:r>
            <w:r>
              <w:rPr>
                <w:rFonts w:ascii="Arial" w:hAnsi="Arial" w:cs="Arial"/>
              </w:rPr>
              <w:t>generală/din care</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4548</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4437</w:t>
            </w:r>
          </w:p>
        </w:tc>
        <w:tc>
          <w:tcPr>
            <w:tcW w:w="851"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4581</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4464</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4455</w:t>
            </w:r>
          </w:p>
        </w:tc>
      </w:tr>
      <w:tr w:rsidR="00012F90" w:rsidRPr="00114393" w:rsidTr="00012F90">
        <w:tc>
          <w:tcPr>
            <w:tcW w:w="4928" w:type="dxa"/>
            <w:shd w:val="clear" w:color="auto" w:fill="FDE9D9" w:themeFill="accent6" w:themeFillTint="33"/>
          </w:tcPr>
          <w:p w:rsidR="00012F90" w:rsidRPr="00114393" w:rsidRDefault="00012F90" w:rsidP="00012F90">
            <w:pPr>
              <w:rPr>
                <w:rFonts w:ascii="Arial" w:hAnsi="Arial" w:cs="Arial"/>
                <w:lang w:val="en-US"/>
              </w:rPr>
            </w:pPr>
            <w:r w:rsidRPr="00114393">
              <w:rPr>
                <w:rFonts w:ascii="Arial" w:hAnsi="Arial" w:cs="Arial"/>
                <w:lang w:val="en-US"/>
              </w:rPr>
              <w:t>Boli ale aparatului circulator (număr cazuri)</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2768</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2614</w:t>
            </w:r>
          </w:p>
        </w:tc>
        <w:tc>
          <w:tcPr>
            <w:tcW w:w="851"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2662</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2560</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2484</w:t>
            </w:r>
          </w:p>
        </w:tc>
      </w:tr>
      <w:tr w:rsidR="00012F90" w:rsidRPr="00114393" w:rsidTr="00012F90">
        <w:tc>
          <w:tcPr>
            <w:tcW w:w="4928" w:type="dxa"/>
            <w:shd w:val="clear" w:color="auto" w:fill="FDE9D9" w:themeFill="accent6" w:themeFillTint="33"/>
          </w:tcPr>
          <w:p w:rsidR="00012F90" w:rsidRPr="00114393" w:rsidRDefault="00012F90" w:rsidP="00012F90">
            <w:pPr>
              <w:rPr>
                <w:rFonts w:ascii="Arial" w:hAnsi="Arial" w:cs="Arial"/>
                <w:lang w:val="en-US"/>
              </w:rPr>
            </w:pPr>
            <w:r w:rsidRPr="00114393">
              <w:rPr>
                <w:rFonts w:ascii="Arial" w:hAnsi="Arial" w:cs="Arial"/>
                <w:lang w:val="en-US"/>
              </w:rPr>
              <w:t>Boală ischemică a inimii (număr cazuri)</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342</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312</w:t>
            </w:r>
          </w:p>
        </w:tc>
        <w:tc>
          <w:tcPr>
            <w:tcW w:w="851"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461</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367</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353</w:t>
            </w:r>
          </w:p>
        </w:tc>
      </w:tr>
      <w:tr w:rsidR="00012F90" w:rsidRPr="00114393" w:rsidTr="00012F90">
        <w:tc>
          <w:tcPr>
            <w:tcW w:w="4928" w:type="dxa"/>
            <w:shd w:val="clear" w:color="auto" w:fill="FDE9D9" w:themeFill="accent6" w:themeFillTint="33"/>
          </w:tcPr>
          <w:p w:rsidR="00012F90" w:rsidRPr="00114393" w:rsidRDefault="00012F90" w:rsidP="00012F90">
            <w:pPr>
              <w:rPr>
                <w:rFonts w:ascii="Arial" w:hAnsi="Arial" w:cs="Arial"/>
                <w:lang w:val="en-US"/>
              </w:rPr>
            </w:pPr>
            <w:r w:rsidRPr="00114393">
              <w:rPr>
                <w:rFonts w:ascii="Arial" w:hAnsi="Arial" w:cs="Arial"/>
                <w:lang w:val="en-US"/>
              </w:rPr>
              <w:t>Boli respiratorii (număr cazuri)</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222</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242</w:t>
            </w:r>
          </w:p>
        </w:tc>
        <w:tc>
          <w:tcPr>
            <w:tcW w:w="851"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256</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237</w:t>
            </w:r>
          </w:p>
        </w:tc>
        <w:tc>
          <w:tcPr>
            <w:tcW w:w="992" w:type="dxa"/>
            <w:shd w:val="clear" w:color="auto" w:fill="FDE9D9" w:themeFill="accent6" w:themeFillTint="33"/>
          </w:tcPr>
          <w:p w:rsidR="00012F90" w:rsidRPr="00114393" w:rsidRDefault="00012F90" w:rsidP="00012F90">
            <w:pPr>
              <w:rPr>
                <w:rFonts w:ascii="Arial" w:hAnsi="Arial" w:cs="Arial"/>
                <w:lang w:val="en-US"/>
              </w:rPr>
            </w:pPr>
            <w:r>
              <w:rPr>
                <w:rFonts w:ascii="Arial" w:hAnsi="Arial" w:cs="Arial"/>
                <w:lang w:val="en-US"/>
              </w:rPr>
              <w:t>260</w:t>
            </w:r>
          </w:p>
        </w:tc>
      </w:tr>
    </w:tbl>
    <w:p w:rsidR="00012F90" w:rsidRDefault="00012F90" w:rsidP="00012F90">
      <w:pPr>
        <w:rPr>
          <w:rFonts w:ascii="Arial" w:hAnsi="Arial" w:cs="Arial"/>
          <w:lang w:val="en-US"/>
        </w:rPr>
      </w:pPr>
    </w:p>
    <w:p w:rsidR="00012F90" w:rsidRDefault="00012F90" w:rsidP="00012F90">
      <w:pPr>
        <w:jc w:val="center"/>
        <w:rPr>
          <w:rFonts w:ascii="Arial" w:hAnsi="Arial" w:cs="Arial"/>
          <w:lang w:val="en-US"/>
        </w:rPr>
      </w:pPr>
      <w:r>
        <w:rPr>
          <w:noProof/>
          <w:lang w:val="ro-RO" w:eastAsia="ro-RO"/>
        </w:rPr>
        <w:drawing>
          <wp:inline distT="0" distB="0" distL="0" distR="0">
            <wp:extent cx="6049645" cy="3211195"/>
            <wp:effectExtent l="19050" t="0" r="27305" b="8255"/>
            <wp:docPr id="84"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18"/>
              </a:graphicData>
            </a:graphic>
          </wp:inline>
        </w:drawing>
      </w:r>
    </w:p>
    <w:p w:rsidR="00012F90" w:rsidRDefault="00012F90" w:rsidP="00012F90">
      <w:pPr>
        <w:rPr>
          <w:rFonts w:ascii="Arial" w:hAnsi="Arial" w:cs="Arial"/>
          <w:lang w:val="en-US"/>
        </w:rPr>
      </w:pPr>
    </w:p>
    <w:p w:rsidR="00012F90" w:rsidRDefault="00012F90" w:rsidP="00012F90">
      <w:pPr>
        <w:rPr>
          <w:rFonts w:ascii="Arial" w:hAnsi="Arial" w:cs="Arial"/>
          <w:lang w:val="en-US"/>
        </w:rPr>
      </w:pPr>
      <w:r w:rsidRPr="00B854D5">
        <w:rPr>
          <w:rFonts w:ascii="Arial" w:hAnsi="Arial" w:cs="Arial"/>
          <w:b/>
        </w:rPr>
        <w:t xml:space="preserve">Tabel nr. IX.1.1.1. </w:t>
      </w:r>
      <w:r>
        <w:rPr>
          <w:rFonts w:ascii="Arial" w:hAnsi="Arial" w:cs="Arial"/>
          <w:b/>
        </w:rPr>
        <w:t>–</w:t>
      </w:r>
      <w:r w:rsidRPr="00B854D5">
        <w:rPr>
          <w:rFonts w:ascii="Arial" w:hAnsi="Arial" w:cs="Arial"/>
          <w:b/>
        </w:rPr>
        <w:t xml:space="preserve"> </w:t>
      </w:r>
      <w:r>
        <w:rPr>
          <w:rFonts w:ascii="Arial" w:hAnsi="Arial" w:cs="Arial"/>
          <w:b/>
        </w:rPr>
        <w:t>3 -</w:t>
      </w:r>
      <w:r w:rsidRPr="00F928BF">
        <w:rPr>
          <w:rFonts w:ascii="Arial" w:hAnsi="Arial" w:cs="Arial"/>
          <w:lang w:val="en-US"/>
        </w:rPr>
        <w:t xml:space="preserve"> </w:t>
      </w:r>
      <w:r>
        <w:rPr>
          <w:rFonts w:ascii="Arial" w:hAnsi="Arial" w:cs="Arial"/>
          <w:lang w:val="en-US"/>
        </w:rPr>
        <w:t>Mortalitate infantilă şi prin afecţiuni respiratorii în mediul Urban în perioada 2010 - 2014</w:t>
      </w:r>
    </w:p>
    <w:p w:rsidR="00012F90" w:rsidRDefault="00012F90" w:rsidP="00012F90">
      <w:pPr>
        <w:rPr>
          <w:rFonts w:ascii="Arial" w:hAnsi="Arial" w:cs="Arial"/>
          <w:lang w:val="en-US"/>
        </w:rPr>
      </w:pPr>
    </w:p>
    <w:tbl>
      <w:tblPr>
        <w:tblW w:w="974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876"/>
        <w:gridCol w:w="990"/>
        <w:gridCol w:w="990"/>
        <w:gridCol w:w="884"/>
        <w:gridCol w:w="1017"/>
        <w:gridCol w:w="990"/>
      </w:tblGrid>
      <w:tr w:rsidR="00012F90" w:rsidRPr="00114393" w:rsidTr="00012F90">
        <w:tc>
          <w:tcPr>
            <w:tcW w:w="4876"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Judeţul Brăila</w:t>
            </w:r>
          </w:p>
        </w:tc>
        <w:tc>
          <w:tcPr>
            <w:tcW w:w="990"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2010</w:t>
            </w:r>
          </w:p>
        </w:tc>
        <w:tc>
          <w:tcPr>
            <w:tcW w:w="990"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2011</w:t>
            </w:r>
          </w:p>
        </w:tc>
        <w:tc>
          <w:tcPr>
            <w:tcW w:w="884"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2012</w:t>
            </w:r>
          </w:p>
        </w:tc>
        <w:tc>
          <w:tcPr>
            <w:tcW w:w="1017"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2013</w:t>
            </w:r>
          </w:p>
        </w:tc>
        <w:tc>
          <w:tcPr>
            <w:tcW w:w="990" w:type="dxa"/>
            <w:shd w:val="clear" w:color="auto" w:fill="FABF8F" w:themeFill="accent6" w:themeFillTint="99"/>
          </w:tcPr>
          <w:p w:rsidR="00012F90" w:rsidRPr="001B3D1D" w:rsidRDefault="00012F90" w:rsidP="00012F90">
            <w:pPr>
              <w:rPr>
                <w:rFonts w:ascii="Arial" w:hAnsi="Arial" w:cs="Arial"/>
                <w:b/>
                <w:lang w:val="en-US"/>
              </w:rPr>
            </w:pPr>
            <w:r w:rsidRPr="001B3D1D">
              <w:rPr>
                <w:rFonts w:ascii="Arial" w:hAnsi="Arial" w:cs="Arial"/>
                <w:b/>
                <w:lang w:val="en-US"/>
              </w:rPr>
              <w:t>2014</w:t>
            </w:r>
          </w:p>
        </w:tc>
      </w:tr>
      <w:tr w:rsidR="00012F90" w:rsidRPr="00114393" w:rsidTr="00012F90">
        <w:tc>
          <w:tcPr>
            <w:tcW w:w="4876" w:type="dxa"/>
            <w:shd w:val="clear" w:color="auto" w:fill="FDE9D9" w:themeFill="accent6" w:themeFillTint="33"/>
          </w:tcPr>
          <w:p w:rsidR="00012F90" w:rsidRPr="00114393" w:rsidRDefault="00012F90" w:rsidP="00012F90">
            <w:pPr>
              <w:rPr>
                <w:rFonts w:ascii="Arial" w:hAnsi="Arial" w:cs="Arial"/>
                <w:lang w:val="en-US"/>
              </w:rPr>
            </w:pPr>
            <w:r w:rsidRPr="00114393">
              <w:rPr>
                <w:rFonts w:ascii="Arial" w:hAnsi="Arial" w:cs="Arial"/>
                <w:lang w:val="en-US"/>
              </w:rPr>
              <w:t xml:space="preserve">Mortalitate infantilă </w:t>
            </w:r>
            <w:r>
              <w:rPr>
                <w:rFonts w:ascii="Arial" w:hAnsi="Arial" w:cs="Arial"/>
                <w:lang w:val="en-US"/>
              </w:rPr>
              <w:t xml:space="preserve">în mediul Urban </w:t>
            </w:r>
            <w:r w:rsidRPr="00114393">
              <w:rPr>
                <w:rFonts w:ascii="Arial" w:hAnsi="Arial" w:cs="Arial"/>
                <w:lang w:val="en-US"/>
              </w:rPr>
              <w:t>(decedaţi sub 1 an la 1000 născuţi vii)</w:t>
            </w:r>
          </w:p>
        </w:tc>
        <w:tc>
          <w:tcPr>
            <w:tcW w:w="990" w:type="dxa"/>
            <w:shd w:val="clear" w:color="auto" w:fill="FDE9D9" w:themeFill="accent6" w:themeFillTint="33"/>
            <w:vAlign w:val="center"/>
          </w:tcPr>
          <w:p w:rsidR="00012F90" w:rsidRPr="00114393" w:rsidRDefault="00012F90" w:rsidP="00012F90">
            <w:pPr>
              <w:jc w:val="center"/>
              <w:rPr>
                <w:rFonts w:ascii="Arial" w:hAnsi="Arial" w:cs="Arial"/>
                <w:lang w:val="en-US"/>
              </w:rPr>
            </w:pPr>
            <w:r>
              <w:rPr>
                <w:rFonts w:ascii="Arial" w:hAnsi="Arial" w:cs="Arial"/>
                <w:lang w:val="en-US"/>
              </w:rPr>
              <w:t xml:space="preserve">9/5,53 </w:t>
            </w: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c>
          <w:tcPr>
            <w:tcW w:w="990" w:type="dxa"/>
            <w:shd w:val="clear" w:color="auto" w:fill="FDE9D9" w:themeFill="accent6" w:themeFillTint="33"/>
            <w:vAlign w:val="center"/>
          </w:tcPr>
          <w:p w:rsidR="00012F90" w:rsidRDefault="00012F90" w:rsidP="00012F90">
            <w:pPr>
              <w:jc w:val="center"/>
              <w:rPr>
                <w:rFonts w:ascii="Arial" w:hAnsi="Arial" w:cs="Arial"/>
                <w:lang w:val="en-US"/>
              </w:rPr>
            </w:pPr>
            <w:r>
              <w:rPr>
                <w:rFonts w:ascii="Arial" w:hAnsi="Arial" w:cs="Arial"/>
                <w:lang w:val="en-US"/>
              </w:rPr>
              <w:t>7/4,98</w:t>
            </w:r>
          </w:p>
          <w:p w:rsidR="00012F90" w:rsidRPr="00114393" w:rsidRDefault="00012F90" w:rsidP="00012F90">
            <w:pPr>
              <w:jc w:val="center"/>
              <w:rPr>
                <w:rFonts w:ascii="Arial" w:hAnsi="Arial" w:cs="Arial"/>
                <w:lang w:val="en-US"/>
              </w:rPr>
            </w:pP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c>
          <w:tcPr>
            <w:tcW w:w="884" w:type="dxa"/>
            <w:shd w:val="clear" w:color="auto" w:fill="FDE9D9" w:themeFill="accent6" w:themeFillTint="33"/>
            <w:vAlign w:val="center"/>
          </w:tcPr>
          <w:p w:rsidR="00012F90" w:rsidRDefault="00012F90" w:rsidP="00012F90">
            <w:pPr>
              <w:jc w:val="center"/>
              <w:rPr>
                <w:rFonts w:ascii="Arial" w:hAnsi="Arial" w:cs="Arial"/>
                <w:lang w:val="en-US"/>
              </w:rPr>
            </w:pPr>
            <w:r>
              <w:rPr>
                <w:rFonts w:ascii="Arial" w:hAnsi="Arial" w:cs="Arial"/>
                <w:lang w:val="en-US"/>
              </w:rPr>
              <w:t>13/9,5</w:t>
            </w:r>
          </w:p>
          <w:p w:rsidR="00012F90" w:rsidRPr="00114393" w:rsidRDefault="00012F90" w:rsidP="00012F90">
            <w:pPr>
              <w:jc w:val="center"/>
              <w:rPr>
                <w:rFonts w:ascii="Arial" w:hAnsi="Arial" w:cs="Arial"/>
                <w:lang w:val="en-US"/>
              </w:rPr>
            </w:pP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c>
          <w:tcPr>
            <w:tcW w:w="1017" w:type="dxa"/>
            <w:shd w:val="clear" w:color="auto" w:fill="FDE9D9" w:themeFill="accent6" w:themeFillTint="33"/>
            <w:vAlign w:val="center"/>
          </w:tcPr>
          <w:p w:rsidR="00012F90" w:rsidRDefault="00012F90" w:rsidP="00012F90">
            <w:pPr>
              <w:jc w:val="center"/>
              <w:rPr>
                <w:rFonts w:ascii="Arial" w:hAnsi="Arial" w:cs="Arial"/>
                <w:lang w:val="en-US"/>
              </w:rPr>
            </w:pPr>
            <w:r>
              <w:rPr>
                <w:rFonts w:ascii="Arial" w:hAnsi="Arial" w:cs="Arial"/>
                <w:lang w:val="en-US"/>
              </w:rPr>
              <w:t>16/12,1</w:t>
            </w:r>
          </w:p>
          <w:p w:rsidR="00012F90" w:rsidRPr="00114393" w:rsidRDefault="00012F90" w:rsidP="00012F90">
            <w:pPr>
              <w:jc w:val="center"/>
              <w:rPr>
                <w:rFonts w:ascii="Arial" w:hAnsi="Arial" w:cs="Arial"/>
                <w:lang w:val="en-US"/>
              </w:rPr>
            </w:pP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c>
          <w:tcPr>
            <w:tcW w:w="990" w:type="dxa"/>
            <w:shd w:val="clear" w:color="auto" w:fill="FDE9D9" w:themeFill="accent6" w:themeFillTint="33"/>
            <w:vAlign w:val="center"/>
          </w:tcPr>
          <w:p w:rsidR="00012F90" w:rsidRDefault="00012F90" w:rsidP="00012F90">
            <w:pPr>
              <w:jc w:val="center"/>
              <w:rPr>
                <w:rFonts w:ascii="Arial" w:hAnsi="Arial" w:cs="Arial"/>
                <w:lang w:val="en-US"/>
              </w:rPr>
            </w:pPr>
            <w:r>
              <w:rPr>
                <w:rFonts w:ascii="Arial" w:hAnsi="Arial" w:cs="Arial"/>
                <w:lang w:val="en-US"/>
              </w:rPr>
              <w:t>8/6,03</w:t>
            </w:r>
          </w:p>
          <w:p w:rsidR="00012F90" w:rsidRPr="00114393" w:rsidRDefault="00012F90" w:rsidP="00012F90">
            <w:pPr>
              <w:jc w:val="center"/>
              <w:rPr>
                <w:rFonts w:ascii="Arial" w:hAnsi="Arial" w:cs="Arial"/>
                <w:lang w:val="en-US"/>
              </w:rPr>
            </w:pP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r>
      <w:tr w:rsidR="00012F90" w:rsidRPr="00114393" w:rsidTr="00012F90">
        <w:tc>
          <w:tcPr>
            <w:tcW w:w="4876" w:type="dxa"/>
            <w:shd w:val="clear" w:color="auto" w:fill="FDE9D9" w:themeFill="accent6" w:themeFillTint="33"/>
          </w:tcPr>
          <w:p w:rsidR="00012F90" w:rsidRPr="00114393" w:rsidRDefault="00012F90" w:rsidP="00012F90">
            <w:pPr>
              <w:rPr>
                <w:rFonts w:ascii="Arial" w:hAnsi="Arial" w:cs="Arial"/>
                <w:lang w:val="en-US"/>
              </w:rPr>
            </w:pPr>
            <w:r w:rsidRPr="00114393">
              <w:rPr>
                <w:rFonts w:ascii="Arial" w:hAnsi="Arial" w:cs="Arial"/>
                <w:lang w:val="en-US"/>
              </w:rPr>
              <w:t>Mortalitate infantilă</w:t>
            </w:r>
            <w:r>
              <w:rPr>
                <w:rFonts w:ascii="Arial" w:hAnsi="Arial" w:cs="Arial"/>
                <w:lang w:val="en-US"/>
              </w:rPr>
              <w:t xml:space="preserve"> prin afecţiuni respiratorii în mediul Urban</w:t>
            </w:r>
            <w:r w:rsidRPr="00114393">
              <w:rPr>
                <w:rFonts w:ascii="Arial" w:hAnsi="Arial" w:cs="Arial"/>
                <w:lang w:val="en-US"/>
              </w:rPr>
              <w:t xml:space="preserve"> (decedaţi sub 1 an la 1000 născuţi vii)</w:t>
            </w:r>
          </w:p>
        </w:tc>
        <w:tc>
          <w:tcPr>
            <w:tcW w:w="990" w:type="dxa"/>
            <w:shd w:val="clear" w:color="auto" w:fill="FDE9D9" w:themeFill="accent6" w:themeFillTint="33"/>
            <w:vAlign w:val="center"/>
          </w:tcPr>
          <w:p w:rsidR="00012F90" w:rsidRPr="00114393" w:rsidRDefault="00012F90" w:rsidP="00012F90">
            <w:pPr>
              <w:jc w:val="center"/>
              <w:rPr>
                <w:rFonts w:ascii="Arial" w:hAnsi="Arial" w:cs="Arial"/>
                <w:lang w:val="en-US"/>
              </w:rPr>
            </w:pPr>
            <w:r>
              <w:rPr>
                <w:rFonts w:ascii="Arial" w:hAnsi="Arial" w:cs="Arial"/>
                <w:lang w:val="en-US"/>
              </w:rPr>
              <w:t>0/0</w:t>
            </w:r>
          </w:p>
        </w:tc>
        <w:tc>
          <w:tcPr>
            <w:tcW w:w="990" w:type="dxa"/>
            <w:shd w:val="clear" w:color="auto" w:fill="FDE9D9" w:themeFill="accent6" w:themeFillTint="33"/>
            <w:vAlign w:val="center"/>
          </w:tcPr>
          <w:p w:rsidR="00012F90" w:rsidRDefault="00012F90" w:rsidP="00012F90">
            <w:pPr>
              <w:jc w:val="center"/>
              <w:rPr>
                <w:rFonts w:ascii="Arial" w:hAnsi="Arial" w:cs="Arial"/>
                <w:lang w:val="en-US"/>
              </w:rPr>
            </w:pPr>
            <w:r>
              <w:rPr>
                <w:rFonts w:ascii="Arial" w:hAnsi="Arial" w:cs="Arial"/>
                <w:lang w:val="en-US"/>
              </w:rPr>
              <w:t>1/0,71</w:t>
            </w:r>
          </w:p>
          <w:p w:rsidR="00012F90" w:rsidRPr="00114393" w:rsidRDefault="00012F90" w:rsidP="00012F90">
            <w:pPr>
              <w:jc w:val="center"/>
              <w:rPr>
                <w:rFonts w:ascii="Arial" w:hAnsi="Arial" w:cs="Arial"/>
                <w:lang w:val="en-US"/>
              </w:rPr>
            </w:pP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c>
          <w:tcPr>
            <w:tcW w:w="884" w:type="dxa"/>
            <w:shd w:val="clear" w:color="auto" w:fill="FDE9D9" w:themeFill="accent6" w:themeFillTint="33"/>
            <w:vAlign w:val="center"/>
          </w:tcPr>
          <w:p w:rsidR="00012F90" w:rsidRPr="00114393" w:rsidRDefault="00012F90" w:rsidP="00012F90">
            <w:pPr>
              <w:jc w:val="center"/>
              <w:rPr>
                <w:rFonts w:ascii="Arial" w:hAnsi="Arial" w:cs="Arial"/>
                <w:lang w:val="en-US"/>
              </w:rPr>
            </w:pPr>
            <w:r>
              <w:rPr>
                <w:rFonts w:ascii="Arial" w:hAnsi="Arial" w:cs="Arial"/>
                <w:lang w:val="en-US"/>
              </w:rPr>
              <w:t>0/0</w:t>
            </w:r>
          </w:p>
        </w:tc>
        <w:tc>
          <w:tcPr>
            <w:tcW w:w="1017" w:type="dxa"/>
            <w:shd w:val="clear" w:color="auto" w:fill="FDE9D9" w:themeFill="accent6" w:themeFillTint="33"/>
            <w:vAlign w:val="center"/>
          </w:tcPr>
          <w:p w:rsidR="00012F90" w:rsidRDefault="00012F90" w:rsidP="00012F90">
            <w:pPr>
              <w:jc w:val="center"/>
              <w:rPr>
                <w:rFonts w:ascii="Arial" w:hAnsi="Arial" w:cs="Arial"/>
                <w:lang w:val="en-US"/>
              </w:rPr>
            </w:pPr>
            <w:r>
              <w:rPr>
                <w:rFonts w:ascii="Arial" w:hAnsi="Arial" w:cs="Arial"/>
                <w:lang w:val="en-US"/>
              </w:rPr>
              <w:t>3/2,27</w:t>
            </w:r>
          </w:p>
          <w:p w:rsidR="00012F90" w:rsidRPr="00114393" w:rsidRDefault="00012F90" w:rsidP="00012F90">
            <w:pPr>
              <w:jc w:val="center"/>
              <w:rPr>
                <w:rFonts w:ascii="Arial" w:hAnsi="Arial" w:cs="Arial"/>
                <w:lang w:val="en-US"/>
              </w:rPr>
            </w:pPr>
            <w:r w:rsidRPr="00A01C0B">
              <w:rPr>
                <w:rFonts w:ascii="Arial" w:hAnsi="Arial" w:cs="Arial"/>
                <w:vertAlign w:val="superscript"/>
                <w:lang w:val="en-US"/>
              </w:rPr>
              <w:t>0</w:t>
            </w:r>
            <w:r>
              <w:rPr>
                <w:rFonts w:ascii="Arial" w:hAnsi="Arial" w:cs="Arial"/>
                <w:lang w:val="en-US"/>
              </w:rPr>
              <w:t>/</w:t>
            </w:r>
            <w:r w:rsidRPr="00A01C0B">
              <w:rPr>
                <w:rFonts w:ascii="Arial" w:hAnsi="Arial" w:cs="Arial"/>
                <w:vertAlign w:val="subscript"/>
                <w:lang w:val="en-US"/>
              </w:rPr>
              <w:t>00</w:t>
            </w:r>
          </w:p>
        </w:tc>
        <w:tc>
          <w:tcPr>
            <w:tcW w:w="990" w:type="dxa"/>
            <w:shd w:val="clear" w:color="auto" w:fill="FDE9D9" w:themeFill="accent6" w:themeFillTint="33"/>
            <w:vAlign w:val="center"/>
          </w:tcPr>
          <w:p w:rsidR="00012F90" w:rsidRPr="00114393" w:rsidRDefault="00012F90" w:rsidP="00012F90">
            <w:pPr>
              <w:jc w:val="center"/>
              <w:rPr>
                <w:rFonts w:ascii="Arial" w:hAnsi="Arial" w:cs="Arial"/>
                <w:lang w:val="en-US"/>
              </w:rPr>
            </w:pPr>
            <w:r>
              <w:rPr>
                <w:rFonts w:ascii="Arial" w:hAnsi="Arial" w:cs="Arial"/>
                <w:lang w:val="en-US"/>
              </w:rPr>
              <w:t>0/0</w:t>
            </w:r>
          </w:p>
        </w:tc>
      </w:tr>
    </w:tbl>
    <w:p w:rsidR="00012F90" w:rsidRDefault="00012F90" w:rsidP="00012F90">
      <w:pPr>
        <w:tabs>
          <w:tab w:val="left" w:pos="1139"/>
        </w:tabs>
        <w:rPr>
          <w:rFonts w:ascii="Arial" w:hAnsi="Arial" w:cs="Arial"/>
        </w:rPr>
      </w:pPr>
    </w:p>
    <w:p w:rsidR="00012F90" w:rsidRDefault="00012F90" w:rsidP="00012F90">
      <w:pPr>
        <w:jc w:val="center"/>
      </w:pPr>
      <w:r>
        <w:rPr>
          <w:noProof/>
          <w:lang w:val="ro-RO" w:eastAsia="ro-RO"/>
        </w:rPr>
        <w:drawing>
          <wp:inline distT="0" distB="0" distL="0" distR="0">
            <wp:extent cx="5490831" cy="3349256"/>
            <wp:effectExtent l="19050" t="0" r="14619" b="3544"/>
            <wp:docPr id="85" name="Chart 2"/>
            <wp:cNvGraphicFramePr/>
            <a:graphic xmlns:a="http://schemas.openxmlformats.org/drawingml/2006/main">
              <a:graphicData uri="http://schemas.openxmlformats.org/drawingml/2006/chart">
                <c:chart xmlns:c="http://schemas.openxmlformats.org/drawingml/2006/chart" xmlns:r="http://schemas.openxmlformats.org/officeDocument/2006/relationships" r:id="rId119"/>
              </a:graphicData>
            </a:graphic>
          </wp:inline>
        </w:drawing>
      </w:r>
    </w:p>
    <w:p w:rsidR="00012F90" w:rsidRDefault="00012F90" w:rsidP="00012F90">
      <w:pPr>
        <w:tabs>
          <w:tab w:val="left" w:pos="1139"/>
        </w:tabs>
        <w:jc w:val="center"/>
        <w:rPr>
          <w:rFonts w:ascii="Arial" w:hAnsi="Arial" w:cs="Arial"/>
          <w:b/>
        </w:rPr>
      </w:pPr>
    </w:p>
    <w:p w:rsidR="00012F90" w:rsidRDefault="00012F90" w:rsidP="00012F90">
      <w:pPr>
        <w:tabs>
          <w:tab w:val="left" w:pos="1139"/>
        </w:tabs>
        <w:rPr>
          <w:rFonts w:ascii="Arial" w:hAnsi="Arial" w:cs="Arial"/>
        </w:rPr>
      </w:pPr>
      <w:r w:rsidRPr="00B854D5">
        <w:rPr>
          <w:rFonts w:ascii="Arial" w:hAnsi="Arial" w:cs="Arial"/>
          <w:b/>
        </w:rPr>
        <w:t xml:space="preserve">Tabel nr. IX.1.1.1. </w:t>
      </w:r>
      <w:r>
        <w:rPr>
          <w:rFonts w:ascii="Arial" w:hAnsi="Arial" w:cs="Arial"/>
          <w:b/>
        </w:rPr>
        <w:t>–</w:t>
      </w:r>
      <w:r w:rsidRPr="00B854D5">
        <w:rPr>
          <w:rFonts w:ascii="Arial" w:hAnsi="Arial" w:cs="Arial"/>
          <w:b/>
        </w:rPr>
        <w:t xml:space="preserve"> </w:t>
      </w:r>
      <w:r>
        <w:rPr>
          <w:rFonts w:ascii="Arial" w:hAnsi="Arial" w:cs="Arial"/>
          <w:b/>
        </w:rPr>
        <w:t>4 -</w:t>
      </w:r>
      <w:r w:rsidRPr="00F928BF">
        <w:rPr>
          <w:rFonts w:ascii="Arial" w:hAnsi="Arial" w:cs="Arial"/>
          <w:lang w:val="en-US"/>
        </w:rPr>
        <w:t xml:space="preserve"> </w:t>
      </w:r>
      <w:r w:rsidRPr="00940619">
        <w:rPr>
          <w:rFonts w:ascii="Arial" w:hAnsi="Arial" w:cs="Arial"/>
        </w:rPr>
        <w:t>Mortalitatea prin afecțiuni cardiovasculare pe orașe</w:t>
      </w:r>
      <w:r>
        <w:rPr>
          <w:rFonts w:ascii="Arial" w:hAnsi="Arial" w:cs="Arial"/>
        </w:rPr>
        <w:t>le d</w:t>
      </w:r>
      <w:r w:rsidRPr="00940619">
        <w:rPr>
          <w:rFonts w:ascii="Arial" w:hAnsi="Arial" w:cs="Arial"/>
        </w:rPr>
        <w:t xml:space="preserve">in județul Brăila(număr cazuri) </w:t>
      </w:r>
      <w:r>
        <w:rPr>
          <w:rFonts w:ascii="Arial" w:hAnsi="Arial" w:cs="Arial"/>
        </w:rPr>
        <w:t>în perioada 2010 - 2014</w:t>
      </w:r>
    </w:p>
    <w:p w:rsidR="00012F90" w:rsidRPr="00940619" w:rsidRDefault="00012F90" w:rsidP="00012F90">
      <w:pPr>
        <w:tabs>
          <w:tab w:val="left" w:pos="1139"/>
        </w:tabs>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5056"/>
        <w:gridCol w:w="972"/>
        <w:gridCol w:w="993"/>
        <w:gridCol w:w="850"/>
        <w:gridCol w:w="992"/>
        <w:gridCol w:w="992"/>
      </w:tblGrid>
      <w:tr w:rsidR="00012F90" w:rsidRPr="00940619" w:rsidTr="00012F90">
        <w:trPr>
          <w:jc w:val="center"/>
        </w:trPr>
        <w:tc>
          <w:tcPr>
            <w:tcW w:w="5056" w:type="dxa"/>
            <w:shd w:val="clear" w:color="auto" w:fill="FABF8F" w:themeFill="accent6" w:themeFillTint="99"/>
          </w:tcPr>
          <w:p w:rsidR="00012F90" w:rsidRPr="001B3D1D" w:rsidRDefault="00012F90" w:rsidP="00012F90">
            <w:pPr>
              <w:tabs>
                <w:tab w:val="left" w:pos="1139"/>
              </w:tabs>
              <w:rPr>
                <w:rFonts w:ascii="Arial" w:hAnsi="Arial" w:cs="Arial"/>
                <w:b/>
              </w:rPr>
            </w:pPr>
            <w:r w:rsidRPr="001B3D1D">
              <w:rPr>
                <w:rFonts w:ascii="Arial" w:hAnsi="Arial" w:cs="Arial"/>
                <w:b/>
              </w:rPr>
              <w:t>Mortalitate prin afecțiuni cardiovasculare</w:t>
            </w:r>
          </w:p>
        </w:tc>
        <w:tc>
          <w:tcPr>
            <w:tcW w:w="972" w:type="dxa"/>
            <w:shd w:val="clear" w:color="auto" w:fill="FABF8F" w:themeFill="accent6" w:themeFillTint="99"/>
          </w:tcPr>
          <w:p w:rsidR="00012F90" w:rsidRPr="001B3D1D" w:rsidRDefault="00012F90" w:rsidP="00012F90">
            <w:pPr>
              <w:tabs>
                <w:tab w:val="left" w:pos="1139"/>
              </w:tabs>
              <w:jc w:val="center"/>
              <w:rPr>
                <w:rFonts w:ascii="Arial" w:hAnsi="Arial" w:cs="Arial"/>
                <w:b/>
              </w:rPr>
            </w:pPr>
            <w:r w:rsidRPr="001B3D1D">
              <w:rPr>
                <w:rFonts w:ascii="Arial" w:hAnsi="Arial" w:cs="Arial"/>
                <w:b/>
              </w:rPr>
              <w:t>2010</w:t>
            </w:r>
          </w:p>
        </w:tc>
        <w:tc>
          <w:tcPr>
            <w:tcW w:w="993" w:type="dxa"/>
            <w:shd w:val="clear" w:color="auto" w:fill="FABF8F" w:themeFill="accent6" w:themeFillTint="99"/>
          </w:tcPr>
          <w:p w:rsidR="00012F90" w:rsidRPr="001B3D1D" w:rsidRDefault="00012F90" w:rsidP="00012F90">
            <w:pPr>
              <w:tabs>
                <w:tab w:val="left" w:pos="1139"/>
              </w:tabs>
              <w:jc w:val="center"/>
              <w:rPr>
                <w:rFonts w:ascii="Arial" w:hAnsi="Arial" w:cs="Arial"/>
                <w:b/>
              </w:rPr>
            </w:pPr>
            <w:r w:rsidRPr="001B3D1D">
              <w:rPr>
                <w:rFonts w:ascii="Arial" w:hAnsi="Arial" w:cs="Arial"/>
                <w:b/>
              </w:rPr>
              <w:t>2011</w:t>
            </w:r>
          </w:p>
        </w:tc>
        <w:tc>
          <w:tcPr>
            <w:tcW w:w="850" w:type="dxa"/>
            <w:shd w:val="clear" w:color="auto" w:fill="FABF8F" w:themeFill="accent6" w:themeFillTint="99"/>
          </w:tcPr>
          <w:p w:rsidR="00012F90" w:rsidRPr="001B3D1D" w:rsidRDefault="00012F90" w:rsidP="00012F90">
            <w:pPr>
              <w:tabs>
                <w:tab w:val="left" w:pos="1139"/>
              </w:tabs>
              <w:jc w:val="center"/>
              <w:rPr>
                <w:rFonts w:ascii="Arial" w:hAnsi="Arial" w:cs="Arial"/>
                <w:b/>
              </w:rPr>
            </w:pPr>
            <w:r w:rsidRPr="001B3D1D">
              <w:rPr>
                <w:rFonts w:ascii="Arial" w:hAnsi="Arial" w:cs="Arial"/>
                <w:b/>
              </w:rPr>
              <w:t>2012</w:t>
            </w:r>
          </w:p>
        </w:tc>
        <w:tc>
          <w:tcPr>
            <w:tcW w:w="992" w:type="dxa"/>
            <w:shd w:val="clear" w:color="auto" w:fill="FABF8F" w:themeFill="accent6" w:themeFillTint="99"/>
          </w:tcPr>
          <w:p w:rsidR="00012F90" w:rsidRPr="001B3D1D" w:rsidRDefault="00012F90" w:rsidP="00012F90">
            <w:pPr>
              <w:tabs>
                <w:tab w:val="left" w:pos="1139"/>
              </w:tabs>
              <w:jc w:val="center"/>
              <w:rPr>
                <w:rFonts w:ascii="Arial" w:hAnsi="Arial" w:cs="Arial"/>
                <w:b/>
              </w:rPr>
            </w:pPr>
            <w:r w:rsidRPr="001B3D1D">
              <w:rPr>
                <w:rFonts w:ascii="Arial" w:hAnsi="Arial" w:cs="Arial"/>
                <w:b/>
              </w:rPr>
              <w:t>2013</w:t>
            </w:r>
          </w:p>
        </w:tc>
        <w:tc>
          <w:tcPr>
            <w:tcW w:w="992" w:type="dxa"/>
            <w:shd w:val="clear" w:color="auto" w:fill="FABF8F" w:themeFill="accent6" w:themeFillTint="99"/>
          </w:tcPr>
          <w:p w:rsidR="00012F90" w:rsidRPr="001B3D1D" w:rsidRDefault="00012F90" w:rsidP="00012F90">
            <w:pPr>
              <w:tabs>
                <w:tab w:val="left" w:pos="1139"/>
              </w:tabs>
              <w:jc w:val="center"/>
              <w:rPr>
                <w:rFonts w:ascii="Arial" w:hAnsi="Arial" w:cs="Arial"/>
                <w:b/>
              </w:rPr>
            </w:pPr>
            <w:r w:rsidRPr="001B3D1D">
              <w:rPr>
                <w:rFonts w:ascii="Arial" w:hAnsi="Arial" w:cs="Arial"/>
                <w:b/>
              </w:rPr>
              <w:t>2014</w:t>
            </w:r>
          </w:p>
        </w:tc>
      </w:tr>
      <w:tr w:rsidR="00012F90" w:rsidRPr="00940619" w:rsidTr="00012F90">
        <w:trPr>
          <w:jc w:val="center"/>
        </w:trPr>
        <w:tc>
          <w:tcPr>
            <w:tcW w:w="5056" w:type="dxa"/>
            <w:shd w:val="clear" w:color="auto" w:fill="FDE9D9" w:themeFill="accent6" w:themeFillTint="33"/>
          </w:tcPr>
          <w:p w:rsidR="00012F90" w:rsidRPr="00940619" w:rsidRDefault="00012F90" w:rsidP="00012F90">
            <w:pPr>
              <w:tabs>
                <w:tab w:val="left" w:pos="1139"/>
              </w:tabs>
              <w:jc w:val="center"/>
              <w:rPr>
                <w:rFonts w:ascii="Arial" w:hAnsi="Arial" w:cs="Arial"/>
              </w:rPr>
            </w:pPr>
            <w:r w:rsidRPr="00940619">
              <w:rPr>
                <w:rFonts w:ascii="Arial" w:hAnsi="Arial" w:cs="Arial"/>
              </w:rPr>
              <w:t>Brăila</w:t>
            </w:r>
          </w:p>
        </w:tc>
        <w:tc>
          <w:tcPr>
            <w:tcW w:w="97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1289</w:t>
            </w:r>
          </w:p>
        </w:tc>
        <w:tc>
          <w:tcPr>
            <w:tcW w:w="993"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1184</w:t>
            </w:r>
          </w:p>
        </w:tc>
        <w:tc>
          <w:tcPr>
            <w:tcW w:w="850"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1103</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1145</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1147</w:t>
            </w:r>
          </w:p>
        </w:tc>
      </w:tr>
      <w:tr w:rsidR="00012F90" w:rsidRPr="00940619" w:rsidTr="00012F90">
        <w:trPr>
          <w:jc w:val="center"/>
        </w:trPr>
        <w:tc>
          <w:tcPr>
            <w:tcW w:w="5056" w:type="dxa"/>
            <w:shd w:val="clear" w:color="auto" w:fill="FDE9D9" w:themeFill="accent6" w:themeFillTint="33"/>
          </w:tcPr>
          <w:p w:rsidR="00012F90" w:rsidRPr="00940619" w:rsidRDefault="00012F90" w:rsidP="00012F90">
            <w:pPr>
              <w:tabs>
                <w:tab w:val="left" w:pos="1139"/>
              </w:tabs>
              <w:jc w:val="center"/>
              <w:rPr>
                <w:rFonts w:ascii="Arial" w:hAnsi="Arial" w:cs="Arial"/>
              </w:rPr>
            </w:pPr>
            <w:r w:rsidRPr="00940619">
              <w:rPr>
                <w:rFonts w:ascii="Arial" w:hAnsi="Arial" w:cs="Arial"/>
              </w:rPr>
              <w:t>Ianca</w:t>
            </w:r>
          </w:p>
        </w:tc>
        <w:tc>
          <w:tcPr>
            <w:tcW w:w="97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84</w:t>
            </w:r>
          </w:p>
        </w:tc>
        <w:tc>
          <w:tcPr>
            <w:tcW w:w="993"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88</w:t>
            </w:r>
          </w:p>
        </w:tc>
        <w:tc>
          <w:tcPr>
            <w:tcW w:w="850"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78</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86</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71</w:t>
            </w:r>
          </w:p>
        </w:tc>
      </w:tr>
      <w:tr w:rsidR="00012F90" w:rsidRPr="00940619" w:rsidTr="00012F90">
        <w:trPr>
          <w:jc w:val="center"/>
        </w:trPr>
        <w:tc>
          <w:tcPr>
            <w:tcW w:w="5056" w:type="dxa"/>
            <w:shd w:val="clear" w:color="auto" w:fill="FDE9D9" w:themeFill="accent6" w:themeFillTint="33"/>
          </w:tcPr>
          <w:p w:rsidR="00012F90" w:rsidRPr="00940619" w:rsidRDefault="00012F90" w:rsidP="00012F90">
            <w:pPr>
              <w:tabs>
                <w:tab w:val="left" w:pos="1139"/>
              </w:tabs>
              <w:jc w:val="center"/>
              <w:rPr>
                <w:rFonts w:ascii="Arial" w:hAnsi="Arial" w:cs="Arial"/>
              </w:rPr>
            </w:pPr>
            <w:r w:rsidRPr="00940619">
              <w:rPr>
                <w:rFonts w:ascii="Arial" w:hAnsi="Arial" w:cs="Arial"/>
              </w:rPr>
              <w:t>Făurei</w:t>
            </w:r>
          </w:p>
        </w:tc>
        <w:tc>
          <w:tcPr>
            <w:tcW w:w="97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29</w:t>
            </w:r>
          </w:p>
        </w:tc>
        <w:tc>
          <w:tcPr>
            <w:tcW w:w="993"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19</w:t>
            </w:r>
          </w:p>
        </w:tc>
        <w:tc>
          <w:tcPr>
            <w:tcW w:w="850"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34</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23</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23</w:t>
            </w:r>
          </w:p>
        </w:tc>
      </w:tr>
      <w:tr w:rsidR="00012F90" w:rsidRPr="00940619" w:rsidTr="00012F90">
        <w:trPr>
          <w:jc w:val="center"/>
        </w:trPr>
        <w:tc>
          <w:tcPr>
            <w:tcW w:w="5056" w:type="dxa"/>
            <w:shd w:val="clear" w:color="auto" w:fill="FDE9D9" w:themeFill="accent6" w:themeFillTint="33"/>
          </w:tcPr>
          <w:p w:rsidR="00012F90" w:rsidRPr="00940619" w:rsidRDefault="00012F90" w:rsidP="00012F90">
            <w:pPr>
              <w:tabs>
                <w:tab w:val="left" w:pos="1139"/>
              </w:tabs>
              <w:jc w:val="center"/>
              <w:rPr>
                <w:rFonts w:ascii="Arial" w:hAnsi="Arial" w:cs="Arial"/>
              </w:rPr>
            </w:pPr>
            <w:r w:rsidRPr="00940619">
              <w:rPr>
                <w:rFonts w:ascii="Arial" w:hAnsi="Arial" w:cs="Arial"/>
              </w:rPr>
              <w:t>Însurăței</w:t>
            </w:r>
          </w:p>
        </w:tc>
        <w:tc>
          <w:tcPr>
            <w:tcW w:w="97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67</w:t>
            </w:r>
          </w:p>
        </w:tc>
        <w:tc>
          <w:tcPr>
            <w:tcW w:w="993"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69</w:t>
            </w:r>
          </w:p>
        </w:tc>
        <w:tc>
          <w:tcPr>
            <w:tcW w:w="850"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61</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55</w:t>
            </w:r>
          </w:p>
        </w:tc>
        <w:tc>
          <w:tcPr>
            <w:tcW w:w="992" w:type="dxa"/>
            <w:shd w:val="clear" w:color="auto" w:fill="FDE9D9" w:themeFill="accent6" w:themeFillTint="33"/>
          </w:tcPr>
          <w:p w:rsidR="00012F90" w:rsidRPr="00940619" w:rsidRDefault="00012F90" w:rsidP="00012F90">
            <w:pPr>
              <w:tabs>
                <w:tab w:val="left" w:pos="1139"/>
              </w:tabs>
              <w:jc w:val="center"/>
              <w:rPr>
                <w:rFonts w:ascii="Arial" w:hAnsi="Arial" w:cs="Arial"/>
              </w:rPr>
            </w:pPr>
            <w:r>
              <w:rPr>
                <w:rFonts w:ascii="Arial" w:hAnsi="Arial" w:cs="Arial"/>
              </w:rPr>
              <w:t>54</w:t>
            </w:r>
          </w:p>
        </w:tc>
      </w:tr>
    </w:tbl>
    <w:p w:rsidR="00012F90" w:rsidRDefault="00012F90" w:rsidP="00012F90">
      <w:pPr>
        <w:rPr>
          <w:rFonts w:ascii="Arial" w:hAnsi="Arial" w:cs="Arial"/>
          <w:lang w:val="en-US"/>
        </w:rPr>
      </w:pPr>
    </w:p>
    <w:p w:rsidR="00012F90" w:rsidRDefault="00012F90" w:rsidP="00012F90">
      <w:pPr>
        <w:jc w:val="center"/>
      </w:pPr>
      <w:r>
        <w:rPr>
          <w:noProof/>
          <w:lang w:val="ro-RO" w:eastAsia="ro-RO"/>
        </w:rPr>
        <w:drawing>
          <wp:inline distT="0" distB="0" distL="0" distR="0">
            <wp:extent cx="5486400" cy="3200400"/>
            <wp:effectExtent l="19050" t="0" r="19050" b="0"/>
            <wp:docPr id="86"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0"/>
              </a:graphicData>
            </a:graphic>
          </wp:inline>
        </w:drawing>
      </w:r>
    </w:p>
    <w:p w:rsidR="00012F90" w:rsidRDefault="00012F90" w:rsidP="00012F90">
      <w:pPr>
        <w:tabs>
          <w:tab w:val="left" w:pos="1139"/>
        </w:tabs>
        <w:rPr>
          <w:rFonts w:ascii="Arial" w:hAnsi="Arial" w:cs="Arial"/>
        </w:rPr>
      </w:pPr>
    </w:p>
    <w:p w:rsidR="00012F90" w:rsidRDefault="00012F90" w:rsidP="00012F90">
      <w:pPr>
        <w:tabs>
          <w:tab w:val="left" w:pos="1139"/>
        </w:tabs>
        <w:rPr>
          <w:rFonts w:ascii="Arial" w:hAnsi="Arial" w:cs="Arial"/>
          <w:color w:val="000000"/>
        </w:rPr>
      </w:pPr>
      <w:r w:rsidRPr="00B854D5">
        <w:rPr>
          <w:rFonts w:ascii="Arial" w:hAnsi="Arial" w:cs="Arial"/>
          <w:b/>
        </w:rPr>
        <w:t xml:space="preserve">Tabel nr. IX.1.1.1. </w:t>
      </w:r>
      <w:r>
        <w:rPr>
          <w:rFonts w:ascii="Arial" w:hAnsi="Arial" w:cs="Arial"/>
          <w:b/>
        </w:rPr>
        <w:t>–</w:t>
      </w:r>
      <w:r w:rsidRPr="00B854D5">
        <w:rPr>
          <w:rFonts w:ascii="Arial" w:hAnsi="Arial" w:cs="Arial"/>
          <w:b/>
        </w:rPr>
        <w:t xml:space="preserve"> </w:t>
      </w:r>
      <w:r>
        <w:rPr>
          <w:rFonts w:ascii="Arial" w:hAnsi="Arial" w:cs="Arial"/>
          <w:b/>
        </w:rPr>
        <w:t>5 -</w:t>
      </w:r>
      <w:r w:rsidRPr="00F928BF">
        <w:rPr>
          <w:rFonts w:ascii="Arial" w:hAnsi="Arial" w:cs="Arial"/>
          <w:lang w:val="en-US"/>
        </w:rPr>
        <w:t xml:space="preserve"> </w:t>
      </w:r>
      <w:r w:rsidRPr="00940619">
        <w:rPr>
          <w:rFonts w:ascii="Arial" w:hAnsi="Arial" w:cs="Arial"/>
        </w:rPr>
        <w:t>Incidența cazurilor de astm bronșic</w:t>
      </w:r>
      <w:r>
        <w:rPr>
          <w:rFonts w:ascii="Arial" w:hAnsi="Arial" w:cs="Arial"/>
        </w:rPr>
        <w:t xml:space="preserve"> </w:t>
      </w:r>
      <w:r w:rsidRPr="00940619">
        <w:rPr>
          <w:rFonts w:ascii="Arial" w:hAnsi="Arial" w:cs="Arial"/>
        </w:rPr>
        <w:t>pe orașe</w:t>
      </w:r>
      <w:r>
        <w:rPr>
          <w:rFonts w:ascii="Arial" w:hAnsi="Arial" w:cs="Arial"/>
        </w:rPr>
        <w:t>le d</w:t>
      </w:r>
      <w:r w:rsidRPr="00940619">
        <w:rPr>
          <w:rFonts w:ascii="Arial" w:hAnsi="Arial" w:cs="Arial"/>
        </w:rPr>
        <w:t>in județul Brăila (număr cazuri)</w:t>
      </w:r>
      <w:r>
        <w:rPr>
          <w:rFonts w:ascii="Arial" w:hAnsi="Arial" w:cs="Arial"/>
        </w:rPr>
        <w:t xml:space="preserve"> </w:t>
      </w:r>
      <w:r w:rsidRPr="00ED2ABF">
        <w:rPr>
          <w:rFonts w:ascii="Arial" w:hAnsi="Arial" w:cs="Arial"/>
          <w:lang w:val="en-US"/>
        </w:rPr>
        <w:t>corelată cu PM</w:t>
      </w:r>
      <w:r w:rsidRPr="00ED2ABF">
        <w:rPr>
          <w:rFonts w:ascii="Arial" w:hAnsi="Arial" w:cs="Arial"/>
          <w:vertAlign w:val="subscript"/>
          <w:lang w:val="en-US"/>
        </w:rPr>
        <w:t>10</w:t>
      </w:r>
      <w:r w:rsidRPr="00ED2ABF">
        <w:rPr>
          <w:rFonts w:ascii="Arial" w:hAnsi="Arial" w:cs="Arial"/>
          <w:lang w:val="en-US"/>
        </w:rPr>
        <w:t xml:space="preserve"> </w:t>
      </w:r>
      <w:r>
        <w:rPr>
          <w:rFonts w:ascii="Arial" w:hAnsi="Arial" w:cs="Arial"/>
          <w:lang w:val="en-US"/>
        </w:rPr>
        <w:t xml:space="preserve">- </w:t>
      </w:r>
      <w:r w:rsidRPr="00ED2ABF">
        <w:rPr>
          <w:rFonts w:ascii="Arial" w:hAnsi="Arial" w:cs="Arial"/>
          <w:lang w:val="en-US"/>
        </w:rPr>
        <w:t>concentraţie medie/an</w:t>
      </w:r>
      <w:r w:rsidRPr="00ED2ABF">
        <w:rPr>
          <w:rFonts w:ascii="Arial" w:hAnsi="Arial" w:cs="Arial"/>
          <w:color w:val="000000"/>
        </w:rPr>
        <w:t xml:space="preserve"> (µg/mc)</w:t>
      </w:r>
      <w:r>
        <w:rPr>
          <w:rFonts w:ascii="Arial" w:hAnsi="Arial" w:cs="Arial"/>
          <w:color w:val="000000"/>
        </w:rPr>
        <w:t xml:space="preserve"> perioada 2010 – 2014</w:t>
      </w:r>
    </w:p>
    <w:p w:rsidR="00012F90" w:rsidRPr="00A43664" w:rsidRDefault="00012F90" w:rsidP="00012F90">
      <w:pPr>
        <w:tabs>
          <w:tab w:val="left" w:pos="1139"/>
        </w:tabs>
        <w:rPr>
          <w:rFonts w:ascii="Arial" w:hAnsi="Arial" w:cs="Arial"/>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735"/>
        <w:gridCol w:w="972"/>
        <w:gridCol w:w="993"/>
        <w:gridCol w:w="850"/>
        <w:gridCol w:w="992"/>
        <w:gridCol w:w="992"/>
      </w:tblGrid>
      <w:tr w:rsidR="00012F90" w:rsidRPr="00940619" w:rsidTr="00012F90">
        <w:trPr>
          <w:jc w:val="center"/>
        </w:trPr>
        <w:tc>
          <w:tcPr>
            <w:tcW w:w="4735" w:type="dxa"/>
            <w:shd w:val="clear" w:color="auto" w:fill="FBD4B4" w:themeFill="accent6" w:themeFillTint="66"/>
          </w:tcPr>
          <w:p w:rsidR="00012F90" w:rsidRPr="001B3D1D" w:rsidRDefault="00012F90" w:rsidP="00012F90">
            <w:pPr>
              <w:tabs>
                <w:tab w:val="left" w:pos="1139"/>
              </w:tabs>
              <w:rPr>
                <w:rFonts w:ascii="Arial" w:hAnsi="Arial" w:cs="Arial"/>
                <w:b/>
              </w:rPr>
            </w:pPr>
            <w:r w:rsidRPr="001B3D1D">
              <w:rPr>
                <w:rFonts w:ascii="Arial" w:hAnsi="Arial" w:cs="Arial"/>
                <w:b/>
              </w:rPr>
              <w:t>Număr cazuri de astm bronșic</w:t>
            </w:r>
          </w:p>
        </w:tc>
        <w:tc>
          <w:tcPr>
            <w:tcW w:w="972" w:type="dxa"/>
            <w:shd w:val="clear" w:color="auto" w:fill="FBD4B4" w:themeFill="accent6" w:themeFillTint="66"/>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2010</w:t>
            </w:r>
          </w:p>
        </w:tc>
        <w:tc>
          <w:tcPr>
            <w:tcW w:w="993" w:type="dxa"/>
            <w:shd w:val="clear" w:color="auto" w:fill="FBD4B4" w:themeFill="accent6" w:themeFillTint="66"/>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2011</w:t>
            </w:r>
          </w:p>
        </w:tc>
        <w:tc>
          <w:tcPr>
            <w:tcW w:w="850" w:type="dxa"/>
            <w:shd w:val="clear" w:color="auto" w:fill="FBD4B4" w:themeFill="accent6" w:themeFillTint="66"/>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2012</w:t>
            </w:r>
          </w:p>
        </w:tc>
        <w:tc>
          <w:tcPr>
            <w:tcW w:w="992" w:type="dxa"/>
            <w:shd w:val="clear" w:color="auto" w:fill="FBD4B4" w:themeFill="accent6" w:themeFillTint="66"/>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2013</w:t>
            </w:r>
          </w:p>
        </w:tc>
        <w:tc>
          <w:tcPr>
            <w:tcW w:w="992" w:type="dxa"/>
            <w:shd w:val="clear" w:color="auto" w:fill="FBD4B4" w:themeFill="accent6" w:themeFillTint="66"/>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2014</w:t>
            </w:r>
          </w:p>
        </w:tc>
      </w:tr>
      <w:tr w:rsidR="00012F90" w:rsidRPr="00940619" w:rsidTr="00012F90">
        <w:trPr>
          <w:jc w:val="center"/>
        </w:trPr>
        <w:tc>
          <w:tcPr>
            <w:tcW w:w="4735" w:type="dxa"/>
            <w:shd w:val="clear" w:color="auto" w:fill="FDE9D9" w:themeFill="accent6" w:themeFillTint="33"/>
          </w:tcPr>
          <w:p w:rsidR="00012F90" w:rsidRPr="00A43664" w:rsidRDefault="00012F90" w:rsidP="00012F90">
            <w:pPr>
              <w:tabs>
                <w:tab w:val="left" w:pos="1139"/>
              </w:tabs>
              <w:rPr>
                <w:rFonts w:ascii="Arial" w:hAnsi="Arial" w:cs="Arial"/>
                <w:b/>
              </w:rPr>
            </w:pPr>
            <w:r w:rsidRPr="00A43664">
              <w:rPr>
                <w:rFonts w:ascii="Arial" w:hAnsi="Arial" w:cs="Arial"/>
                <w:b/>
              </w:rPr>
              <w:t>Brăila</w:t>
            </w:r>
          </w:p>
        </w:tc>
        <w:tc>
          <w:tcPr>
            <w:tcW w:w="97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120</w:t>
            </w:r>
          </w:p>
        </w:tc>
        <w:tc>
          <w:tcPr>
            <w:tcW w:w="993"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104</w:t>
            </w:r>
          </w:p>
        </w:tc>
        <w:tc>
          <w:tcPr>
            <w:tcW w:w="850"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241</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201</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217</w:t>
            </w:r>
          </w:p>
        </w:tc>
      </w:tr>
      <w:tr w:rsidR="00012F90" w:rsidRPr="00940619" w:rsidTr="00012F90">
        <w:trPr>
          <w:jc w:val="center"/>
        </w:trPr>
        <w:tc>
          <w:tcPr>
            <w:tcW w:w="4735" w:type="dxa"/>
            <w:shd w:val="clear" w:color="auto" w:fill="FDE9D9" w:themeFill="accent6" w:themeFillTint="33"/>
          </w:tcPr>
          <w:p w:rsidR="00012F90" w:rsidRPr="00A43664" w:rsidRDefault="00012F90" w:rsidP="00012F90">
            <w:pPr>
              <w:tabs>
                <w:tab w:val="left" w:pos="1139"/>
              </w:tabs>
              <w:rPr>
                <w:rFonts w:ascii="Arial" w:hAnsi="Arial" w:cs="Arial"/>
                <w:b/>
              </w:rPr>
            </w:pPr>
            <w:r w:rsidRPr="00A43664">
              <w:rPr>
                <w:rFonts w:ascii="Arial" w:hAnsi="Arial" w:cs="Arial"/>
                <w:b/>
              </w:rPr>
              <w:t>Ianca</w:t>
            </w:r>
          </w:p>
        </w:tc>
        <w:tc>
          <w:tcPr>
            <w:tcW w:w="97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6</w:t>
            </w:r>
          </w:p>
        </w:tc>
        <w:tc>
          <w:tcPr>
            <w:tcW w:w="993"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0</w:t>
            </w:r>
          </w:p>
        </w:tc>
        <w:tc>
          <w:tcPr>
            <w:tcW w:w="850"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36</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14</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25</w:t>
            </w:r>
          </w:p>
        </w:tc>
      </w:tr>
      <w:tr w:rsidR="00012F90" w:rsidRPr="00940619" w:rsidTr="00012F90">
        <w:trPr>
          <w:jc w:val="center"/>
        </w:trPr>
        <w:tc>
          <w:tcPr>
            <w:tcW w:w="4735" w:type="dxa"/>
            <w:shd w:val="clear" w:color="auto" w:fill="FDE9D9" w:themeFill="accent6" w:themeFillTint="33"/>
          </w:tcPr>
          <w:p w:rsidR="00012F90" w:rsidRPr="00A43664" w:rsidRDefault="00012F90" w:rsidP="00012F90">
            <w:pPr>
              <w:tabs>
                <w:tab w:val="left" w:pos="1139"/>
              </w:tabs>
              <w:rPr>
                <w:rFonts w:ascii="Arial" w:hAnsi="Arial" w:cs="Arial"/>
                <w:b/>
              </w:rPr>
            </w:pPr>
            <w:r w:rsidRPr="00A43664">
              <w:rPr>
                <w:rFonts w:ascii="Arial" w:hAnsi="Arial" w:cs="Arial"/>
                <w:b/>
              </w:rPr>
              <w:t>Făurei</w:t>
            </w:r>
          </w:p>
        </w:tc>
        <w:tc>
          <w:tcPr>
            <w:tcW w:w="97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0</w:t>
            </w:r>
          </w:p>
        </w:tc>
        <w:tc>
          <w:tcPr>
            <w:tcW w:w="993"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0</w:t>
            </w:r>
          </w:p>
        </w:tc>
        <w:tc>
          <w:tcPr>
            <w:tcW w:w="850"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31</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19</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27</w:t>
            </w:r>
          </w:p>
        </w:tc>
      </w:tr>
      <w:tr w:rsidR="00012F90" w:rsidRPr="00940619" w:rsidTr="00012F90">
        <w:trPr>
          <w:jc w:val="center"/>
        </w:trPr>
        <w:tc>
          <w:tcPr>
            <w:tcW w:w="4735" w:type="dxa"/>
            <w:shd w:val="clear" w:color="auto" w:fill="FDE9D9" w:themeFill="accent6" w:themeFillTint="33"/>
          </w:tcPr>
          <w:p w:rsidR="00012F90" w:rsidRPr="00A43664" w:rsidRDefault="00012F90" w:rsidP="00012F90">
            <w:pPr>
              <w:tabs>
                <w:tab w:val="left" w:pos="1139"/>
              </w:tabs>
              <w:rPr>
                <w:rFonts w:ascii="Arial" w:hAnsi="Arial" w:cs="Arial"/>
                <w:b/>
              </w:rPr>
            </w:pPr>
            <w:r w:rsidRPr="00A43664">
              <w:rPr>
                <w:rFonts w:ascii="Arial" w:hAnsi="Arial" w:cs="Arial"/>
                <w:b/>
              </w:rPr>
              <w:t>Însurăței</w:t>
            </w:r>
          </w:p>
        </w:tc>
        <w:tc>
          <w:tcPr>
            <w:tcW w:w="97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w:t>
            </w:r>
          </w:p>
        </w:tc>
        <w:tc>
          <w:tcPr>
            <w:tcW w:w="993"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0</w:t>
            </w:r>
          </w:p>
        </w:tc>
        <w:tc>
          <w:tcPr>
            <w:tcW w:w="850"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0</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rPr>
            </w:pPr>
            <w:r w:rsidRPr="00943DC2">
              <w:rPr>
                <w:rFonts w:ascii="Arial" w:hAnsi="Arial" w:cs="Arial"/>
              </w:rPr>
              <w:t>10</w:t>
            </w:r>
          </w:p>
        </w:tc>
      </w:tr>
      <w:tr w:rsidR="00012F90" w:rsidRPr="00940619" w:rsidTr="00012F90">
        <w:trPr>
          <w:jc w:val="center"/>
        </w:trPr>
        <w:tc>
          <w:tcPr>
            <w:tcW w:w="4735" w:type="dxa"/>
            <w:shd w:val="clear" w:color="auto" w:fill="FDE9D9" w:themeFill="accent6" w:themeFillTint="33"/>
          </w:tcPr>
          <w:p w:rsidR="00012F90" w:rsidRPr="001B3D1D" w:rsidRDefault="00012F90" w:rsidP="00012F90">
            <w:pPr>
              <w:tabs>
                <w:tab w:val="left" w:pos="1139"/>
              </w:tabs>
              <w:rPr>
                <w:rFonts w:ascii="Arial" w:hAnsi="Arial" w:cs="Arial"/>
                <w:b/>
              </w:rPr>
            </w:pPr>
            <w:r w:rsidRPr="001B3D1D">
              <w:rPr>
                <w:rFonts w:ascii="Arial" w:hAnsi="Arial" w:cs="Arial"/>
                <w:b/>
              </w:rPr>
              <w:t>Total județ Brăila</w:t>
            </w:r>
          </w:p>
        </w:tc>
        <w:tc>
          <w:tcPr>
            <w:tcW w:w="97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321</w:t>
            </w:r>
          </w:p>
        </w:tc>
        <w:tc>
          <w:tcPr>
            <w:tcW w:w="993"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286</w:t>
            </w:r>
          </w:p>
        </w:tc>
        <w:tc>
          <w:tcPr>
            <w:tcW w:w="850"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394</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332</w:t>
            </w:r>
          </w:p>
        </w:tc>
        <w:tc>
          <w:tcPr>
            <w:tcW w:w="992" w:type="dxa"/>
            <w:shd w:val="clear" w:color="auto" w:fill="FDE9D9" w:themeFill="accent6" w:themeFillTint="33"/>
            <w:vAlign w:val="center"/>
          </w:tcPr>
          <w:p w:rsidR="00012F90" w:rsidRPr="00943DC2" w:rsidRDefault="00012F90" w:rsidP="00012F90">
            <w:pPr>
              <w:tabs>
                <w:tab w:val="left" w:pos="1139"/>
              </w:tabs>
              <w:jc w:val="center"/>
              <w:rPr>
                <w:rFonts w:ascii="Arial" w:hAnsi="Arial" w:cs="Arial"/>
                <w:b/>
              </w:rPr>
            </w:pPr>
            <w:r w:rsidRPr="00943DC2">
              <w:rPr>
                <w:rFonts w:ascii="Arial" w:hAnsi="Arial" w:cs="Arial"/>
                <w:b/>
              </w:rPr>
              <w:t>504</w:t>
            </w:r>
          </w:p>
        </w:tc>
      </w:tr>
      <w:tr w:rsidR="00012F90" w:rsidRPr="00940619" w:rsidTr="00012F90">
        <w:trPr>
          <w:jc w:val="center"/>
        </w:trPr>
        <w:tc>
          <w:tcPr>
            <w:tcW w:w="4735" w:type="dxa"/>
            <w:shd w:val="clear" w:color="auto" w:fill="FDE9D9" w:themeFill="accent6" w:themeFillTint="33"/>
          </w:tcPr>
          <w:p w:rsidR="00012F90" w:rsidRPr="00ED2ABF" w:rsidRDefault="00012F90" w:rsidP="00012F90">
            <w:pPr>
              <w:tabs>
                <w:tab w:val="left" w:pos="1139"/>
              </w:tabs>
              <w:rPr>
                <w:rFonts w:ascii="Arial" w:hAnsi="Arial" w:cs="Arial"/>
                <w:b/>
              </w:rPr>
            </w:pPr>
            <w:r w:rsidRPr="00ED2ABF">
              <w:rPr>
                <w:rFonts w:ascii="Arial" w:hAnsi="Arial" w:cs="Arial"/>
                <w:lang w:val="en-US"/>
              </w:rPr>
              <w:t>PM</w:t>
            </w:r>
            <w:r w:rsidRPr="00ED2ABF">
              <w:rPr>
                <w:rFonts w:ascii="Arial" w:hAnsi="Arial" w:cs="Arial"/>
                <w:vertAlign w:val="subscript"/>
                <w:lang w:val="en-US"/>
              </w:rPr>
              <w:t>10</w:t>
            </w:r>
            <w:r w:rsidRPr="00ED2ABF">
              <w:rPr>
                <w:rFonts w:ascii="Arial" w:hAnsi="Arial" w:cs="Arial"/>
                <w:lang w:val="en-US"/>
              </w:rPr>
              <w:t xml:space="preserve"> </w:t>
            </w:r>
            <w:r>
              <w:rPr>
                <w:rFonts w:ascii="Arial" w:hAnsi="Arial" w:cs="Arial"/>
                <w:lang w:val="en-US"/>
              </w:rPr>
              <w:t xml:space="preserve">- </w:t>
            </w:r>
            <w:r w:rsidRPr="00ED2ABF">
              <w:rPr>
                <w:rFonts w:ascii="Arial" w:hAnsi="Arial" w:cs="Arial"/>
                <w:lang w:val="en-US"/>
              </w:rPr>
              <w:t>concentraţie medie/an</w:t>
            </w:r>
            <w:r w:rsidRPr="00ED2ABF">
              <w:rPr>
                <w:rFonts w:ascii="Arial" w:hAnsi="Arial" w:cs="Arial"/>
              </w:rPr>
              <w:t xml:space="preserve">  (µg/mc)</w:t>
            </w:r>
          </w:p>
        </w:tc>
        <w:tc>
          <w:tcPr>
            <w:tcW w:w="972" w:type="dxa"/>
            <w:shd w:val="clear" w:color="auto" w:fill="FDE9D9" w:themeFill="accent6" w:themeFillTint="33"/>
            <w:vAlign w:val="center"/>
          </w:tcPr>
          <w:p w:rsidR="00012F90" w:rsidRPr="00943DC2" w:rsidRDefault="00012F90" w:rsidP="00012F90">
            <w:pPr>
              <w:jc w:val="center"/>
              <w:rPr>
                <w:rFonts w:ascii="Arial" w:hAnsi="Arial" w:cs="Arial"/>
              </w:rPr>
            </w:pPr>
            <w:r w:rsidRPr="00943DC2">
              <w:rPr>
                <w:rFonts w:ascii="Arial" w:hAnsi="Arial" w:cs="Arial"/>
              </w:rPr>
              <w:t>24,5</w:t>
            </w:r>
          </w:p>
        </w:tc>
        <w:tc>
          <w:tcPr>
            <w:tcW w:w="993" w:type="dxa"/>
            <w:shd w:val="clear" w:color="auto" w:fill="FDE9D9" w:themeFill="accent6" w:themeFillTint="33"/>
            <w:vAlign w:val="center"/>
          </w:tcPr>
          <w:p w:rsidR="00012F90" w:rsidRPr="00943DC2" w:rsidRDefault="00012F90" w:rsidP="00012F90">
            <w:pPr>
              <w:jc w:val="center"/>
              <w:rPr>
                <w:rFonts w:ascii="Arial" w:hAnsi="Arial" w:cs="Arial"/>
              </w:rPr>
            </w:pPr>
            <w:r w:rsidRPr="00943DC2">
              <w:rPr>
                <w:rFonts w:ascii="Arial" w:hAnsi="Arial" w:cs="Arial"/>
              </w:rPr>
              <w:t>32,5</w:t>
            </w:r>
          </w:p>
        </w:tc>
        <w:tc>
          <w:tcPr>
            <w:tcW w:w="850" w:type="dxa"/>
            <w:shd w:val="clear" w:color="auto" w:fill="FDE9D9" w:themeFill="accent6" w:themeFillTint="33"/>
            <w:vAlign w:val="center"/>
          </w:tcPr>
          <w:p w:rsidR="00012F90" w:rsidRPr="00943DC2" w:rsidRDefault="00012F90" w:rsidP="00012F90">
            <w:pPr>
              <w:jc w:val="center"/>
              <w:rPr>
                <w:rFonts w:ascii="Arial" w:hAnsi="Arial" w:cs="Arial"/>
              </w:rPr>
            </w:pPr>
            <w:r w:rsidRPr="00943DC2">
              <w:rPr>
                <w:rFonts w:ascii="Arial" w:hAnsi="Arial" w:cs="Arial"/>
              </w:rPr>
              <w:t>28,07</w:t>
            </w:r>
          </w:p>
        </w:tc>
        <w:tc>
          <w:tcPr>
            <w:tcW w:w="992" w:type="dxa"/>
            <w:shd w:val="clear" w:color="auto" w:fill="FDE9D9" w:themeFill="accent6" w:themeFillTint="33"/>
            <w:vAlign w:val="center"/>
          </w:tcPr>
          <w:p w:rsidR="00012F90" w:rsidRPr="00943DC2" w:rsidRDefault="00012F90" w:rsidP="00012F90">
            <w:pPr>
              <w:jc w:val="center"/>
              <w:rPr>
                <w:rFonts w:ascii="Arial" w:hAnsi="Arial" w:cs="Arial"/>
              </w:rPr>
            </w:pPr>
            <w:r w:rsidRPr="00943DC2">
              <w:rPr>
                <w:rFonts w:ascii="Arial" w:hAnsi="Arial" w:cs="Arial"/>
              </w:rPr>
              <w:t>36,15</w:t>
            </w:r>
          </w:p>
        </w:tc>
        <w:tc>
          <w:tcPr>
            <w:tcW w:w="992" w:type="dxa"/>
            <w:shd w:val="clear" w:color="auto" w:fill="FDE9D9" w:themeFill="accent6" w:themeFillTint="33"/>
            <w:vAlign w:val="center"/>
          </w:tcPr>
          <w:p w:rsidR="00012F90" w:rsidRPr="00943DC2" w:rsidRDefault="00012F90" w:rsidP="00012F90">
            <w:pPr>
              <w:jc w:val="center"/>
              <w:rPr>
                <w:rFonts w:ascii="Arial" w:hAnsi="Arial" w:cs="Arial"/>
              </w:rPr>
            </w:pPr>
            <w:r w:rsidRPr="00943DC2">
              <w:rPr>
                <w:rFonts w:ascii="Arial" w:hAnsi="Arial" w:cs="Arial"/>
              </w:rPr>
              <w:t>46,03</w:t>
            </w:r>
          </w:p>
        </w:tc>
      </w:tr>
    </w:tbl>
    <w:p w:rsidR="00012F90" w:rsidRDefault="00012F90" w:rsidP="00012F90"/>
    <w:p w:rsidR="00012F90" w:rsidRDefault="00012F90" w:rsidP="00012F90">
      <w:pPr>
        <w:jc w:val="center"/>
      </w:pPr>
      <w:r>
        <w:rPr>
          <w:noProof/>
          <w:lang w:val="ro-RO" w:eastAsia="ro-RO"/>
        </w:rPr>
        <w:drawing>
          <wp:inline distT="0" distB="0" distL="0" distR="0">
            <wp:extent cx="5486400" cy="3200400"/>
            <wp:effectExtent l="19050" t="0" r="19050" b="0"/>
            <wp:docPr id="87" name="Chart 3"/>
            <wp:cNvGraphicFramePr/>
            <a:graphic xmlns:a="http://schemas.openxmlformats.org/drawingml/2006/main">
              <a:graphicData uri="http://schemas.openxmlformats.org/drawingml/2006/chart">
                <c:chart xmlns:c="http://schemas.openxmlformats.org/drawingml/2006/chart" xmlns:r="http://schemas.openxmlformats.org/officeDocument/2006/relationships" r:id="rId121"/>
              </a:graphicData>
            </a:graphic>
          </wp:inline>
        </w:drawing>
      </w:r>
    </w:p>
    <w:p w:rsidR="00012F90" w:rsidRDefault="00012F90" w:rsidP="00012F90"/>
    <w:p w:rsidR="00012F90" w:rsidRDefault="00012F90" w:rsidP="00012F90">
      <w:pPr>
        <w:tabs>
          <w:tab w:val="left" w:pos="1139"/>
        </w:tabs>
        <w:rPr>
          <w:rFonts w:ascii="Arial" w:hAnsi="Arial" w:cs="Arial"/>
          <w:b/>
        </w:rPr>
      </w:pPr>
    </w:p>
    <w:p w:rsidR="00012F90" w:rsidRDefault="00012F90" w:rsidP="00012F90">
      <w:pPr>
        <w:tabs>
          <w:tab w:val="left" w:pos="1139"/>
        </w:tabs>
        <w:rPr>
          <w:rFonts w:ascii="Arial" w:hAnsi="Arial" w:cs="Arial"/>
          <w:color w:val="000000"/>
        </w:rPr>
      </w:pPr>
      <w:r w:rsidRPr="00B854D5">
        <w:rPr>
          <w:rFonts w:ascii="Arial" w:hAnsi="Arial" w:cs="Arial"/>
          <w:b/>
        </w:rPr>
        <w:t xml:space="preserve">Tabel nr. IX.1.1.1. </w:t>
      </w:r>
      <w:r>
        <w:rPr>
          <w:rFonts w:ascii="Arial" w:hAnsi="Arial" w:cs="Arial"/>
          <w:b/>
        </w:rPr>
        <w:t>–</w:t>
      </w:r>
      <w:r w:rsidRPr="00B854D5">
        <w:rPr>
          <w:rFonts w:ascii="Arial" w:hAnsi="Arial" w:cs="Arial"/>
          <w:b/>
        </w:rPr>
        <w:t xml:space="preserve"> </w:t>
      </w:r>
      <w:r>
        <w:rPr>
          <w:rFonts w:ascii="Arial" w:hAnsi="Arial" w:cs="Arial"/>
          <w:b/>
        </w:rPr>
        <w:t>6 –</w:t>
      </w:r>
      <w:r w:rsidRPr="00F928BF">
        <w:rPr>
          <w:rFonts w:ascii="Arial" w:hAnsi="Arial" w:cs="Arial"/>
          <w:lang w:val="en-US"/>
        </w:rPr>
        <w:t xml:space="preserve"> </w:t>
      </w:r>
      <w:r w:rsidRPr="006D618D">
        <w:rPr>
          <w:rFonts w:ascii="Arial" w:hAnsi="Arial" w:cs="Arial"/>
          <w:lang w:val="en-US"/>
        </w:rPr>
        <w:t xml:space="preserve">Evoluția </w:t>
      </w:r>
      <w:r w:rsidRPr="006D618D">
        <w:rPr>
          <w:rFonts w:ascii="Arial" w:hAnsi="Arial" w:cs="Arial"/>
        </w:rPr>
        <w:t xml:space="preserve"> </w:t>
      </w:r>
      <w:r w:rsidRPr="006D618D">
        <w:rPr>
          <w:rFonts w:ascii="Arial" w:hAnsi="Arial" w:cs="Arial"/>
          <w:lang w:val="en-US"/>
        </w:rPr>
        <w:t>concentraţiilor  medii anuale a</w:t>
      </w:r>
      <w:r w:rsidRPr="006D618D">
        <w:rPr>
          <w:rFonts w:ascii="Arial" w:hAnsi="Arial" w:cs="Arial"/>
          <w:color w:val="000000"/>
        </w:rPr>
        <w:t xml:space="preserve"> </w:t>
      </w:r>
      <w:r w:rsidRPr="006D618D">
        <w:rPr>
          <w:rFonts w:ascii="Arial" w:hAnsi="Arial" w:cs="Arial"/>
          <w:lang w:val="en-US"/>
        </w:rPr>
        <w:t>PM</w:t>
      </w:r>
      <w:r w:rsidRPr="006D618D">
        <w:rPr>
          <w:rFonts w:ascii="Arial" w:hAnsi="Arial" w:cs="Arial"/>
          <w:vertAlign w:val="subscript"/>
          <w:lang w:val="en-US"/>
        </w:rPr>
        <w:t>10</w:t>
      </w:r>
      <w:r w:rsidRPr="006D618D">
        <w:rPr>
          <w:rFonts w:ascii="Arial" w:hAnsi="Arial" w:cs="Arial"/>
          <w:lang w:val="en-US"/>
        </w:rPr>
        <w:t xml:space="preserve"> - </w:t>
      </w:r>
      <w:r w:rsidRPr="006D618D">
        <w:rPr>
          <w:rFonts w:ascii="Arial" w:hAnsi="Arial" w:cs="Arial"/>
          <w:color w:val="000000"/>
        </w:rPr>
        <w:t xml:space="preserve">(µg/mc) în </w:t>
      </w:r>
      <w:r w:rsidRPr="006D618D">
        <w:rPr>
          <w:rFonts w:ascii="Arial" w:hAnsi="Arial" w:cs="Arial"/>
        </w:rPr>
        <w:t xml:space="preserve">județul Brăila în </w:t>
      </w:r>
      <w:r w:rsidRPr="006D618D">
        <w:rPr>
          <w:rFonts w:ascii="Arial" w:hAnsi="Arial" w:cs="Arial"/>
          <w:color w:val="000000"/>
        </w:rPr>
        <w:t xml:space="preserve">perioada 2010 </w:t>
      </w:r>
      <w:r>
        <w:rPr>
          <w:rFonts w:ascii="Arial" w:hAnsi="Arial" w:cs="Arial"/>
          <w:color w:val="000000"/>
        </w:rPr>
        <w:t>–</w:t>
      </w:r>
      <w:r w:rsidRPr="006D618D">
        <w:rPr>
          <w:rFonts w:ascii="Arial" w:hAnsi="Arial" w:cs="Arial"/>
          <w:color w:val="000000"/>
        </w:rPr>
        <w:t xml:space="preserve"> 2014</w:t>
      </w:r>
    </w:p>
    <w:p w:rsidR="00012F90" w:rsidRPr="006D618D" w:rsidRDefault="00012F90" w:rsidP="00012F90">
      <w:pPr>
        <w:tabs>
          <w:tab w:val="left" w:pos="1139"/>
        </w:tabs>
      </w:pPr>
    </w:p>
    <w:tbl>
      <w:tblPr>
        <w:tblStyle w:val="TableGrid"/>
        <w:tblW w:w="0" w:type="auto"/>
        <w:tblLook w:val="04A0"/>
      </w:tblPr>
      <w:tblGrid>
        <w:gridCol w:w="4361"/>
        <w:gridCol w:w="1276"/>
        <w:gridCol w:w="1134"/>
        <w:gridCol w:w="1134"/>
        <w:gridCol w:w="992"/>
        <w:gridCol w:w="1101"/>
      </w:tblGrid>
      <w:tr w:rsidR="00012F90" w:rsidTr="00012F90">
        <w:tc>
          <w:tcPr>
            <w:tcW w:w="4361" w:type="dxa"/>
            <w:shd w:val="clear" w:color="auto" w:fill="FBD4B4" w:themeFill="accent6" w:themeFillTint="66"/>
          </w:tcPr>
          <w:p w:rsidR="00012F90" w:rsidRPr="001B3D1D" w:rsidRDefault="00012F90" w:rsidP="00012F90">
            <w:pPr>
              <w:tabs>
                <w:tab w:val="left" w:pos="1139"/>
              </w:tabs>
              <w:rPr>
                <w:rFonts w:ascii="Arial" w:hAnsi="Arial" w:cs="Arial"/>
                <w:b/>
              </w:rPr>
            </w:pPr>
            <w:r w:rsidRPr="003246A9">
              <w:rPr>
                <w:rFonts w:ascii="Arial" w:hAnsi="Arial" w:cs="Arial"/>
                <w:b/>
              </w:rPr>
              <w:t>județul</w:t>
            </w:r>
            <w:r w:rsidRPr="00940619">
              <w:rPr>
                <w:rFonts w:ascii="Arial" w:hAnsi="Arial" w:cs="Arial"/>
              </w:rPr>
              <w:t xml:space="preserve"> </w:t>
            </w:r>
            <w:r>
              <w:rPr>
                <w:rFonts w:ascii="Arial" w:hAnsi="Arial" w:cs="Arial"/>
                <w:b/>
              </w:rPr>
              <w:t>Brăila</w:t>
            </w:r>
          </w:p>
        </w:tc>
        <w:tc>
          <w:tcPr>
            <w:tcW w:w="1276" w:type="dxa"/>
            <w:shd w:val="clear" w:color="auto" w:fill="FBD4B4" w:themeFill="accent6" w:themeFillTint="66"/>
          </w:tcPr>
          <w:p w:rsidR="00012F90" w:rsidRPr="001B3D1D" w:rsidRDefault="00012F90" w:rsidP="00012F90">
            <w:pPr>
              <w:tabs>
                <w:tab w:val="left" w:pos="1139"/>
              </w:tabs>
              <w:jc w:val="center"/>
              <w:rPr>
                <w:rFonts w:ascii="Arial" w:hAnsi="Arial" w:cs="Arial"/>
                <w:b/>
              </w:rPr>
            </w:pPr>
            <w:r w:rsidRPr="001B3D1D">
              <w:rPr>
                <w:rFonts w:ascii="Arial" w:hAnsi="Arial" w:cs="Arial"/>
                <w:b/>
              </w:rPr>
              <w:t>2010</w:t>
            </w:r>
          </w:p>
        </w:tc>
        <w:tc>
          <w:tcPr>
            <w:tcW w:w="1134" w:type="dxa"/>
            <w:shd w:val="clear" w:color="auto" w:fill="FBD4B4" w:themeFill="accent6" w:themeFillTint="66"/>
          </w:tcPr>
          <w:p w:rsidR="00012F90" w:rsidRPr="001B3D1D" w:rsidRDefault="00012F90" w:rsidP="00012F90">
            <w:pPr>
              <w:tabs>
                <w:tab w:val="left" w:pos="1139"/>
              </w:tabs>
              <w:jc w:val="center"/>
              <w:rPr>
                <w:rFonts w:ascii="Arial" w:hAnsi="Arial" w:cs="Arial"/>
                <w:b/>
              </w:rPr>
            </w:pPr>
            <w:r w:rsidRPr="001B3D1D">
              <w:rPr>
                <w:rFonts w:ascii="Arial" w:hAnsi="Arial" w:cs="Arial"/>
                <w:b/>
              </w:rPr>
              <w:t>2011</w:t>
            </w:r>
          </w:p>
        </w:tc>
        <w:tc>
          <w:tcPr>
            <w:tcW w:w="1134" w:type="dxa"/>
            <w:shd w:val="clear" w:color="auto" w:fill="FBD4B4" w:themeFill="accent6" w:themeFillTint="66"/>
          </w:tcPr>
          <w:p w:rsidR="00012F90" w:rsidRPr="001B3D1D" w:rsidRDefault="00012F90" w:rsidP="00012F90">
            <w:pPr>
              <w:tabs>
                <w:tab w:val="left" w:pos="1139"/>
              </w:tabs>
              <w:jc w:val="center"/>
              <w:rPr>
                <w:rFonts w:ascii="Arial" w:hAnsi="Arial" w:cs="Arial"/>
                <w:b/>
              </w:rPr>
            </w:pPr>
            <w:r w:rsidRPr="001B3D1D">
              <w:rPr>
                <w:rFonts w:ascii="Arial" w:hAnsi="Arial" w:cs="Arial"/>
                <w:b/>
              </w:rPr>
              <w:t>2012</w:t>
            </w:r>
          </w:p>
        </w:tc>
        <w:tc>
          <w:tcPr>
            <w:tcW w:w="992" w:type="dxa"/>
            <w:shd w:val="clear" w:color="auto" w:fill="FBD4B4" w:themeFill="accent6" w:themeFillTint="66"/>
          </w:tcPr>
          <w:p w:rsidR="00012F90" w:rsidRPr="001B3D1D" w:rsidRDefault="00012F90" w:rsidP="00012F90">
            <w:pPr>
              <w:tabs>
                <w:tab w:val="left" w:pos="1139"/>
              </w:tabs>
              <w:jc w:val="center"/>
              <w:rPr>
                <w:rFonts w:ascii="Arial" w:hAnsi="Arial" w:cs="Arial"/>
                <w:b/>
              </w:rPr>
            </w:pPr>
            <w:r w:rsidRPr="001B3D1D">
              <w:rPr>
                <w:rFonts w:ascii="Arial" w:hAnsi="Arial" w:cs="Arial"/>
                <w:b/>
              </w:rPr>
              <w:t>2013</w:t>
            </w:r>
          </w:p>
        </w:tc>
        <w:tc>
          <w:tcPr>
            <w:tcW w:w="1101" w:type="dxa"/>
            <w:shd w:val="clear" w:color="auto" w:fill="FBD4B4" w:themeFill="accent6" w:themeFillTint="66"/>
          </w:tcPr>
          <w:p w:rsidR="00012F90" w:rsidRPr="001B3D1D" w:rsidRDefault="00012F90" w:rsidP="00012F90">
            <w:pPr>
              <w:tabs>
                <w:tab w:val="left" w:pos="1139"/>
              </w:tabs>
              <w:jc w:val="center"/>
              <w:rPr>
                <w:rFonts w:ascii="Arial" w:hAnsi="Arial" w:cs="Arial"/>
                <w:b/>
              </w:rPr>
            </w:pPr>
            <w:r w:rsidRPr="001B3D1D">
              <w:rPr>
                <w:rFonts w:ascii="Arial" w:hAnsi="Arial" w:cs="Arial"/>
                <w:b/>
              </w:rPr>
              <w:t>2014</w:t>
            </w:r>
          </w:p>
        </w:tc>
      </w:tr>
      <w:tr w:rsidR="00012F90" w:rsidTr="00012F90">
        <w:tc>
          <w:tcPr>
            <w:tcW w:w="4361" w:type="dxa"/>
            <w:shd w:val="clear" w:color="auto" w:fill="FDE9D9" w:themeFill="accent6" w:themeFillTint="33"/>
          </w:tcPr>
          <w:p w:rsidR="00012F90" w:rsidRPr="00ED2ABF" w:rsidRDefault="00012F90" w:rsidP="00012F90">
            <w:pPr>
              <w:tabs>
                <w:tab w:val="left" w:pos="1139"/>
              </w:tabs>
              <w:rPr>
                <w:rFonts w:ascii="Arial" w:hAnsi="Arial" w:cs="Arial"/>
                <w:b/>
              </w:rPr>
            </w:pPr>
            <w:r w:rsidRPr="00ED2ABF">
              <w:rPr>
                <w:rFonts w:ascii="Arial" w:hAnsi="Arial" w:cs="Arial"/>
                <w:lang w:val="en-US"/>
              </w:rPr>
              <w:t>PM</w:t>
            </w:r>
            <w:r w:rsidRPr="00ED2ABF">
              <w:rPr>
                <w:rFonts w:ascii="Arial" w:hAnsi="Arial" w:cs="Arial"/>
                <w:vertAlign w:val="subscript"/>
                <w:lang w:val="en-US"/>
              </w:rPr>
              <w:t>10</w:t>
            </w:r>
            <w:r w:rsidRPr="00ED2ABF">
              <w:rPr>
                <w:rFonts w:ascii="Arial" w:hAnsi="Arial" w:cs="Arial"/>
                <w:lang w:val="en-US"/>
              </w:rPr>
              <w:t xml:space="preserve"> (concentraţie medie/an)</w:t>
            </w:r>
            <w:r w:rsidRPr="00ED2ABF">
              <w:rPr>
                <w:rFonts w:ascii="Arial" w:hAnsi="Arial" w:cs="Arial"/>
              </w:rPr>
              <w:t xml:space="preserve">  (µg/mc)</w:t>
            </w:r>
          </w:p>
        </w:tc>
        <w:tc>
          <w:tcPr>
            <w:tcW w:w="1276" w:type="dxa"/>
            <w:shd w:val="clear" w:color="auto" w:fill="FDE9D9" w:themeFill="accent6" w:themeFillTint="33"/>
          </w:tcPr>
          <w:p w:rsidR="00012F90" w:rsidRPr="00654D79" w:rsidRDefault="00012F90" w:rsidP="00012F90">
            <w:pPr>
              <w:jc w:val="center"/>
              <w:rPr>
                <w:rFonts w:ascii="Arial" w:hAnsi="Arial" w:cs="Arial"/>
              </w:rPr>
            </w:pPr>
            <w:r w:rsidRPr="00654D79">
              <w:rPr>
                <w:rFonts w:ascii="Arial" w:hAnsi="Arial" w:cs="Arial"/>
              </w:rPr>
              <w:t>24,5</w:t>
            </w:r>
          </w:p>
        </w:tc>
        <w:tc>
          <w:tcPr>
            <w:tcW w:w="1134" w:type="dxa"/>
            <w:shd w:val="clear" w:color="auto" w:fill="FDE9D9" w:themeFill="accent6" w:themeFillTint="33"/>
          </w:tcPr>
          <w:p w:rsidR="00012F90" w:rsidRPr="00654D79" w:rsidRDefault="00012F90" w:rsidP="00012F90">
            <w:pPr>
              <w:jc w:val="center"/>
              <w:rPr>
                <w:rFonts w:ascii="Arial" w:hAnsi="Arial" w:cs="Arial"/>
              </w:rPr>
            </w:pPr>
            <w:r>
              <w:rPr>
                <w:rFonts w:ascii="Arial" w:hAnsi="Arial" w:cs="Arial"/>
              </w:rPr>
              <w:t>32,5</w:t>
            </w:r>
          </w:p>
        </w:tc>
        <w:tc>
          <w:tcPr>
            <w:tcW w:w="1134" w:type="dxa"/>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28,07</w:t>
            </w:r>
          </w:p>
        </w:tc>
        <w:tc>
          <w:tcPr>
            <w:tcW w:w="992" w:type="dxa"/>
            <w:shd w:val="clear" w:color="auto" w:fill="FDE9D9" w:themeFill="accent6" w:themeFillTint="33"/>
          </w:tcPr>
          <w:p w:rsidR="00012F90" w:rsidRDefault="00012F90" w:rsidP="00012F90">
            <w:pPr>
              <w:jc w:val="center"/>
              <w:rPr>
                <w:rFonts w:ascii="Arial" w:hAnsi="Arial" w:cs="Arial"/>
              </w:rPr>
            </w:pPr>
            <w:r>
              <w:rPr>
                <w:rFonts w:ascii="Arial" w:hAnsi="Arial" w:cs="Arial"/>
              </w:rPr>
              <w:t>36,15</w:t>
            </w:r>
          </w:p>
        </w:tc>
        <w:tc>
          <w:tcPr>
            <w:tcW w:w="1101" w:type="dxa"/>
            <w:shd w:val="clear" w:color="auto" w:fill="FDE9D9" w:themeFill="accent6" w:themeFillTint="33"/>
            <w:vAlign w:val="center"/>
          </w:tcPr>
          <w:p w:rsidR="00012F90" w:rsidRDefault="00012F90" w:rsidP="00012F90">
            <w:pPr>
              <w:jc w:val="center"/>
              <w:rPr>
                <w:rFonts w:ascii="Arial" w:hAnsi="Arial" w:cs="Arial"/>
              </w:rPr>
            </w:pPr>
            <w:r>
              <w:rPr>
                <w:rFonts w:ascii="Arial" w:hAnsi="Arial" w:cs="Arial"/>
              </w:rPr>
              <w:t>46,03</w:t>
            </w:r>
          </w:p>
        </w:tc>
      </w:tr>
    </w:tbl>
    <w:p w:rsidR="00012F90" w:rsidRDefault="00012F90" w:rsidP="00012F90">
      <w:pPr>
        <w:rPr>
          <w:rFonts w:ascii="Arial" w:hAnsi="Arial" w:cs="Arial"/>
          <w:b/>
          <w:bCs/>
        </w:rPr>
      </w:pPr>
    </w:p>
    <w:p w:rsidR="00012F90" w:rsidRPr="006D618D" w:rsidRDefault="00012F90" w:rsidP="00012F90">
      <w:pPr>
        <w:jc w:val="center"/>
        <w:rPr>
          <w:rFonts w:ascii="Arial" w:hAnsi="Arial" w:cs="Arial"/>
        </w:rPr>
      </w:pPr>
      <w:r>
        <w:rPr>
          <w:rFonts w:ascii="Arial" w:hAnsi="Arial" w:cs="Arial"/>
          <w:noProof/>
          <w:lang w:val="ro-RO" w:eastAsia="ro-RO"/>
        </w:rPr>
        <w:drawing>
          <wp:inline distT="0" distB="0" distL="0" distR="0">
            <wp:extent cx="5124450" cy="2752725"/>
            <wp:effectExtent l="19050" t="0" r="19050" b="0"/>
            <wp:docPr id="88" name="Chart 19"/>
            <wp:cNvGraphicFramePr/>
            <a:graphic xmlns:a="http://schemas.openxmlformats.org/drawingml/2006/main">
              <a:graphicData uri="http://schemas.openxmlformats.org/drawingml/2006/chart">
                <c:chart xmlns:c="http://schemas.openxmlformats.org/drawingml/2006/chart" xmlns:r="http://schemas.openxmlformats.org/officeDocument/2006/relationships" r:id="rId122"/>
              </a:graphicData>
            </a:graphic>
          </wp:inline>
        </w:drawing>
      </w:r>
    </w:p>
    <w:p w:rsidR="00012F90" w:rsidRDefault="00012F90" w:rsidP="00012F90">
      <w:pPr>
        <w:jc w:val="both"/>
        <w:rPr>
          <w:rFonts w:ascii="Arial" w:hAnsi="Arial" w:cs="Arial"/>
          <w:b/>
          <w:bCs/>
        </w:rPr>
      </w:pPr>
    </w:p>
    <w:p w:rsidR="00012F90" w:rsidRDefault="00012F90" w:rsidP="00012F90">
      <w:pPr>
        <w:jc w:val="both"/>
        <w:rPr>
          <w:rFonts w:ascii="Arial" w:hAnsi="Arial" w:cs="Arial"/>
          <w:b/>
        </w:rPr>
      </w:pPr>
      <w:r w:rsidRPr="005B4598">
        <w:rPr>
          <w:rFonts w:ascii="Arial" w:hAnsi="Arial" w:cs="Arial"/>
          <w:b/>
          <w:bCs/>
        </w:rPr>
        <w:t xml:space="preserve">IX.1.2 </w:t>
      </w:r>
      <w:r w:rsidRPr="005B4598">
        <w:rPr>
          <w:rFonts w:ascii="Arial" w:hAnsi="Arial" w:cs="Arial"/>
          <w:b/>
        </w:rPr>
        <w:t>Poluarea fonică și efectele asupra sănătății și calității vieții</w:t>
      </w:r>
    </w:p>
    <w:p w:rsidR="00012F90" w:rsidRPr="005B4598" w:rsidRDefault="00012F90" w:rsidP="00012F90">
      <w:pPr>
        <w:ind w:left="540"/>
        <w:jc w:val="both"/>
        <w:rPr>
          <w:rFonts w:ascii="Arial" w:hAnsi="Arial" w:cs="Arial"/>
          <w:b/>
          <w:bCs/>
        </w:rPr>
      </w:pPr>
      <w:r w:rsidRPr="00E937C8">
        <w:rPr>
          <w:rFonts w:ascii="Arial" w:hAnsi="Arial" w:cs="Arial"/>
          <w:b/>
          <w:bCs/>
        </w:rPr>
        <w:t>IX.1.2.1 Expunerea la poluarea sonoră a aglomerărilor urbane cu peste 250.000 locuitori</w:t>
      </w:r>
    </w:p>
    <w:p w:rsidR="00012F90" w:rsidRPr="00B43962" w:rsidRDefault="00012F90" w:rsidP="00012F90">
      <w:pPr>
        <w:jc w:val="both"/>
        <w:rPr>
          <w:rFonts w:ascii="Arial" w:hAnsi="Arial" w:cs="Arial"/>
        </w:rPr>
      </w:pPr>
      <w:r w:rsidRPr="00B43962">
        <w:rPr>
          <w:rFonts w:ascii="Arial" w:hAnsi="Arial" w:cs="Arial"/>
        </w:rPr>
        <w:t>Poluarea fonică reprezintă expunerea oamenilor sau a animalelor la sunete ale c</w:t>
      </w:r>
      <w:r>
        <w:rPr>
          <w:rFonts w:ascii="Arial" w:hAnsi="Arial" w:cs="Arial"/>
        </w:rPr>
        <w:t>ă</w:t>
      </w:r>
      <w:r w:rsidRPr="00B43962">
        <w:rPr>
          <w:rFonts w:ascii="Arial" w:hAnsi="Arial" w:cs="Arial"/>
        </w:rPr>
        <w:t>ror intensități sunt stresante sau care afecteaz</w:t>
      </w:r>
      <w:r>
        <w:rPr>
          <w:rFonts w:ascii="Arial" w:hAnsi="Arial" w:cs="Arial"/>
        </w:rPr>
        <w:t>ă</w:t>
      </w:r>
      <w:r w:rsidRPr="00B43962">
        <w:rPr>
          <w:rFonts w:ascii="Arial" w:hAnsi="Arial" w:cs="Arial"/>
        </w:rPr>
        <w:t xml:space="preserve"> sistemul auditiv. Deși sunetele puternice fac parte din natură, în ultimele doua secole zonele urbane au devenit extrem de zgomotoase. </w:t>
      </w:r>
    </w:p>
    <w:p w:rsidR="00012F90" w:rsidRDefault="00012F90" w:rsidP="00012F90">
      <w:pPr>
        <w:autoSpaceDE w:val="0"/>
        <w:autoSpaceDN w:val="0"/>
        <w:adjustRightInd w:val="0"/>
        <w:jc w:val="both"/>
        <w:rPr>
          <w:rFonts w:ascii="Arial" w:eastAsia="Times New Roman" w:hAnsi="Arial" w:cs="Arial"/>
          <w:color w:val="000000"/>
        </w:rPr>
      </w:pPr>
      <w:r w:rsidRPr="00B43962">
        <w:rPr>
          <w:rFonts w:ascii="Arial" w:hAnsi="Arial" w:cs="Arial"/>
        </w:rPr>
        <w:t xml:space="preserve">Zgomotul în cadrul unui oraș provine în principal de la diversele activități </w:t>
      </w:r>
      <w:r w:rsidRPr="00884BCE">
        <w:rPr>
          <w:rFonts w:ascii="Arial" w:eastAsia="Times New Roman" w:hAnsi="Arial" w:cs="Arial"/>
          <w:color w:val="000000"/>
        </w:rPr>
        <w:t>din zonele industriale din interiorul aglomerărilor</w:t>
      </w:r>
      <w:r w:rsidRPr="00B43962">
        <w:rPr>
          <w:rFonts w:ascii="Arial" w:hAnsi="Arial" w:cs="Arial"/>
        </w:rPr>
        <w:t xml:space="preserve"> desfășurate de către locuitori și de mijloacele de transport personal sau comunitar care asigură deplasarea în oraș sau î</w:t>
      </w:r>
      <w:r>
        <w:rPr>
          <w:rFonts w:ascii="Arial" w:hAnsi="Arial" w:cs="Arial"/>
        </w:rPr>
        <w:t xml:space="preserve">n afara acestuia, </w:t>
      </w:r>
      <w:r>
        <w:rPr>
          <w:rFonts w:ascii="Arial" w:eastAsia="Times New Roman" w:hAnsi="Arial" w:cs="Arial"/>
          <w:color w:val="000000"/>
        </w:rPr>
        <w:t>feroviar sau</w:t>
      </w:r>
      <w:r w:rsidRPr="00884BCE">
        <w:rPr>
          <w:rFonts w:ascii="Arial" w:eastAsia="Times New Roman" w:hAnsi="Arial" w:cs="Arial"/>
          <w:color w:val="000000"/>
        </w:rPr>
        <w:t xml:space="preserve"> aerian</w:t>
      </w:r>
      <w:r>
        <w:rPr>
          <w:rFonts w:ascii="Arial" w:eastAsia="Times New Roman" w:hAnsi="Arial" w:cs="Arial"/>
          <w:color w:val="000000"/>
        </w:rPr>
        <w:t xml:space="preserve">. </w:t>
      </w:r>
      <w:r w:rsidRPr="00884BCE">
        <w:rPr>
          <w:rFonts w:ascii="Arial" w:eastAsia="Times New Roman" w:hAnsi="Arial" w:cs="Arial"/>
          <w:color w:val="000000"/>
        </w:rPr>
        <w:t xml:space="preserve">Activităţile specifice din sectorul construcţiilor, activităţile publice, sistemele de alarmare (pentru clădiri şi autovehicule) precum şi cele din sectorul specific de consum şi de recreere (restaurante, discoteci, mici ateliere, animale domestice, stadioane, concerte în aer liber, manifestări culturale în aer liber) sunt alte surse generatoare de zgomot specifice vieţii de zi cu zi a unei societăţi umane. </w:t>
      </w:r>
    </w:p>
    <w:p w:rsidR="00012F90" w:rsidRPr="00590581" w:rsidRDefault="00012F90" w:rsidP="00012F90">
      <w:pPr>
        <w:autoSpaceDE w:val="0"/>
        <w:autoSpaceDN w:val="0"/>
        <w:adjustRightInd w:val="0"/>
        <w:ind w:firstLine="540"/>
        <w:jc w:val="both"/>
        <w:rPr>
          <w:rFonts w:ascii="Arial" w:hAnsi="Arial" w:cs="Arial"/>
          <w:color w:val="000000"/>
        </w:rPr>
      </w:pPr>
      <w:r w:rsidRPr="00590581">
        <w:rPr>
          <w:rFonts w:ascii="Arial" w:hAnsi="Arial" w:cs="Arial"/>
          <w:color w:val="000000"/>
        </w:rPr>
        <w:t xml:space="preserve">Influenţa zgomotului asupra organismului depinde de mai mulţi factori: </w:t>
      </w:r>
    </w:p>
    <w:p w:rsidR="00012F90" w:rsidRPr="006C21DF" w:rsidRDefault="00012F90" w:rsidP="005E6B2E">
      <w:pPr>
        <w:pStyle w:val="ListParagraph"/>
        <w:numPr>
          <w:ilvl w:val="0"/>
          <w:numId w:val="51"/>
        </w:numPr>
        <w:autoSpaceDE w:val="0"/>
        <w:autoSpaceDN w:val="0"/>
        <w:adjustRightInd w:val="0"/>
        <w:jc w:val="both"/>
        <w:rPr>
          <w:rFonts w:ascii="Arial" w:hAnsi="Arial" w:cs="Arial"/>
          <w:color w:val="000000"/>
        </w:rPr>
      </w:pPr>
      <w:r w:rsidRPr="006C21DF">
        <w:rPr>
          <w:rFonts w:ascii="Arial" w:hAnsi="Arial" w:cs="Arial"/>
          <w:color w:val="000000"/>
        </w:rPr>
        <w:t xml:space="preserve">mărimea zgomotului, considerând frecvenţa, intensitatea, timpul de acţiune şi caracteristicile (continuu, pulsatoriu, accidental); </w:t>
      </w:r>
    </w:p>
    <w:p w:rsidR="00012F90" w:rsidRPr="006C21DF" w:rsidRDefault="00012F90" w:rsidP="005E6B2E">
      <w:pPr>
        <w:pStyle w:val="ListParagraph"/>
        <w:numPr>
          <w:ilvl w:val="0"/>
          <w:numId w:val="51"/>
        </w:numPr>
        <w:autoSpaceDE w:val="0"/>
        <w:autoSpaceDN w:val="0"/>
        <w:adjustRightInd w:val="0"/>
        <w:jc w:val="both"/>
        <w:rPr>
          <w:rFonts w:ascii="Arial" w:hAnsi="Arial" w:cs="Arial"/>
          <w:color w:val="000000"/>
        </w:rPr>
      </w:pPr>
      <w:r w:rsidRPr="006C21DF">
        <w:rPr>
          <w:rFonts w:ascii="Arial" w:hAnsi="Arial" w:cs="Arial"/>
          <w:color w:val="000000"/>
        </w:rPr>
        <w:t xml:space="preserve">caracteristicile distribuţiei zgomotului de fond existent în afara celui perturbator </w:t>
      </w:r>
    </w:p>
    <w:p w:rsidR="00012F90" w:rsidRPr="006C21DF" w:rsidRDefault="00012F90" w:rsidP="005E6B2E">
      <w:pPr>
        <w:pStyle w:val="ListParagraph"/>
        <w:numPr>
          <w:ilvl w:val="0"/>
          <w:numId w:val="51"/>
        </w:numPr>
        <w:autoSpaceDE w:val="0"/>
        <w:autoSpaceDN w:val="0"/>
        <w:adjustRightInd w:val="0"/>
        <w:jc w:val="both"/>
        <w:rPr>
          <w:rFonts w:ascii="Arial" w:hAnsi="Arial" w:cs="Arial"/>
          <w:color w:val="000000"/>
        </w:rPr>
      </w:pPr>
      <w:r w:rsidRPr="006C21DF">
        <w:rPr>
          <w:rFonts w:ascii="Arial" w:hAnsi="Arial" w:cs="Arial"/>
          <w:color w:val="000000"/>
        </w:rPr>
        <w:t xml:space="preserve">organism: vârsta, starea fizică, sensibilitatea individuală, obișnuința; </w:t>
      </w:r>
    </w:p>
    <w:p w:rsidR="00012F90" w:rsidRPr="006C21DF" w:rsidRDefault="00012F90" w:rsidP="005E6B2E">
      <w:pPr>
        <w:pStyle w:val="ListParagraph"/>
        <w:numPr>
          <w:ilvl w:val="0"/>
          <w:numId w:val="51"/>
        </w:numPr>
        <w:autoSpaceDE w:val="0"/>
        <w:autoSpaceDN w:val="0"/>
        <w:adjustRightInd w:val="0"/>
        <w:jc w:val="both"/>
        <w:rPr>
          <w:rFonts w:ascii="Arial" w:hAnsi="Arial" w:cs="Arial"/>
          <w:color w:val="000000"/>
        </w:rPr>
      </w:pPr>
      <w:r w:rsidRPr="006C21DF">
        <w:rPr>
          <w:rFonts w:ascii="Arial" w:hAnsi="Arial" w:cs="Arial"/>
          <w:color w:val="000000"/>
        </w:rPr>
        <w:t>mediul de propagare: dimensiunea spaţiului (închis, în afara, configuraţia terenului, structura arhitecturală).</w:t>
      </w:r>
    </w:p>
    <w:p w:rsidR="00012F90" w:rsidRPr="00B43962" w:rsidRDefault="00012F90" w:rsidP="00012F90">
      <w:pPr>
        <w:autoSpaceDE w:val="0"/>
        <w:autoSpaceDN w:val="0"/>
        <w:adjustRightInd w:val="0"/>
        <w:jc w:val="both"/>
        <w:rPr>
          <w:rFonts w:ascii="Arial" w:hAnsi="Arial" w:cs="Arial"/>
        </w:rPr>
      </w:pPr>
      <w:r>
        <w:rPr>
          <w:rFonts w:ascii="Arial" w:hAnsi="Arial" w:cs="Arial"/>
          <w:bCs/>
        </w:rPr>
        <w:t xml:space="preserve"> </w:t>
      </w:r>
      <w:r w:rsidRPr="00B43962">
        <w:rPr>
          <w:rFonts w:ascii="Arial" w:hAnsi="Arial" w:cs="Arial"/>
          <w:bCs/>
        </w:rPr>
        <w:t xml:space="preserve">Efectele dăunătoare </w:t>
      </w:r>
      <w:r w:rsidRPr="00B43962">
        <w:rPr>
          <w:rFonts w:ascii="Arial" w:hAnsi="Arial" w:cs="Arial"/>
        </w:rPr>
        <w:t>ale zgomotului asupra comunităţilor umane sunt :</w:t>
      </w:r>
    </w:p>
    <w:p w:rsidR="00012F90" w:rsidRPr="00EF2191" w:rsidRDefault="00012F90" w:rsidP="005E6B2E">
      <w:pPr>
        <w:pStyle w:val="ListParagraph"/>
        <w:numPr>
          <w:ilvl w:val="0"/>
          <w:numId w:val="49"/>
        </w:numPr>
        <w:autoSpaceDE w:val="0"/>
        <w:autoSpaceDN w:val="0"/>
        <w:adjustRightInd w:val="0"/>
        <w:ind w:hanging="502"/>
        <w:jc w:val="both"/>
        <w:rPr>
          <w:rFonts w:ascii="Arial" w:hAnsi="Arial" w:cs="Arial"/>
        </w:rPr>
      </w:pPr>
      <w:r w:rsidRPr="00EF2191">
        <w:rPr>
          <w:rFonts w:ascii="Arial" w:hAnsi="Arial" w:cs="Arial"/>
        </w:rPr>
        <w:t>&gt; 65 dB (A) - risc asupra sănătăţii;</w:t>
      </w:r>
    </w:p>
    <w:p w:rsidR="00012F90" w:rsidRPr="00EF2191" w:rsidRDefault="00012F90" w:rsidP="005E6B2E">
      <w:pPr>
        <w:pStyle w:val="ListParagraph"/>
        <w:numPr>
          <w:ilvl w:val="0"/>
          <w:numId w:val="49"/>
        </w:numPr>
        <w:autoSpaceDE w:val="0"/>
        <w:autoSpaceDN w:val="0"/>
        <w:adjustRightInd w:val="0"/>
        <w:ind w:hanging="502"/>
        <w:jc w:val="both"/>
        <w:rPr>
          <w:rFonts w:ascii="Arial" w:hAnsi="Arial" w:cs="Arial"/>
        </w:rPr>
      </w:pPr>
      <w:r w:rsidRPr="00EF2191">
        <w:rPr>
          <w:rFonts w:ascii="Arial" w:hAnsi="Arial" w:cs="Arial"/>
        </w:rPr>
        <w:t>&gt; 55 dB (A) - este perturbată comunicarea;</w:t>
      </w:r>
    </w:p>
    <w:p w:rsidR="00012F90" w:rsidRPr="00EF2191" w:rsidRDefault="00012F90" w:rsidP="005E6B2E">
      <w:pPr>
        <w:pStyle w:val="ListParagraph"/>
        <w:numPr>
          <w:ilvl w:val="0"/>
          <w:numId w:val="49"/>
        </w:numPr>
        <w:ind w:hanging="502"/>
        <w:jc w:val="both"/>
        <w:rPr>
          <w:rFonts w:ascii="Arial" w:hAnsi="Arial" w:cs="Arial"/>
        </w:rPr>
      </w:pPr>
      <w:r w:rsidRPr="00EF2191">
        <w:rPr>
          <w:rFonts w:ascii="Arial" w:hAnsi="Arial" w:cs="Arial"/>
        </w:rPr>
        <w:t>&gt; 45 dB (A) - este perturbat somnul.</w:t>
      </w:r>
    </w:p>
    <w:p w:rsidR="00012F90" w:rsidRPr="00DC6271" w:rsidRDefault="00012F90" w:rsidP="00012F90">
      <w:pPr>
        <w:autoSpaceDE w:val="0"/>
        <w:autoSpaceDN w:val="0"/>
        <w:adjustRightInd w:val="0"/>
        <w:jc w:val="both"/>
        <w:rPr>
          <w:rFonts w:ascii="Arial" w:hAnsi="Arial" w:cs="Arial"/>
        </w:rPr>
      </w:pPr>
      <w:r w:rsidRPr="00DC6271">
        <w:rPr>
          <w:rFonts w:ascii="Arial" w:eastAsia="Times New Roman" w:hAnsi="Arial" w:cs="Arial"/>
        </w:rPr>
        <w:t xml:space="preserve">Sesizând creşterea poluării fonice şi a efectelor datorate ei, ţările </w:t>
      </w:r>
      <w:r>
        <w:rPr>
          <w:rFonts w:ascii="Arial" w:eastAsia="Times New Roman" w:hAnsi="Arial" w:cs="Arial"/>
        </w:rPr>
        <w:t>europene</w:t>
      </w:r>
      <w:r w:rsidRPr="00DC6271">
        <w:rPr>
          <w:rFonts w:ascii="Arial" w:eastAsia="Times New Roman" w:hAnsi="Arial" w:cs="Arial"/>
        </w:rPr>
        <w:t xml:space="preserve"> s-au aliat pentru a găsi modalităţi de identificare, prevenire şi combatere a zgomotului. Astfel, Uniunea Europeană a emis în acest sens Directiva 2002/49/EC </w:t>
      </w:r>
      <w:r w:rsidRPr="00DC6271">
        <w:rPr>
          <w:rFonts w:ascii="Arial" w:hAnsi="Arial" w:cs="Arial"/>
        </w:rPr>
        <w:t>transpusă în legislația românească prin HG nr. 321/2005*** republicată privind evaluarea şi gestionarea zgomotului ambient, pentru care au fost realizate hărți strategice de zgomot și planuri de acțiune, care po</w:t>
      </w:r>
      <w:r>
        <w:rPr>
          <w:rFonts w:ascii="Arial" w:hAnsi="Arial" w:cs="Arial"/>
        </w:rPr>
        <w:t>t</w:t>
      </w:r>
      <w:r w:rsidRPr="00DC6271">
        <w:rPr>
          <w:rFonts w:ascii="Arial" w:hAnsi="Arial" w:cs="Arial"/>
        </w:rPr>
        <w:t xml:space="preserve"> conduce la o planificarea acustică. În acest sens termenul "strategic" este foarte important, deoarece gestionarea zgomotului ambiental trebuie să se facă pe termen lung. </w:t>
      </w:r>
    </w:p>
    <w:p w:rsidR="00012F90" w:rsidRDefault="00012F90" w:rsidP="00012F90">
      <w:pPr>
        <w:ind w:firstLine="360"/>
        <w:jc w:val="both"/>
        <w:rPr>
          <w:rFonts w:ascii="Arial" w:hAnsi="Arial" w:cs="Arial"/>
          <w:b/>
          <w:spacing w:val="-10"/>
        </w:rPr>
      </w:pPr>
    </w:p>
    <w:p w:rsidR="00012F90" w:rsidRPr="005B4598" w:rsidRDefault="00012F90" w:rsidP="00012F90">
      <w:pPr>
        <w:jc w:val="both"/>
        <w:rPr>
          <w:rFonts w:ascii="Arial" w:hAnsi="Arial" w:cs="Arial"/>
          <w:b/>
          <w:spacing w:val="-10"/>
        </w:rPr>
      </w:pPr>
      <w:r w:rsidRPr="005B4598">
        <w:rPr>
          <w:rFonts w:ascii="Arial" w:hAnsi="Arial" w:cs="Arial"/>
          <w:b/>
          <w:spacing w:val="-10"/>
        </w:rPr>
        <w:t>Măsurători de zgomot efectuate în Municipiul Brăila</w:t>
      </w:r>
    </w:p>
    <w:p w:rsidR="00012F90" w:rsidRPr="008052E8" w:rsidRDefault="00012F90" w:rsidP="00012F90">
      <w:pPr>
        <w:rPr>
          <w:rFonts w:ascii="Arial" w:hAnsi="Arial" w:cs="Arial"/>
        </w:rPr>
      </w:pPr>
      <w:r w:rsidRPr="008052E8">
        <w:rPr>
          <w:rFonts w:ascii="Arial" w:hAnsi="Arial" w:cs="Arial"/>
          <w:b/>
        </w:rPr>
        <w:t>Nivelul de zgomot</w:t>
      </w:r>
      <w:r w:rsidRPr="008052E8">
        <w:rPr>
          <w:rFonts w:ascii="Arial" w:hAnsi="Arial" w:cs="Arial"/>
        </w:rPr>
        <w:t xml:space="preserve"> urban în decursul anului 2014 s-a determinat în </w:t>
      </w:r>
      <w:r>
        <w:rPr>
          <w:rFonts w:ascii="Arial" w:hAnsi="Arial" w:cs="Arial"/>
        </w:rPr>
        <w:t>43</w:t>
      </w:r>
      <w:r w:rsidRPr="008052E8">
        <w:rPr>
          <w:rFonts w:ascii="Arial" w:hAnsi="Arial" w:cs="Arial"/>
          <w:color w:val="FF0000"/>
        </w:rPr>
        <w:t xml:space="preserve"> </w:t>
      </w:r>
      <w:r w:rsidRPr="008052E8">
        <w:rPr>
          <w:rFonts w:ascii="Arial" w:hAnsi="Arial" w:cs="Arial"/>
        </w:rPr>
        <w:t xml:space="preserve">de puncte reprezentative astfel: </w:t>
      </w:r>
    </w:p>
    <w:p w:rsidR="00012F90" w:rsidRPr="008052E8" w:rsidRDefault="00012F90" w:rsidP="005E6B2E">
      <w:pPr>
        <w:numPr>
          <w:ilvl w:val="0"/>
          <w:numId w:val="3"/>
        </w:numPr>
        <w:jc w:val="both"/>
        <w:rPr>
          <w:rFonts w:ascii="Arial" w:hAnsi="Arial" w:cs="Arial"/>
        </w:rPr>
      </w:pPr>
      <w:r w:rsidRPr="008052E8">
        <w:rPr>
          <w:rFonts w:ascii="Arial" w:hAnsi="Arial" w:cs="Arial"/>
        </w:rPr>
        <w:t>16 puncte pe diferite categorii de străzi cu lăţimi de 3m, 7m, 14m şi respectiv 21m;</w:t>
      </w:r>
    </w:p>
    <w:p w:rsidR="00012F90" w:rsidRPr="008052E8" w:rsidRDefault="00012F90" w:rsidP="005E6B2E">
      <w:pPr>
        <w:numPr>
          <w:ilvl w:val="0"/>
          <w:numId w:val="3"/>
        </w:numPr>
        <w:jc w:val="both"/>
        <w:rPr>
          <w:rFonts w:ascii="Arial" w:hAnsi="Arial" w:cs="Arial"/>
          <w:spacing w:val="-10"/>
        </w:rPr>
      </w:pPr>
      <w:r w:rsidRPr="008052E8">
        <w:rPr>
          <w:rFonts w:ascii="Arial" w:hAnsi="Arial" w:cs="Arial"/>
        </w:rPr>
        <w:t>2</w:t>
      </w:r>
      <w:r>
        <w:rPr>
          <w:rFonts w:ascii="Arial" w:hAnsi="Arial" w:cs="Arial"/>
        </w:rPr>
        <w:t>6</w:t>
      </w:r>
      <w:r w:rsidRPr="008052E8">
        <w:rPr>
          <w:rFonts w:ascii="Arial" w:hAnsi="Arial" w:cs="Arial"/>
        </w:rPr>
        <w:t xml:space="preserve"> puncte expertizate situate la limita exterioară a parcurilor, zonelor de recreere, tratament medical şi balneoclimateric, incintelor de şcoli, pieţelor şi spaţiilor comerciale, incintelor  industriale, parcajelor auto şi zonelor rezidenţiale.</w:t>
      </w:r>
    </w:p>
    <w:p w:rsidR="00012F90" w:rsidRDefault="00012F90" w:rsidP="00012F90">
      <w:pPr>
        <w:jc w:val="both"/>
        <w:rPr>
          <w:rFonts w:ascii="Arial" w:hAnsi="Arial" w:cs="Arial"/>
          <w:bCs/>
        </w:rPr>
      </w:pPr>
      <w:r w:rsidRPr="00B45985">
        <w:rPr>
          <w:rFonts w:ascii="Arial" w:hAnsi="Arial" w:cs="Arial"/>
          <w:bCs/>
        </w:rPr>
        <w:t>În tabelul IX.1.2.1.1. sunt prezentate date privind monitorizarea zgomotului urban din anul 2014</w:t>
      </w:r>
      <w:r>
        <w:rPr>
          <w:rFonts w:ascii="Arial" w:hAnsi="Arial" w:cs="Arial"/>
          <w:bCs/>
        </w:rPr>
        <w:t>, după cum urmează:</w:t>
      </w:r>
    </w:p>
    <w:p w:rsidR="00012F90" w:rsidRPr="00051781" w:rsidRDefault="00012F90" w:rsidP="00012F90">
      <w:pPr>
        <w:jc w:val="both"/>
        <w:rPr>
          <w:rFonts w:ascii="Arial" w:hAnsi="Arial" w:cs="Arial"/>
          <w:bCs/>
        </w:rPr>
      </w:pPr>
      <w:r>
        <w:rPr>
          <w:rFonts w:ascii="Arial" w:hAnsi="Arial" w:cs="Arial"/>
          <w:b/>
          <w:bCs/>
        </w:rPr>
        <w:t xml:space="preserve">Tabel </w:t>
      </w:r>
      <w:r w:rsidRPr="00696F35">
        <w:rPr>
          <w:rFonts w:ascii="Arial" w:hAnsi="Arial" w:cs="Arial"/>
          <w:b/>
          <w:bCs/>
        </w:rPr>
        <w:t>IX.1.2.1</w:t>
      </w:r>
      <w:r>
        <w:rPr>
          <w:rFonts w:ascii="Arial" w:hAnsi="Arial" w:cs="Arial"/>
          <w:b/>
          <w:bCs/>
        </w:rPr>
        <w:t>.1. privind monitorizarea zgomotului în anul 2014</w:t>
      </w:r>
    </w:p>
    <w:tbl>
      <w:tblPr>
        <w:tblW w:w="4789" w:type="pct"/>
        <w:jc w:val="center"/>
        <w:tblInd w:w="454" w:type="dxa"/>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CellMar>
          <w:left w:w="28" w:type="dxa"/>
          <w:right w:w="28" w:type="dxa"/>
        </w:tblCellMar>
        <w:tblLook w:val="01E0"/>
      </w:tblPr>
      <w:tblGrid>
        <w:gridCol w:w="1458"/>
        <w:gridCol w:w="2530"/>
        <w:gridCol w:w="1264"/>
        <w:gridCol w:w="1962"/>
        <w:gridCol w:w="1167"/>
        <w:gridCol w:w="1312"/>
      </w:tblGrid>
      <w:tr w:rsidR="00012F90" w:rsidRPr="00704DA3" w:rsidTr="00012F90">
        <w:trPr>
          <w:trHeight w:val="1419"/>
          <w:jc w:val="center"/>
        </w:trPr>
        <w:tc>
          <w:tcPr>
            <w:tcW w:w="75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2F90" w:rsidRPr="00704DA3" w:rsidRDefault="00012F90" w:rsidP="00012F90">
            <w:pPr>
              <w:jc w:val="center"/>
              <w:rPr>
                <w:rFonts w:ascii="Arial" w:hAnsi="Arial" w:cs="Arial"/>
                <w:b/>
              </w:rPr>
            </w:pPr>
            <w:r w:rsidRPr="00704DA3">
              <w:rPr>
                <w:rFonts w:ascii="Arial" w:hAnsi="Arial" w:cs="Arial"/>
                <w:b/>
              </w:rPr>
              <w:t>Tip măsurătoare</w:t>
            </w:r>
          </w:p>
          <w:p w:rsidR="00012F90" w:rsidRPr="00704DA3" w:rsidRDefault="00012F90" w:rsidP="00012F90">
            <w:pPr>
              <w:jc w:val="center"/>
              <w:rPr>
                <w:rFonts w:ascii="Arial" w:hAnsi="Arial" w:cs="Arial"/>
                <w:b/>
              </w:rPr>
            </w:pPr>
            <w:r w:rsidRPr="00704DA3">
              <w:rPr>
                <w:rFonts w:ascii="Arial" w:hAnsi="Arial" w:cs="Arial"/>
                <w:b/>
              </w:rPr>
              <w:t>zgomot</w:t>
            </w:r>
          </w:p>
        </w:tc>
        <w:tc>
          <w:tcPr>
            <w:tcW w:w="1305"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2F90" w:rsidRPr="00704DA3" w:rsidRDefault="00012F90" w:rsidP="00012F90">
            <w:pPr>
              <w:jc w:val="center"/>
              <w:rPr>
                <w:rFonts w:ascii="Arial" w:hAnsi="Arial" w:cs="Arial"/>
                <w:b/>
              </w:rPr>
            </w:pPr>
            <w:r w:rsidRPr="00704DA3">
              <w:rPr>
                <w:rFonts w:ascii="Arial" w:hAnsi="Arial" w:cs="Arial"/>
                <w:b/>
              </w:rPr>
              <w:t>Punct de măsurare</w:t>
            </w:r>
          </w:p>
        </w:tc>
        <w:tc>
          <w:tcPr>
            <w:tcW w:w="65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2F90" w:rsidRPr="00704DA3" w:rsidRDefault="00012F90" w:rsidP="00012F90">
            <w:pPr>
              <w:jc w:val="center"/>
              <w:rPr>
                <w:rFonts w:ascii="Arial" w:hAnsi="Arial" w:cs="Arial"/>
                <w:b/>
              </w:rPr>
            </w:pPr>
            <w:r w:rsidRPr="00704DA3">
              <w:rPr>
                <w:rFonts w:ascii="Arial" w:hAnsi="Arial" w:cs="Arial"/>
                <w:b/>
              </w:rPr>
              <w:t>Număr măsurători   2014</w:t>
            </w:r>
          </w:p>
        </w:tc>
        <w:tc>
          <w:tcPr>
            <w:tcW w:w="101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2F90" w:rsidRPr="00704DA3" w:rsidRDefault="00012F90" w:rsidP="00012F90">
            <w:pPr>
              <w:jc w:val="center"/>
              <w:rPr>
                <w:rFonts w:ascii="Arial" w:hAnsi="Arial" w:cs="Arial"/>
                <w:b/>
              </w:rPr>
            </w:pPr>
            <w:r w:rsidRPr="00704DA3">
              <w:rPr>
                <w:rFonts w:ascii="Arial" w:hAnsi="Arial" w:cs="Arial"/>
                <w:b/>
              </w:rPr>
              <w:t>Nivelul echivalent de zgomot  maxim măsurat dB(A)</w:t>
            </w:r>
          </w:p>
        </w:tc>
        <w:tc>
          <w:tcPr>
            <w:tcW w:w="602"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2F90" w:rsidRPr="00704DA3" w:rsidRDefault="00012F90" w:rsidP="00012F90">
            <w:pPr>
              <w:jc w:val="center"/>
              <w:rPr>
                <w:rFonts w:ascii="Arial" w:hAnsi="Arial" w:cs="Arial"/>
                <w:b/>
              </w:rPr>
            </w:pPr>
            <w:r w:rsidRPr="00704DA3">
              <w:rPr>
                <w:rFonts w:ascii="Arial" w:hAnsi="Arial" w:cs="Arial"/>
                <w:b/>
              </w:rPr>
              <w:t>Număr depăşiri</w:t>
            </w:r>
          </w:p>
          <w:p w:rsidR="00012F90" w:rsidRPr="00704DA3" w:rsidRDefault="00012F90" w:rsidP="00012F90">
            <w:pPr>
              <w:jc w:val="center"/>
              <w:rPr>
                <w:rFonts w:ascii="Arial" w:hAnsi="Arial" w:cs="Arial"/>
                <w:b/>
              </w:rPr>
            </w:pPr>
            <w:r w:rsidRPr="00704DA3">
              <w:rPr>
                <w:rFonts w:ascii="Arial" w:hAnsi="Arial" w:cs="Arial"/>
                <w:b/>
              </w:rPr>
              <w:t>2014</w:t>
            </w:r>
          </w:p>
        </w:tc>
        <w:tc>
          <w:tcPr>
            <w:tcW w:w="677" w:type="pct"/>
            <w:tcBorders>
              <w:top w:val="single" w:sz="12" w:space="0" w:color="auto"/>
              <w:left w:val="single" w:sz="12" w:space="0" w:color="auto"/>
              <w:bottom w:val="single" w:sz="12" w:space="0" w:color="auto"/>
              <w:right w:val="single" w:sz="12" w:space="0" w:color="auto"/>
            </w:tcBorders>
            <w:shd w:val="clear" w:color="auto" w:fill="D9D9D9" w:themeFill="background1" w:themeFillShade="D9"/>
            <w:vAlign w:val="center"/>
          </w:tcPr>
          <w:p w:rsidR="00012F90" w:rsidRPr="00704DA3" w:rsidRDefault="00012F90" w:rsidP="00012F90">
            <w:pPr>
              <w:jc w:val="center"/>
              <w:rPr>
                <w:rFonts w:ascii="Arial" w:hAnsi="Arial" w:cs="Arial"/>
                <w:b/>
              </w:rPr>
            </w:pPr>
            <w:r w:rsidRPr="00704DA3">
              <w:rPr>
                <w:rFonts w:ascii="Arial" w:hAnsi="Arial" w:cs="Arial"/>
                <w:b/>
              </w:rPr>
              <w:t>Nivelul echiv. de zgomot admisibil dB(A)</w:t>
            </w:r>
          </w:p>
        </w:tc>
      </w:tr>
      <w:tr w:rsidR="00012F90" w:rsidRPr="00704DA3" w:rsidTr="00012F90">
        <w:trPr>
          <w:trHeight w:val="249"/>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 xml:space="preserve">Parcuri, </w:t>
            </w:r>
            <w:r w:rsidRPr="00704DA3">
              <w:rPr>
                <w:rFonts w:ascii="Arial" w:hAnsi="Arial" w:cs="Arial"/>
                <w:b/>
              </w:rPr>
              <w:lastRenderedPageBreak/>
              <w:t>zone de recreere şi odihnă</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lastRenderedPageBreak/>
              <w:t>Parcul Grădina Mare</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55,3</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val="restart"/>
            <w:tcBorders>
              <w:top w:val="single" w:sz="12"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45</w:t>
            </w:r>
          </w:p>
        </w:tc>
      </w:tr>
      <w:tr w:rsidR="00012F90" w:rsidRPr="00704DA3" w:rsidTr="00012F90">
        <w:trPr>
          <w:trHeight w:val="125"/>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spacing w:line="480" w:lineRule="auto"/>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Parcul Monument</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60,1</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both"/>
              <w:rPr>
                <w:rFonts w:ascii="Arial" w:hAnsi="Arial" w:cs="Arial"/>
                <w:b/>
              </w:rPr>
            </w:pPr>
          </w:p>
        </w:tc>
      </w:tr>
      <w:tr w:rsidR="00012F90" w:rsidRPr="00704DA3" w:rsidTr="00012F90">
        <w:trPr>
          <w:trHeight w:val="175"/>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spacing w:line="480" w:lineRule="auto"/>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Faleza Dunării</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59,8</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both"/>
              <w:rPr>
                <w:rFonts w:ascii="Arial" w:hAnsi="Arial" w:cs="Arial"/>
                <w:b/>
              </w:rPr>
            </w:pPr>
          </w:p>
        </w:tc>
      </w:tr>
      <w:tr w:rsidR="00012F90" w:rsidRPr="00704DA3" w:rsidTr="00012F90">
        <w:trPr>
          <w:trHeight w:val="175"/>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spacing w:line="480" w:lineRule="auto"/>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Staţiunea Lacu – Sărat</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59,4</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both"/>
              <w:rPr>
                <w:rFonts w:ascii="Arial" w:hAnsi="Arial" w:cs="Arial"/>
                <w:b/>
              </w:rPr>
            </w:pPr>
          </w:p>
        </w:tc>
      </w:tr>
      <w:tr w:rsidR="00012F90" w:rsidRPr="00704DA3" w:rsidTr="00012F90">
        <w:trPr>
          <w:trHeight w:val="175"/>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spacing w:line="480" w:lineRule="auto"/>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Spitalul Sf. Spiridon</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68,3</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both"/>
              <w:rPr>
                <w:rFonts w:ascii="Arial" w:hAnsi="Arial" w:cs="Arial"/>
                <w:b/>
              </w:rPr>
            </w:pPr>
          </w:p>
        </w:tc>
      </w:tr>
      <w:tr w:rsidR="00012F90" w:rsidRPr="00704DA3" w:rsidTr="00012F90">
        <w:trPr>
          <w:trHeight w:val="246"/>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Incinte de școli, spații de joacă</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Liceul Gh. M. Murgoci</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67,7</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75</w:t>
            </w: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Liceul N. Iorga</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62,9</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Liceul N. Bălcescu</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84,6</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2</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Şcoala Generală nr. 7</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66,9</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Şcoala Generală nr. 8</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66,8</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Piețe, spații comerciale, restaurante în aer liber</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Piaţa Concordia</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70,2</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6</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65</w:t>
            </w: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Piaţa Halelor</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70,5</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6</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Piaţa Radu Negru</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69,2</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3</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bottom"/>
          </w:tcPr>
          <w:p w:rsidR="00012F90" w:rsidRPr="00704DA3" w:rsidRDefault="00012F90" w:rsidP="00012F90">
            <w:pPr>
              <w:rPr>
                <w:rFonts w:ascii="Arial" w:hAnsi="Arial" w:cs="Arial"/>
              </w:rPr>
            </w:pPr>
            <w:r w:rsidRPr="00704DA3">
              <w:rPr>
                <w:rFonts w:ascii="Arial" w:hAnsi="Arial" w:cs="Arial"/>
              </w:rPr>
              <w:t>Piaţa Microhală</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68,7</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3</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Restaurant Continental</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77,5</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7</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Restaurant Swing</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78,3</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1</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Incinte industriale</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S.C. Progresu S.A.</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64,9</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65</w:t>
            </w: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S.C. Farex S.A.</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60,1</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46"/>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S.C. Laminoru S.A.</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60,8</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429"/>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Şantier Naval Aker</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67,9</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2</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429"/>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Parcaje auto</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Supermarket XXL</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63,5</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90</w:t>
            </w:r>
          </w:p>
        </w:tc>
      </w:tr>
      <w:tr w:rsidR="00012F90" w:rsidRPr="00704DA3" w:rsidTr="00012F90">
        <w:trPr>
          <w:trHeight w:val="429"/>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Supermarket Billa</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65,8</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429"/>
          <w:jc w:val="center"/>
        </w:trPr>
        <w:tc>
          <w:tcPr>
            <w:tcW w:w="752" w:type="pct"/>
            <w:vMerge w:val="restart"/>
            <w:tcBorders>
              <w:top w:val="single" w:sz="12" w:space="0" w:color="auto"/>
              <w:left w:val="single" w:sz="8"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Zone rezidențiale</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Teatrul Maria Filotti</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64</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50</w:t>
            </w:r>
          </w:p>
        </w:tc>
      </w:tr>
      <w:tr w:rsidR="00012F90" w:rsidRPr="00704DA3" w:rsidTr="00012F90">
        <w:trPr>
          <w:trHeight w:val="429"/>
          <w:jc w:val="center"/>
        </w:trPr>
        <w:tc>
          <w:tcPr>
            <w:tcW w:w="752" w:type="pct"/>
            <w:vMerge/>
            <w:tcBorders>
              <w:top w:val="single" w:sz="8" w:space="0" w:color="auto"/>
              <w:left w:val="single" w:sz="8"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Şoseaua Buzăului (Supermarket Billa)</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60,9</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429"/>
          <w:jc w:val="center"/>
        </w:trPr>
        <w:tc>
          <w:tcPr>
            <w:tcW w:w="752" w:type="pct"/>
            <w:vMerge/>
            <w:tcBorders>
              <w:top w:val="single" w:sz="8" w:space="0" w:color="auto"/>
              <w:left w:val="single" w:sz="8"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Faleza Dunării (Direcţia de Finanţe)</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56,7</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429"/>
          <w:jc w:val="center"/>
        </w:trPr>
        <w:tc>
          <w:tcPr>
            <w:tcW w:w="752" w:type="pct"/>
            <w:vMerge/>
            <w:tcBorders>
              <w:top w:val="single" w:sz="8" w:space="0" w:color="auto"/>
              <w:left w:val="single" w:sz="8"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Cartier Hipodrom</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65,9</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109"/>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Stradă de categorie tehnică I, magistrală</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B-dul Dorobanţilor/Apollo</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71,1</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80</w:t>
            </w:r>
          </w:p>
        </w:tc>
      </w:tr>
      <w:tr w:rsidR="00012F90" w:rsidRPr="00704DA3" w:rsidTr="00012F90">
        <w:trPr>
          <w:trHeight w:val="78"/>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B-dul Independenţei – APM</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70,6</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78"/>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Calea Călăraşi IAS-IMB</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70,4</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78"/>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Calea Călăraşi/Dorobanţi</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72,9</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78"/>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Calea Galaţi/Dorobanţi</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79,3</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78"/>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Calea Călăraşi/B-dul Independenţei</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79,8</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184"/>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Calea Călăraşi/ Griviţa</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77,8</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0</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12"/>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Stradă de categorie tehnică II, de legătură</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Centură – IDMS</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73,5</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2</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70</w:t>
            </w:r>
          </w:p>
        </w:tc>
      </w:tr>
      <w:tr w:rsidR="00012F90" w:rsidRPr="00704DA3" w:rsidTr="00012F90">
        <w:trPr>
          <w:trHeight w:val="212"/>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Calea Galaţi (Pţa. Traian)</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72,6</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1</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12"/>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1 Decembrie 1918/Griviţa</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84,7</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2</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75"/>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 xml:space="preserve">1 Decembrie </w:t>
            </w:r>
            <w:r w:rsidRPr="00704DA3">
              <w:rPr>
                <w:rFonts w:ascii="Arial" w:hAnsi="Arial" w:cs="Arial"/>
              </w:rPr>
              <w:lastRenderedPageBreak/>
              <w:t>1918/Dorobanţi</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lastRenderedPageBreak/>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80,8</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2</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11"/>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lastRenderedPageBreak/>
              <w:t>Stradă de categorie tehnică III, de colectare</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Rahova/Biserica Sf. Constantin</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67,4</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3</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65</w:t>
            </w:r>
          </w:p>
        </w:tc>
      </w:tr>
      <w:tr w:rsidR="00012F90" w:rsidRPr="00704DA3" w:rsidTr="00012F90">
        <w:trPr>
          <w:trHeight w:val="211"/>
          <w:jc w:val="center"/>
        </w:trPr>
        <w:tc>
          <w:tcPr>
            <w:tcW w:w="752" w:type="pct"/>
            <w:vMerge/>
            <w:tcBorders>
              <w:top w:val="single" w:sz="8"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Comuna din Paris/Focşani</w:t>
            </w:r>
          </w:p>
        </w:tc>
        <w:tc>
          <w:tcPr>
            <w:tcW w:w="65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70</w:t>
            </w:r>
          </w:p>
        </w:tc>
        <w:tc>
          <w:tcPr>
            <w:tcW w:w="602" w:type="pct"/>
            <w:tcBorders>
              <w:top w:val="single" w:sz="8"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7</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11"/>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Chişinău/Grigore Alexandrescu</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67,1</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5</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p>
        </w:tc>
      </w:tr>
      <w:tr w:rsidR="00012F90" w:rsidRPr="00704DA3" w:rsidTr="00012F90">
        <w:trPr>
          <w:trHeight w:val="211"/>
          <w:jc w:val="center"/>
        </w:trPr>
        <w:tc>
          <w:tcPr>
            <w:tcW w:w="752" w:type="pct"/>
            <w:vMerge w:val="restart"/>
            <w:tcBorders>
              <w:top w:val="single" w:sz="12" w:space="0" w:color="auto"/>
              <w:left w:val="single" w:sz="12" w:space="0" w:color="auto"/>
              <w:bottom w:val="single" w:sz="8" w:space="0" w:color="auto"/>
              <w:right w:val="single" w:sz="8" w:space="0" w:color="auto"/>
            </w:tcBorders>
            <w:shd w:val="clear" w:color="auto" w:fill="auto"/>
            <w:vAlign w:val="center"/>
          </w:tcPr>
          <w:p w:rsidR="00012F90" w:rsidRPr="00704DA3" w:rsidRDefault="00012F90" w:rsidP="00012F90">
            <w:pPr>
              <w:rPr>
                <w:rFonts w:ascii="Arial" w:hAnsi="Arial" w:cs="Arial"/>
                <w:b/>
              </w:rPr>
            </w:pPr>
            <w:r w:rsidRPr="00704DA3">
              <w:rPr>
                <w:rFonts w:ascii="Arial" w:hAnsi="Arial" w:cs="Arial"/>
                <w:b/>
              </w:rPr>
              <w:t>Stradă de categorie tehnică IV, de deservire locală</w:t>
            </w:r>
          </w:p>
        </w:tc>
        <w:tc>
          <w:tcPr>
            <w:tcW w:w="1305"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Orientului/Poliţie</w:t>
            </w:r>
          </w:p>
        </w:tc>
        <w:tc>
          <w:tcPr>
            <w:tcW w:w="65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12" w:space="0" w:color="auto"/>
              <w:left w:val="single" w:sz="8" w:space="0" w:color="auto"/>
              <w:bottom w:val="single" w:sz="8"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66,6</w:t>
            </w:r>
          </w:p>
        </w:tc>
        <w:tc>
          <w:tcPr>
            <w:tcW w:w="602" w:type="pct"/>
            <w:tcBorders>
              <w:top w:val="single" w:sz="12" w:space="0" w:color="auto"/>
              <w:left w:val="single" w:sz="8" w:space="0" w:color="auto"/>
              <w:bottom w:val="single" w:sz="8"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1</w:t>
            </w:r>
          </w:p>
        </w:tc>
        <w:tc>
          <w:tcPr>
            <w:tcW w:w="677" w:type="pct"/>
            <w:vMerge w:val="restart"/>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center"/>
              <w:rPr>
                <w:rFonts w:ascii="Arial" w:hAnsi="Arial" w:cs="Arial"/>
                <w:b/>
              </w:rPr>
            </w:pPr>
            <w:r w:rsidRPr="00704DA3">
              <w:rPr>
                <w:rFonts w:ascii="Arial" w:hAnsi="Arial" w:cs="Arial"/>
                <w:b/>
              </w:rPr>
              <w:t>60</w:t>
            </w:r>
          </w:p>
        </w:tc>
      </w:tr>
      <w:tr w:rsidR="00012F90" w:rsidRPr="00704DA3" w:rsidTr="00012F90">
        <w:trPr>
          <w:trHeight w:val="211"/>
          <w:jc w:val="center"/>
        </w:trPr>
        <w:tc>
          <w:tcPr>
            <w:tcW w:w="752" w:type="pct"/>
            <w:vMerge/>
            <w:tcBorders>
              <w:top w:val="single" w:sz="8" w:space="0" w:color="auto"/>
              <w:left w:val="single" w:sz="12" w:space="0" w:color="auto"/>
              <w:bottom w:val="single" w:sz="12" w:space="0" w:color="auto"/>
              <w:right w:val="single" w:sz="8" w:space="0" w:color="auto"/>
            </w:tcBorders>
            <w:shd w:val="clear" w:color="auto" w:fill="auto"/>
            <w:vAlign w:val="center"/>
          </w:tcPr>
          <w:p w:rsidR="00012F90" w:rsidRPr="00704DA3" w:rsidRDefault="00012F90" w:rsidP="00012F90">
            <w:pPr>
              <w:rPr>
                <w:rFonts w:ascii="Arial" w:hAnsi="Arial" w:cs="Arial"/>
                <w:b/>
              </w:rPr>
            </w:pPr>
          </w:p>
        </w:tc>
        <w:tc>
          <w:tcPr>
            <w:tcW w:w="1305"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rPr>
                <w:rFonts w:ascii="Arial" w:hAnsi="Arial" w:cs="Arial"/>
              </w:rPr>
            </w:pPr>
            <w:r w:rsidRPr="00704DA3">
              <w:rPr>
                <w:rFonts w:ascii="Arial" w:hAnsi="Arial" w:cs="Arial"/>
              </w:rPr>
              <w:t>Rubinelor/Univ. Brâncoveanu</w:t>
            </w:r>
          </w:p>
        </w:tc>
        <w:tc>
          <w:tcPr>
            <w:tcW w:w="65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8</w:t>
            </w:r>
          </w:p>
        </w:tc>
        <w:tc>
          <w:tcPr>
            <w:tcW w:w="1012" w:type="pct"/>
            <w:tcBorders>
              <w:top w:val="single" w:sz="8" w:space="0" w:color="auto"/>
              <w:left w:val="single" w:sz="8" w:space="0" w:color="auto"/>
              <w:bottom w:val="single" w:sz="12" w:space="0" w:color="auto"/>
              <w:right w:val="single" w:sz="8" w:space="0" w:color="auto"/>
            </w:tcBorders>
            <w:vAlign w:val="center"/>
          </w:tcPr>
          <w:p w:rsidR="00012F90" w:rsidRPr="00704DA3" w:rsidRDefault="00012F90" w:rsidP="00012F90">
            <w:pPr>
              <w:jc w:val="center"/>
              <w:rPr>
                <w:rFonts w:ascii="Arial" w:hAnsi="Arial" w:cs="Arial"/>
              </w:rPr>
            </w:pPr>
            <w:r w:rsidRPr="00704DA3">
              <w:rPr>
                <w:rFonts w:ascii="Arial" w:hAnsi="Arial" w:cs="Arial"/>
              </w:rPr>
              <w:t>67,2</w:t>
            </w:r>
          </w:p>
        </w:tc>
        <w:tc>
          <w:tcPr>
            <w:tcW w:w="602" w:type="pct"/>
            <w:tcBorders>
              <w:top w:val="single" w:sz="8" w:space="0" w:color="auto"/>
              <w:left w:val="single" w:sz="8" w:space="0" w:color="auto"/>
              <w:bottom w:val="single" w:sz="12" w:space="0" w:color="auto"/>
              <w:right w:val="single" w:sz="12" w:space="0" w:color="auto"/>
            </w:tcBorders>
            <w:vAlign w:val="center"/>
          </w:tcPr>
          <w:p w:rsidR="00012F90" w:rsidRPr="00704DA3" w:rsidRDefault="00012F90" w:rsidP="00012F90">
            <w:pPr>
              <w:jc w:val="center"/>
              <w:rPr>
                <w:rFonts w:ascii="Arial" w:hAnsi="Arial" w:cs="Arial"/>
              </w:rPr>
            </w:pPr>
            <w:r w:rsidRPr="00704DA3">
              <w:rPr>
                <w:rFonts w:ascii="Arial" w:hAnsi="Arial" w:cs="Arial"/>
              </w:rPr>
              <w:t>3</w:t>
            </w:r>
          </w:p>
        </w:tc>
        <w:tc>
          <w:tcPr>
            <w:tcW w:w="677" w:type="pct"/>
            <w:vMerge/>
            <w:tcBorders>
              <w:top w:val="single" w:sz="8" w:space="0" w:color="auto"/>
              <w:left w:val="single" w:sz="12" w:space="0" w:color="auto"/>
              <w:bottom w:val="single" w:sz="12" w:space="0" w:color="auto"/>
              <w:right w:val="single" w:sz="12" w:space="0" w:color="auto"/>
            </w:tcBorders>
            <w:vAlign w:val="center"/>
          </w:tcPr>
          <w:p w:rsidR="00012F90" w:rsidRPr="00704DA3" w:rsidRDefault="00012F90" w:rsidP="00012F90">
            <w:pPr>
              <w:spacing w:line="480" w:lineRule="auto"/>
              <w:jc w:val="both"/>
              <w:rPr>
                <w:rFonts w:ascii="Arial" w:hAnsi="Arial" w:cs="Arial"/>
              </w:rPr>
            </w:pPr>
          </w:p>
        </w:tc>
      </w:tr>
    </w:tbl>
    <w:p w:rsidR="00012F90" w:rsidRDefault="00012F90" w:rsidP="00012F90">
      <w:pPr>
        <w:pStyle w:val="Footer"/>
        <w:tabs>
          <w:tab w:val="left" w:pos="3240"/>
          <w:tab w:val="left" w:pos="6300"/>
        </w:tabs>
        <w:spacing w:line="264" w:lineRule="auto"/>
        <w:rPr>
          <w:rFonts w:ascii="Arial" w:hAnsi="Arial" w:cs="Arial"/>
          <w:b/>
          <w:sz w:val="24"/>
          <w:szCs w:val="24"/>
        </w:rPr>
      </w:pPr>
    </w:p>
    <w:p w:rsidR="00012F90" w:rsidRDefault="00012F90" w:rsidP="00012F90">
      <w:pPr>
        <w:pStyle w:val="Footer"/>
        <w:tabs>
          <w:tab w:val="left" w:pos="3240"/>
          <w:tab w:val="left" w:pos="6300"/>
        </w:tabs>
        <w:spacing w:line="264" w:lineRule="auto"/>
        <w:rPr>
          <w:rFonts w:ascii="Arial" w:hAnsi="Arial" w:cs="Arial"/>
          <w:b/>
          <w:sz w:val="24"/>
          <w:szCs w:val="24"/>
        </w:rPr>
      </w:pPr>
    </w:p>
    <w:p w:rsidR="00012F90" w:rsidRPr="005925E3" w:rsidRDefault="00012F90" w:rsidP="00012F90">
      <w:pPr>
        <w:pStyle w:val="Footer"/>
        <w:tabs>
          <w:tab w:val="left" w:pos="3240"/>
          <w:tab w:val="left" w:pos="6300"/>
        </w:tabs>
        <w:spacing w:line="264" w:lineRule="auto"/>
        <w:rPr>
          <w:rFonts w:ascii="Arial" w:hAnsi="Arial" w:cs="Arial"/>
          <w:b/>
          <w:sz w:val="24"/>
          <w:szCs w:val="24"/>
        </w:rPr>
      </w:pPr>
      <w:r w:rsidRPr="005925E3">
        <w:rPr>
          <w:rFonts w:ascii="Arial" w:hAnsi="Arial" w:cs="Arial"/>
          <w:b/>
          <w:sz w:val="24"/>
          <w:szCs w:val="24"/>
        </w:rPr>
        <w:t xml:space="preserve">Tabelul </w:t>
      </w:r>
      <w:r w:rsidRPr="00696F35">
        <w:rPr>
          <w:rFonts w:ascii="Arial" w:hAnsi="Arial" w:cs="Arial"/>
          <w:b/>
          <w:bCs/>
          <w:sz w:val="24"/>
          <w:szCs w:val="24"/>
        </w:rPr>
        <w:t>IX.1.2.1</w:t>
      </w:r>
      <w:r>
        <w:rPr>
          <w:rFonts w:ascii="Arial" w:hAnsi="Arial" w:cs="Arial"/>
          <w:b/>
          <w:bCs/>
          <w:sz w:val="24"/>
          <w:szCs w:val="24"/>
        </w:rPr>
        <w:t xml:space="preserve">.2. </w:t>
      </w:r>
      <w:r w:rsidRPr="005925E3">
        <w:rPr>
          <w:rFonts w:ascii="Arial" w:hAnsi="Arial" w:cs="Arial"/>
          <w:b/>
          <w:spacing w:val="-10"/>
          <w:sz w:val="24"/>
          <w:szCs w:val="24"/>
        </w:rPr>
        <w:t>Centralizator pe tipurilor de măsurători de zgomot exterior, efectuate în anul 201</w:t>
      </w:r>
      <w:r>
        <w:rPr>
          <w:rFonts w:ascii="Arial" w:hAnsi="Arial" w:cs="Arial"/>
          <w:b/>
          <w:spacing w:val="-10"/>
          <w:sz w:val="24"/>
          <w:szCs w:val="24"/>
        </w:rPr>
        <w:t>4</w:t>
      </w:r>
    </w:p>
    <w:p w:rsidR="00012F90" w:rsidRPr="005925E3" w:rsidRDefault="00012F90" w:rsidP="00012F90">
      <w:pPr>
        <w:pStyle w:val="Footer"/>
        <w:tabs>
          <w:tab w:val="left" w:pos="3240"/>
          <w:tab w:val="left" w:pos="6300"/>
        </w:tabs>
        <w:spacing w:line="264" w:lineRule="auto"/>
        <w:rPr>
          <w:rFonts w:ascii="Arial" w:hAnsi="Arial" w:cs="Arial"/>
          <w:b/>
          <w:sz w:val="24"/>
          <w:szCs w:val="24"/>
        </w:rPr>
      </w:pPr>
    </w:p>
    <w:tbl>
      <w:tblPr>
        <w:tblW w:w="4878" w:type="pct"/>
        <w:jc w:val="center"/>
        <w:tblInd w:w="590"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Look w:val="0000"/>
      </w:tblPr>
      <w:tblGrid>
        <w:gridCol w:w="1431"/>
        <w:gridCol w:w="1548"/>
        <w:gridCol w:w="1352"/>
        <w:gridCol w:w="1220"/>
        <w:gridCol w:w="1585"/>
        <w:gridCol w:w="1573"/>
        <w:gridCol w:w="1320"/>
      </w:tblGrid>
      <w:tr w:rsidR="00012F90" w:rsidRPr="009E1ABF" w:rsidTr="00012F90">
        <w:trPr>
          <w:trHeight w:val="814"/>
          <w:jc w:val="center"/>
        </w:trPr>
        <w:tc>
          <w:tcPr>
            <w:tcW w:w="714" w:type="pct"/>
            <w:shd w:val="clear" w:color="auto" w:fill="E6E6E6"/>
            <w:vAlign w:val="center"/>
          </w:tcPr>
          <w:p w:rsidR="00012F90" w:rsidRPr="009E1ABF" w:rsidRDefault="00012F90" w:rsidP="00012F90">
            <w:pPr>
              <w:rPr>
                <w:rFonts w:ascii="Arial" w:hAnsi="Arial" w:cs="Arial"/>
                <w:b/>
              </w:rPr>
            </w:pPr>
            <w:r w:rsidRPr="009E1ABF">
              <w:rPr>
                <w:rFonts w:ascii="Arial" w:hAnsi="Arial" w:cs="Arial"/>
                <w:b/>
              </w:rPr>
              <w:t>Judeţul</w:t>
            </w:r>
          </w:p>
        </w:tc>
        <w:tc>
          <w:tcPr>
            <w:tcW w:w="772" w:type="pct"/>
            <w:shd w:val="clear" w:color="auto" w:fill="E6E6E6"/>
            <w:vAlign w:val="center"/>
          </w:tcPr>
          <w:p w:rsidR="00012F90" w:rsidRPr="009E1ABF" w:rsidRDefault="00012F90" w:rsidP="00012F90">
            <w:pPr>
              <w:jc w:val="center"/>
              <w:rPr>
                <w:rFonts w:ascii="Arial" w:hAnsi="Arial" w:cs="Arial"/>
                <w:b/>
              </w:rPr>
            </w:pPr>
            <w:r w:rsidRPr="009E1ABF">
              <w:rPr>
                <w:rFonts w:ascii="Arial" w:hAnsi="Arial" w:cs="Arial"/>
                <w:b/>
              </w:rPr>
              <w:t>Număr măsurători</w:t>
            </w:r>
          </w:p>
        </w:tc>
        <w:tc>
          <w:tcPr>
            <w:tcW w:w="674" w:type="pct"/>
            <w:shd w:val="clear" w:color="auto" w:fill="E6E6E6"/>
            <w:vAlign w:val="center"/>
          </w:tcPr>
          <w:p w:rsidR="00012F90" w:rsidRPr="009E1ABF" w:rsidRDefault="00012F90" w:rsidP="00012F90">
            <w:pPr>
              <w:jc w:val="center"/>
              <w:rPr>
                <w:rFonts w:ascii="Arial" w:hAnsi="Arial" w:cs="Arial"/>
                <w:b/>
              </w:rPr>
            </w:pPr>
            <w:r w:rsidRPr="009E1ABF">
              <w:rPr>
                <w:rFonts w:ascii="Arial" w:hAnsi="Arial" w:cs="Arial"/>
                <w:b/>
              </w:rPr>
              <w:t>Maxima măsurată</w:t>
            </w:r>
          </w:p>
          <w:p w:rsidR="00012F90" w:rsidRPr="009E1ABF" w:rsidRDefault="00012F90" w:rsidP="00012F90">
            <w:pPr>
              <w:jc w:val="center"/>
              <w:rPr>
                <w:rFonts w:ascii="Arial" w:hAnsi="Arial" w:cs="Arial"/>
                <w:b/>
              </w:rPr>
            </w:pPr>
            <w:r w:rsidRPr="009E1ABF">
              <w:rPr>
                <w:rFonts w:ascii="Arial" w:hAnsi="Arial" w:cs="Arial"/>
                <w:b/>
              </w:rPr>
              <w:t>(dB)</w:t>
            </w:r>
          </w:p>
        </w:tc>
        <w:tc>
          <w:tcPr>
            <w:tcW w:w="608" w:type="pct"/>
            <w:shd w:val="clear" w:color="auto" w:fill="E6E6E6"/>
            <w:vAlign w:val="center"/>
          </w:tcPr>
          <w:p w:rsidR="00012F90" w:rsidRPr="009E1ABF" w:rsidRDefault="00012F90" w:rsidP="00012F90">
            <w:pPr>
              <w:jc w:val="center"/>
              <w:rPr>
                <w:rFonts w:ascii="Arial" w:hAnsi="Arial" w:cs="Arial"/>
                <w:b/>
              </w:rPr>
            </w:pPr>
            <w:r w:rsidRPr="009E1ABF">
              <w:rPr>
                <w:rFonts w:ascii="Arial" w:hAnsi="Arial" w:cs="Arial"/>
                <w:b/>
              </w:rPr>
              <w:t>Depăşiri</w:t>
            </w:r>
          </w:p>
          <w:p w:rsidR="00012F90" w:rsidRPr="009E1ABF" w:rsidRDefault="00012F90" w:rsidP="00012F90">
            <w:pPr>
              <w:jc w:val="center"/>
              <w:rPr>
                <w:rFonts w:ascii="Arial" w:hAnsi="Arial" w:cs="Arial"/>
                <w:b/>
              </w:rPr>
            </w:pPr>
            <w:r w:rsidRPr="009E1ABF">
              <w:rPr>
                <w:rFonts w:ascii="Arial" w:hAnsi="Arial" w:cs="Arial"/>
                <w:b/>
              </w:rPr>
              <w:t>%</w:t>
            </w:r>
          </w:p>
        </w:tc>
        <w:tc>
          <w:tcPr>
            <w:tcW w:w="790" w:type="pct"/>
            <w:shd w:val="clear" w:color="auto" w:fill="E6E6E6"/>
            <w:vAlign w:val="center"/>
          </w:tcPr>
          <w:p w:rsidR="00012F90" w:rsidRPr="009E1ABF" w:rsidRDefault="00012F90" w:rsidP="00012F90">
            <w:pPr>
              <w:jc w:val="center"/>
              <w:rPr>
                <w:rFonts w:ascii="Arial" w:hAnsi="Arial" w:cs="Arial"/>
                <w:b/>
              </w:rPr>
            </w:pPr>
            <w:r w:rsidRPr="009E1ABF">
              <w:rPr>
                <w:rFonts w:ascii="Arial" w:hAnsi="Arial" w:cs="Arial"/>
                <w:b/>
              </w:rPr>
              <w:t>Indicator utilizat</w:t>
            </w:r>
          </w:p>
        </w:tc>
        <w:tc>
          <w:tcPr>
            <w:tcW w:w="784" w:type="pct"/>
            <w:shd w:val="clear" w:color="auto" w:fill="E6E6E6"/>
            <w:vAlign w:val="center"/>
          </w:tcPr>
          <w:p w:rsidR="00012F90" w:rsidRPr="009E1ABF" w:rsidRDefault="00012F90" w:rsidP="00012F90">
            <w:pPr>
              <w:jc w:val="center"/>
              <w:rPr>
                <w:rFonts w:ascii="Arial" w:hAnsi="Arial" w:cs="Arial"/>
                <w:b/>
              </w:rPr>
            </w:pPr>
            <w:r w:rsidRPr="009E1ABF">
              <w:rPr>
                <w:rFonts w:ascii="Arial" w:hAnsi="Arial" w:cs="Arial"/>
                <w:b/>
              </w:rPr>
              <w:t xml:space="preserve">Determinări în urma sesizărilor </w:t>
            </w:r>
          </w:p>
        </w:tc>
        <w:tc>
          <w:tcPr>
            <w:tcW w:w="659" w:type="pct"/>
            <w:shd w:val="clear" w:color="auto" w:fill="E6E6E6"/>
            <w:vAlign w:val="center"/>
          </w:tcPr>
          <w:p w:rsidR="00012F90" w:rsidRPr="009E1ABF" w:rsidRDefault="00012F90" w:rsidP="00012F90">
            <w:pPr>
              <w:jc w:val="center"/>
              <w:rPr>
                <w:rFonts w:ascii="Arial" w:hAnsi="Arial" w:cs="Arial"/>
                <w:b/>
              </w:rPr>
            </w:pPr>
            <w:r w:rsidRPr="009E1ABF">
              <w:rPr>
                <w:rFonts w:ascii="Arial" w:hAnsi="Arial" w:cs="Arial"/>
                <w:b/>
              </w:rPr>
              <w:t>Sesizări rezolvate       %</w:t>
            </w:r>
          </w:p>
        </w:tc>
      </w:tr>
      <w:tr w:rsidR="00012F90" w:rsidRPr="009E1ABF" w:rsidTr="00012F90">
        <w:trPr>
          <w:trHeight w:val="258"/>
          <w:jc w:val="center"/>
        </w:trPr>
        <w:tc>
          <w:tcPr>
            <w:tcW w:w="714" w:type="pct"/>
            <w:shd w:val="clear" w:color="auto" w:fill="auto"/>
            <w:vAlign w:val="center"/>
          </w:tcPr>
          <w:p w:rsidR="00012F90" w:rsidRPr="009E1ABF" w:rsidRDefault="00012F90" w:rsidP="00012F90">
            <w:pPr>
              <w:rPr>
                <w:rFonts w:ascii="Arial" w:hAnsi="Arial" w:cs="Arial"/>
                <w:b/>
              </w:rPr>
            </w:pPr>
            <w:r w:rsidRPr="009E1ABF">
              <w:rPr>
                <w:rFonts w:ascii="Arial" w:hAnsi="Arial" w:cs="Arial"/>
                <w:b/>
              </w:rPr>
              <w:t>Brăila</w:t>
            </w:r>
          </w:p>
        </w:tc>
        <w:tc>
          <w:tcPr>
            <w:tcW w:w="772" w:type="pct"/>
            <w:shd w:val="clear" w:color="auto" w:fill="auto"/>
            <w:vAlign w:val="center"/>
          </w:tcPr>
          <w:p w:rsidR="00012F90" w:rsidRPr="009E1ABF" w:rsidRDefault="00012F90" w:rsidP="00012F90">
            <w:pPr>
              <w:jc w:val="center"/>
              <w:rPr>
                <w:rFonts w:ascii="Arial" w:hAnsi="Arial" w:cs="Arial"/>
              </w:rPr>
            </w:pPr>
            <w:r w:rsidRPr="009E1ABF">
              <w:rPr>
                <w:rFonts w:ascii="Arial" w:hAnsi="Arial" w:cs="Arial"/>
              </w:rPr>
              <w:t>333</w:t>
            </w:r>
          </w:p>
        </w:tc>
        <w:tc>
          <w:tcPr>
            <w:tcW w:w="674" w:type="pct"/>
            <w:shd w:val="clear" w:color="auto" w:fill="auto"/>
            <w:vAlign w:val="center"/>
          </w:tcPr>
          <w:p w:rsidR="00012F90" w:rsidRPr="009E1ABF" w:rsidRDefault="00012F90" w:rsidP="00012F90">
            <w:pPr>
              <w:jc w:val="center"/>
              <w:rPr>
                <w:rFonts w:ascii="Arial" w:hAnsi="Arial" w:cs="Arial"/>
              </w:rPr>
            </w:pPr>
            <w:r w:rsidRPr="009E1ABF">
              <w:rPr>
                <w:rFonts w:ascii="Arial" w:hAnsi="Arial" w:cs="Arial"/>
              </w:rPr>
              <w:t>84,7</w:t>
            </w:r>
          </w:p>
        </w:tc>
        <w:tc>
          <w:tcPr>
            <w:tcW w:w="608" w:type="pct"/>
            <w:shd w:val="clear" w:color="auto" w:fill="auto"/>
            <w:vAlign w:val="center"/>
          </w:tcPr>
          <w:p w:rsidR="00012F90" w:rsidRPr="009E1ABF" w:rsidRDefault="00012F90" w:rsidP="00012F90">
            <w:pPr>
              <w:jc w:val="center"/>
              <w:rPr>
                <w:rFonts w:ascii="Arial" w:hAnsi="Arial" w:cs="Arial"/>
              </w:rPr>
            </w:pPr>
            <w:r w:rsidRPr="009E1ABF">
              <w:rPr>
                <w:rFonts w:ascii="Arial" w:hAnsi="Arial" w:cs="Arial"/>
              </w:rPr>
              <w:t>12,8</w:t>
            </w:r>
          </w:p>
        </w:tc>
        <w:tc>
          <w:tcPr>
            <w:tcW w:w="790" w:type="pct"/>
            <w:shd w:val="clear" w:color="auto" w:fill="auto"/>
            <w:vAlign w:val="center"/>
          </w:tcPr>
          <w:p w:rsidR="00012F90" w:rsidRPr="009E1ABF" w:rsidRDefault="00012F90" w:rsidP="00012F90">
            <w:pPr>
              <w:jc w:val="center"/>
              <w:rPr>
                <w:rFonts w:ascii="Arial" w:hAnsi="Arial" w:cs="Arial"/>
              </w:rPr>
            </w:pPr>
            <w:r w:rsidRPr="009E1ABF">
              <w:rPr>
                <w:rFonts w:ascii="Arial" w:hAnsi="Arial" w:cs="Arial"/>
              </w:rPr>
              <w:t>Nivelul de zgomot echivalent    Leq</w:t>
            </w:r>
          </w:p>
        </w:tc>
        <w:tc>
          <w:tcPr>
            <w:tcW w:w="784" w:type="pct"/>
            <w:shd w:val="clear" w:color="auto" w:fill="auto"/>
            <w:vAlign w:val="center"/>
          </w:tcPr>
          <w:p w:rsidR="00012F90" w:rsidRPr="009E1ABF" w:rsidRDefault="00012F90" w:rsidP="00012F90">
            <w:pPr>
              <w:jc w:val="center"/>
              <w:rPr>
                <w:rFonts w:ascii="Arial" w:hAnsi="Arial" w:cs="Arial"/>
              </w:rPr>
            </w:pPr>
            <w:r w:rsidRPr="009E1ABF">
              <w:rPr>
                <w:rFonts w:ascii="Arial" w:hAnsi="Arial" w:cs="Arial"/>
              </w:rPr>
              <w:t>3</w:t>
            </w:r>
          </w:p>
        </w:tc>
        <w:tc>
          <w:tcPr>
            <w:tcW w:w="659" w:type="pct"/>
            <w:shd w:val="clear" w:color="auto" w:fill="auto"/>
            <w:vAlign w:val="center"/>
          </w:tcPr>
          <w:p w:rsidR="00012F90" w:rsidRPr="009E1ABF" w:rsidRDefault="00012F90" w:rsidP="00012F90">
            <w:pPr>
              <w:jc w:val="center"/>
              <w:rPr>
                <w:rFonts w:ascii="Arial" w:hAnsi="Arial" w:cs="Arial"/>
              </w:rPr>
            </w:pPr>
            <w:r w:rsidRPr="009E1ABF">
              <w:rPr>
                <w:rFonts w:ascii="Arial" w:hAnsi="Arial" w:cs="Arial"/>
              </w:rPr>
              <w:t>100</w:t>
            </w:r>
          </w:p>
        </w:tc>
      </w:tr>
    </w:tbl>
    <w:p w:rsidR="00012F90" w:rsidRPr="005925E3" w:rsidRDefault="00012F90" w:rsidP="00012F90">
      <w:pPr>
        <w:pStyle w:val="Footer"/>
        <w:tabs>
          <w:tab w:val="left" w:pos="3240"/>
          <w:tab w:val="left" w:pos="6300"/>
        </w:tabs>
        <w:spacing w:line="264" w:lineRule="auto"/>
        <w:ind w:left="46" w:hanging="46"/>
        <w:rPr>
          <w:rFonts w:ascii="Arial" w:hAnsi="Arial" w:cs="Arial"/>
          <w:spacing w:val="-10"/>
          <w:sz w:val="24"/>
          <w:szCs w:val="24"/>
        </w:rPr>
      </w:pPr>
    </w:p>
    <w:p w:rsidR="00012F90" w:rsidRPr="00D06C78" w:rsidRDefault="00012F90" w:rsidP="00012F90">
      <w:pPr>
        <w:autoSpaceDE w:val="0"/>
        <w:autoSpaceDN w:val="0"/>
        <w:adjustRightInd w:val="0"/>
        <w:jc w:val="both"/>
        <w:rPr>
          <w:rFonts w:ascii="Arial" w:hAnsi="Arial" w:cs="Arial"/>
          <w:b/>
        </w:rPr>
      </w:pPr>
      <w:r w:rsidRPr="00D06C78">
        <w:rPr>
          <w:rFonts w:ascii="Arial" w:hAnsi="Arial" w:cs="Arial"/>
        </w:rPr>
        <w:t xml:space="preserve">Măsurările efectuate au surprins valori momentane ale zgomotului </w:t>
      </w:r>
      <w:r>
        <w:rPr>
          <w:rFonts w:ascii="Arial" w:hAnsi="Arial" w:cs="Arial"/>
        </w:rPr>
        <w:t xml:space="preserve">la ore </w:t>
      </w:r>
      <w:r w:rsidRPr="00D06C78">
        <w:rPr>
          <w:rFonts w:ascii="Arial" w:hAnsi="Arial" w:cs="Arial"/>
        </w:rPr>
        <w:t xml:space="preserve"> diferite ale zilei. Raportarea nivelului de zgomot la traficul auto este aleatorie, datele referitoare la trafic fiind prelucrate din determinările efectuate</w:t>
      </w:r>
      <w:r w:rsidRPr="00D06C78">
        <w:rPr>
          <w:rFonts w:ascii="Arial" w:hAnsi="Arial" w:cs="Arial"/>
          <w:b/>
        </w:rPr>
        <w:t xml:space="preserve">.  </w:t>
      </w:r>
    </w:p>
    <w:p w:rsidR="00012F90" w:rsidRPr="001A3E5D" w:rsidRDefault="00012F90" w:rsidP="00012F90">
      <w:pPr>
        <w:pStyle w:val="BodyTextIndent2"/>
        <w:spacing w:after="0" w:line="240" w:lineRule="auto"/>
        <w:ind w:left="0"/>
        <w:jc w:val="both"/>
        <w:rPr>
          <w:rFonts w:ascii="Arial" w:hAnsi="Arial" w:cs="Arial"/>
        </w:rPr>
      </w:pPr>
      <w:r w:rsidRPr="001A3E5D">
        <w:rPr>
          <w:rFonts w:ascii="Arial" w:hAnsi="Arial" w:cs="Arial"/>
        </w:rPr>
        <w:t>Valorile măsurate au fost comparate cu valorile admisibile ale nivelului de zgomot exterior pe străzi, funcţie de categoria tehnică a străzilor şi la limita zonelor funcţionale din mediul urban specificate de STAS 10009-88 Acustica urbană "Limitele admisibile ale nivelului de zgomot".</w:t>
      </w:r>
    </w:p>
    <w:p w:rsidR="00012F90" w:rsidRPr="001A3E5D" w:rsidRDefault="00012F90" w:rsidP="00012F90">
      <w:pPr>
        <w:pStyle w:val="Footer"/>
        <w:tabs>
          <w:tab w:val="left" w:pos="3240"/>
          <w:tab w:val="left" w:pos="6300"/>
        </w:tabs>
        <w:ind w:left="46" w:hanging="46"/>
        <w:rPr>
          <w:rFonts w:ascii="Arial" w:hAnsi="Arial" w:cs="Arial"/>
          <w:spacing w:val="-10"/>
          <w:sz w:val="24"/>
          <w:szCs w:val="24"/>
        </w:rPr>
      </w:pPr>
    </w:p>
    <w:p w:rsidR="00012F90" w:rsidRDefault="00012F90" w:rsidP="00012F90">
      <w:pPr>
        <w:jc w:val="both"/>
        <w:rPr>
          <w:rFonts w:ascii="Arial" w:hAnsi="Arial" w:cs="Arial"/>
        </w:rPr>
      </w:pPr>
      <w:r w:rsidRPr="003B51A0">
        <w:rPr>
          <w:rFonts w:ascii="Arial" w:hAnsi="Arial" w:cs="Arial"/>
        </w:rPr>
        <w:t xml:space="preserve">În tabelul următor sunt prezentate mediile determinărilor nivelului de zgomot echivalent, depăşirile şi valoarea maximă, din perioada 2010 – 2014. </w:t>
      </w:r>
    </w:p>
    <w:p w:rsidR="00012F90" w:rsidRPr="003B51A0" w:rsidRDefault="00012F90" w:rsidP="00012F90">
      <w:pPr>
        <w:jc w:val="both"/>
        <w:rPr>
          <w:rFonts w:ascii="Arial" w:hAnsi="Arial" w:cs="Arial"/>
        </w:rPr>
      </w:pPr>
    </w:p>
    <w:p w:rsidR="00012F90" w:rsidRPr="005925E3" w:rsidRDefault="00012F90" w:rsidP="00012F90">
      <w:pPr>
        <w:jc w:val="both"/>
        <w:rPr>
          <w:rFonts w:ascii="Arial" w:hAnsi="Arial" w:cs="Arial"/>
          <w:b/>
        </w:rPr>
      </w:pPr>
      <w:r w:rsidRPr="005925E3">
        <w:rPr>
          <w:rFonts w:ascii="Arial" w:hAnsi="Arial" w:cs="Arial"/>
          <w:b/>
        </w:rPr>
        <w:t xml:space="preserve">      Tabelul</w:t>
      </w:r>
      <w:r>
        <w:rPr>
          <w:rFonts w:ascii="Arial" w:hAnsi="Arial" w:cs="Arial"/>
          <w:b/>
        </w:rPr>
        <w:t xml:space="preserve"> </w:t>
      </w:r>
      <w:r w:rsidRPr="00696F35">
        <w:rPr>
          <w:rFonts w:ascii="Arial" w:hAnsi="Arial" w:cs="Arial"/>
          <w:b/>
          <w:bCs/>
        </w:rPr>
        <w:t>IX.1.2.1</w:t>
      </w:r>
      <w:r>
        <w:rPr>
          <w:rFonts w:ascii="Arial" w:hAnsi="Arial" w:cs="Arial"/>
          <w:b/>
          <w:bCs/>
        </w:rPr>
        <w:t xml:space="preserve">.3. </w:t>
      </w:r>
      <w:r w:rsidRPr="005925E3">
        <w:rPr>
          <w:rFonts w:ascii="Arial" w:hAnsi="Arial" w:cs="Arial"/>
          <w:b/>
        </w:rPr>
        <w:t>Medii anuale ale n</w:t>
      </w:r>
      <w:r>
        <w:rPr>
          <w:rFonts w:ascii="Arial" w:hAnsi="Arial" w:cs="Arial"/>
          <w:b/>
        </w:rPr>
        <w:t>ivelului de zgomot echivalent pentru anii 2010-2014</w:t>
      </w:r>
    </w:p>
    <w:tbl>
      <w:tblPr>
        <w:tblW w:w="9026" w:type="dxa"/>
        <w:jc w:val="center"/>
        <w:tblInd w:w="-273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356"/>
        <w:gridCol w:w="992"/>
        <w:gridCol w:w="851"/>
        <w:gridCol w:w="850"/>
        <w:gridCol w:w="851"/>
        <w:gridCol w:w="992"/>
        <w:gridCol w:w="1134"/>
      </w:tblGrid>
      <w:tr w:rsidR="00012F90" w:rsidRPr="009E1ABF" w:rsidTr="00012F90">
        <w:trPr>
          <w:jc w:val="center"/>
        </w:trPr>
        <w:tc>
          <w:tcPr>
            <w:tcW w:w="3356" w:type="dxa"/>
            <w:shd w:val="clear" w:color="auto" w:fill="E0E0E0"/>
            <w:vAlign w:val="center"/>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Tip măsurătoare</w:t>
            </w:r>
          </w:p>
        </w:tc>
        <w:tc>
          <w:tcPr>
            <w:tcW w:w="992" w:type="dxa"/>
            <w:shd w:val="clear" w:color="auto" w:fill="E0E0E0"/>
            <w:vAlign w:val="center"/>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Med.</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2010</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(dB)</w:t>
            </w:r>
          </w:p>
        </w:tc>
        <w:tc>
          <w:tcPr>
            <w:tcW w:w="851" w:type="dxa"/>
            <w:shd w:val="clear" w:color="auto" w:fill="E0E0E0"/>
            <w:vAlign w:val="center"/>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Med</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2011</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(dB)</w:t>
            </w:r>
          </w:p>
        </w:tc>
        <w:tc>
          <w:tcPr>
            <w:tcW w:w="850" w:type="dxa"/>
            <w:shd w:val="clear" w:color="auto" w:fill="E0E0E0"/>
            <w:vAlign w:val="center"/>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Med.</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2012</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(dB)</w:t>
            </w:r>
          </w:p>
        </w:tc>
        <w:tc>
          <w:tcPr>
            <w:tcW w:w="851" w:type="dxa"/>
            <w:shd w:val="clear" w:color="auto" w:fill="E0E0E0"/>
            <w:vAlign w:val="center"/>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Med.</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2013</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(dB)</w:t>
            </w:r>
          </w:p>
        </w:tc>
        <w:tc>
          <w:tcPr>
            <w:tcW w:w="992" w:type="dxa"/>
            <w:shd w:val="clear" w:color="auto" w:fill="E0E0E0"/>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Med.</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2014</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(dB)</w:t>
            </w:r>
          </w:p>
        </w:tc>
        <w:tc>
          <w:tcPr>
            <w:tcW w:w="1134" w:type="dxa"/>
            <w:shd w:val="clear" w:color="auto" w:fill="E0E0E0"/>
            <w:vAlign w:val="center"/>
          </w:tcPr>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Limita admisă</w:t>
            </w:r>
          </w:p>
          <w:p w:rsidR="00012F90" w:rsidRPr="000F6D6B" w:rsidRDefault="00012F90" w:rsidP="00012F90">
            <w:pPr>
              <w:pStyle w:val="Footer"/>
              <w:spacing w:line="264" w:lineRule="auto"/>
              <w:jc w:val="center"/>
              <w:rPr>
                <w:rFonts w:ascii="Arial" w:hAnsi="Arial" w:cs="Arial"/>
                <w:b/>
                <w:sz w:val="24"/>
                <w:szCs w:val="24"/>
              </w:rPr>
            </w:pPr>
            <w:r w:rsidRPr="000F6D6B">
              <w:rPr>
                <w:rFonts w:ascii="Arial" w:hAnsi="Arial" w:cs="Arial"/>
                <w:b/>
                <w:sz w:val="24"/>
                <w:szCs w:val="24"/>
              </w:rPr>
              <w:t>(dB)</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 xml:space="preserve">Pieţe, spaţii comerciale, restaurante în aer liber </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62,2</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62</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62,13</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63,4</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64,2</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65</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Incinte de şcoli, spaţii de joacă pentru copii</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60,1</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63,2</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63,3</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62,4</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63,7</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75</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 xml:space="preserve">Parcuri, zone de recreere şi odihnă </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54,1</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55,5</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55,3</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56,2</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54,7</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45</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Incinta industrială</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60,1</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58,7</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58,5</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59,7</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65</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Parcaje auto</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62,4</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59,9</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59,7</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59,7</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60,1</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90</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Stradă de categorie tehnică I</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69</w:t>
            </w:r>
          </w:p>
        </w:tc>
        <w:tc>
          <w:tcPr>
            <w:tcW w:w="851" w:type="dxa"/>
            <w:vAlign w:val="center"/>
          </w:tcPr>
          <w:p w:rsidR="00012F90" w:rsidRPr="009E1ABF" w:rsidRDefault="00012F90" w:rsidP="00012F90">
            <w:pPr>
              <w:jc w:val="center"/>
              <w:rPr>
                <w:rFonts w:ascii="Arial" w:hAnsi="Arial" w:cs="Arial"/>
              </w:rPr>
            </w:pPr>
            <w:r w:rsidRPr="009E1ABF">
              <w:rPr>
                <w:rFonts w:ascii="Arial" w:hAnsi="Arial" w:cs="Arial"/>
              </w:rPr>
              <w:t>63,9</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69,2</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69,7</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67,6</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80</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lastRenderedPageBreak/>
              <w:t>Stradă de categorie tehnică II</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68,9</w:t>
            </w:r>
          </w:p>
        </w:tc>
        <w:tc>
          <w:tcPr>
            <w:tcW w:w="851" w:type="dxa"/>
            <w:vAlign w:val="center"/>
          </w:tcPr>
          <w:p w:rsidR="00012F90" w:rsidRPr="009E1ABF" w:rsidRDefault="00012F90" w:rsidP="00012F90">
            <w:pPr>
              <w:jc w:val="center"/>
              <w:rPr>
                <w:rFonts w:ascii="Arial" w:hAnsi="Arial" w:cs="Arial"/>
              </w:rPr>
            </w:pPr>
            <w:r w:rsidRPr="009E1ABF">
              <w:rPr>
                <w:rFonts w:ascii="Arial" w:hAnsi="Arial" w:cs="Arial"/>
              </w:rPr>
              <w:t>68,7</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68,6</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69</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69,7</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70</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Stradă de categorie tehnică III</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65,5</w:t>
            </w:r>
          </w:p>
        </w:tc>
        <w:tc>
          <w:tcPr>
            <w:tcW w:w="851" w:type="dxa"/>
            <w:vAlign w:val="center"/>
          </w:tcPr>
          <w:p w:rsidR="00012F90" w:rsidRPr="009E1ABF" w:rsidRDefault="00012F90" w:rsidP="00012F90">
            <w:pPr>
              <w:jc w:val="center"/>
              <w:rPr>
                <w:rFonts w:ascii="Arial" w:hAnsi="Arial" w:cs="Arial"/>
              </w:rPr>
            </w:pPr>
            <w:r w:rsidRPr="009E1ABF">
              <w:rPr>
                <w:rFonts w:ascii="Arial" w:hAnsi="Arial" w:cs="Arial"/>
              </w:rPr>
              <w:t>66,5</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66,7</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65,6</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64,9</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65</w:t>
            </w:r>
          </w:p>
        </w:tc>
      </w:tr>
      <w:tr w:rsidR="00012F90" w:rsidRPr="009E1ABF" w:rsidTr="00012F90">
        <w:trPr>
          <w:jc w:val="center"/>
        </w:trPr>
        <w:tc>
          <w:tcPr>
            <w:tcW w:w="3356" w:type="dxa"/>
          </w:tcPr>
          <w:p w:rsidR="00012F90" w:rsidRPr="009E1ABF" w:rsidRDefault="00012F90" w:rsidP="00012F90">
            <w:pPr>
              <w:rPr>
                <w:rFonts w:ascii="Arial" w:hAnsi="Arial" w:cs="Arial"/>
              </w:rPr>
            </w:pPr>
            <w:r w:rsidRPr="009E1ABF">
              <w:rPr>
                <w:rFonts w:ascii="Arial" w:hAnsi="Arial" w:cs="Arial"/>
              </w:rPr>
              <w:t>Stradă de categorie tehnică IV</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57,6</w:t>
            </w:r>
          </w:p>
        </w:tc>
        <w:tc>
          <w:tcPr>
            <w:tcW w:w="851" w:type="dxa"/>
            <w:vAlign w:val="center"/>
          </w:tcPr>
          <w:p w:rsidR="00012F90" w:rsidRPr="009E1ABF" w:rsidRDefault="00012F90" w:rsidP="00012F90">
            <w:pPr>
              <w:jc w:val="center"/>
              <w:rPr>
                <w:rFonts w:ascii="Arial" w:hAnsi="Arial" w:cs="Arial"/>
              </w:rPr>
            </w:pPr>
            <w:r w:rsidRPr="009E1ABF">
              <w:rPr>
                <w:rFonts w:ascii="Arial" w:hAnsi="Arial" w:cs="Arial"/>
              </w:rPr>
              <w:t>58,6</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58,6</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59,4</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59,4</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60</w:t>
            </w:r>
          </w:p>
        </w:tc>
      </w:tr>
      <w:tr w:rsidR="00012F90" w:rsidRPr="009E1ABF" w:rsidTr="00012F90">
        <w:trPr>
          <w:jc w:val="center"/>
        </w:trPr>
        <w:tc>
          <w:tcPr>
            <w:tcW w:w="3356" w:type="dxa"/>
          </w:tcPr>
          <w:p w:rsidR="00012F90" w:rsidRPr="009E1ABF" w:rsidRDefault="00012F90" w:rsidP="00012F90">
            <w:pPr>
              <w:pStyle w:val="Footer"/>
              <w:rPr>
                <w:rFonts w:ascii="Arial" w:hAnsi="Arial" w:cs="Arial"/>
                <w:sz w:val="24"/>
                <w:szCs w:val="24"/>
              </w:rPr>
            </w:pPr>
            <w:r w:rsidRPr="009E1ABF">
              <w:rPr>
                <w:rFonts w:ascii="Arial" w:hAnsi="Arial" w:cs="Arial"/>
                <w:sz w:val="24"/>
                <w:szCs w:val="24"/>
              </w:rPr>
              <w:t>Altele -zone locuibile – zone rezidențiale</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56,7</w:t>
            </w:r>
          </w:p>
        </w:tc>
        <w:tc>
          <w:tcPr>
            <w:tcW w:w="851" w:type="dxa"/>
            <w:vAlign w:val="center"/>
          </w:tcPr>
          <w:p w:rsidR="00012F90" w:rsidRPr="009E1ABF" w:rsidRDefault="00012F90" w:rsidP="00012F90">
            <w:pPr>
              <w:jc w:val="center"/>
              <w:rPr>
                <w:rFonts w:ascii="Arial" w:hAnsi="Arial" w:cs="Arial"/>
              </w:rPr>
            </w:pPr>
            <w:r w:rsidRPr="009E1ABF">
              <w:rPr>
                <w:rFonts w:ascii="Arial" w:hAnsi="Arial" w:cs="Arial"/>
              </w:rPr>
              <w:t>69,3</w:t>
            </w:r>
          </w:p>
        </w:tc>
        <w:tc>
          <w:tcPr>
            <w:tcW w:w="850"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56,6</w:t>
            </w:r>
          </w:p>
        </w:tc>
        <w:tc>
          <w:tcPr>
            <w:tcW w:w="851"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57,7</w:t>
            </w:r>
          </w:p>
        </w:tc>
        <w:tc>
          <w:tcPr>
            <w:tcW w:w="992"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57</w:t>
            </w:r>
          </w:p>
        </w:tc>
        <w:tc>
          <w:tcPr>
            <w:tcW w:w="1134" w:type="dxa"/>
            <w:vAlign w:val="center"/>
          </w:tcPr>
          <w:p w:rsidR="00012F90" w:rsidRPr="009E1ABF" w:rsidRDefault="00012F90" w:rsidP="00012F90">
            <w:pPr>
              <w:pStyle w:val="Footer"/>
              <w:jc w:val="center"/>
              <w:rPr>
                <w:rFonts w:ascii="Arial" w:hAnsi="Arial" w:cs="Arial"/>
                <w:sz w:val="24"/>
                <w:szCs w:val="24"/>
              </w:rPr>
            </w:pPr>
            <w:r w:rsidRPr="009E1ABF">
              <w:rPr>
                <w:rFonts w:ascii="Arial" w:hAnsi="Arial" w:cs="Arial"/>
                <w:sz w:val="24"/>
                <w:szCs w:val="24"/>
              </w:rPr>
              <w:t>50</w:t>
            </w:r>
          </w:p>
        </w:tc>
      </w:tr>
    </w:tbl>
    <w:p w:rsidR="00012F90" w:rsidRDefault="00012F90" w:rsidP="00012F90">
      <w:pPr>
        <w:jc w:val="both"/>
        <w:rPr>
          <w:rFonts w:ascii="Arial" w:hAnsi="Arial" w:cs="Arial"/>
        </w:rPr>
      </w:pPr>
    </w:p>
    <w:p w:rsidR="00012F90" w:rsidRPr="003B51A0" w:rsidRDefault="00012F90" w:rsidP="00012F90">
      <w:pPr>
        <w:jc w:val="both"/>
        <w:rPr>
          <w:rFonts w:ascii="Arial" w:hAnsi="Arial" w:cs="Arial"/>
        </w:rPr>
      </w:pPr>
      <w:r w:rsidRPr="003B51A0">
        <w:rPr>
          <w:rFonts w:ascii="Arial" w:hAnsi="Arial" w:cs="Arial"/>
        </w:rPr>
        <w:t>Analizând datele prezentate în tabelul</w:t>
      </w:r>
      <w:r>
        <w:rPr>
          <w:rFonts w:ascii="Arial" w:hAnsi="Arial" w:cs="Arial"/>
        </w:rPr>
        <w:t xml:space="preserve"> </w:t>
      </w:r>
      <w:r w:rsidRPr="00AD21EB">
        <w:rPr>
          <w:rFonts w:ascii="Arial" w:hAnsi="Arial" w:cs="Arial"/>
          <w:bCs/>
        </w:rPr>
        <w:t>IX.1.2.1.3.</w:t>
      </w:r>
      <w:r w:rsidRPr="003B51A0">
        <w:rPr>
          <w:rFonts w:ascii="Arial" w:hAnsi="Arial" w:cs="Arial"/>
          <w:b/>
          <w:bCs/>
        </w:rPr>
        <w:t xml:space="preserve"> </w:t>
      </w:r>
      <w:r w:rsidRPr="003B51A0">
        <w:rPr>
          <w:rFonts w:ascii="Arial" w:hAnsi="Arial" w:cs="Arial"/>
        </w:rPr>
        <w:t>de mai sus se constată următoarele:</w:t>
      </w:r>
    </w:p>
    <w:p w:rsidR="00012F90" w:rsidRPr="003B51A0" w:rsidRDefault="00012F90" w:rsidP="005E6B2E">
      <w:pPr>
        <w:numPr>
          <w:ilvl w:val="0"/>
          <w:numId w:val="4"/>
        </w:numPr>
        <w:jc w:val="both"/>
        <w:rPr>
          <w:rFonts w:ascii="Arial" w:hAnsi="Arial" w:cs="Arial"/>
        </w:rPr>
      </w:pPr>
      <w:r w:rsidRPr="003B51A0">
        <w:rPr>
          <w:rFonts w:ascii="Arial" w:hAnsi="Arial" w:cs="Arial"/>
        </w:rPr>
        <w:t xml:space="preserve">La limita exterioară a pieţelor, spaţiilor comerciale şi restaurantelor în aer liber se constată o ușoară creștere a nivelului de zgomot în </w:t>
      </w:r>
      <w:r>
        <w:rPr>
          <w:rFonts w:ascii="Arial" w:hAnsi="Arial" w:cs="Arial"/>
        </w:rPr>
        <w:t>anii</w:t>
      </w:r>
      <w:r w:rsidRPr="003B51A0">
        <w:rPr>
          <w:rFonts w:ascii="Arial" w:hAnsi="Arial" w:cs="Arial"/>
        </w:rPr>
        <w:t xml:space="preserve"> 2013</w:t>
      </w:r>
      <w:r>
        <w:rPr>
          <w:rFonts w:ascii="Arial" w:hAnsi="Arial" w:cs="Arial"/>
        </w:rPr>
        <w:t>-2014</w:t>
      </w:r>
      <w:r w:rsidRPr="003B51A0">
        <w:rPr>
          <w:rFonts w:ascii="Arial" w:hAnsi="Arial" w:cs="Arial"/>
        </w:rPr>
        <w:t xml:space="preserve"> față de anii </w:t>
      </w:r>
      <w:r>
        <w:rPr>
          <w:rFonts w:ascii="Arial" w:hAnsi="Arial" w:cs="Arial"/>
        </w:rPr>
        <w:t>precedenți</w:t>
      </w:r>
      <w:r w:rsidRPr="003B51A0">
        <w:rPr>
          <w:rFonts w:ascii="Arial" w:hAnsi="Arial" w:cs="Arial"/>
        </w:rPr>
        <w:t>;</w:t>
      </w:r>
    </w:p>
    <w:p w:rsidR="00012F90" w:rsidRPr="003B51A0" w:rsidRDefault="00012F90" w:rsidP="005E6B2E">
      <w:pPr>
        <w:numPr>
          <w:ilvl w:val="0"/>
          <w:numId w:val="4"/>
        </w:numPr>
        <w:jc w:val="both"/>
        <w:rPr>
          <w:rFonts w:ascii="Arial" w:hAnsi="Arial" w:cs="Arial"/>
        </w:rPr>
      </w:pPr>
      <w:r w:rsidRPr="003B51A0">
        <w:rPr>
          <w:rFonts w:ascii="Arial" w:hAnsi="Arial" w:cs="Arial"/>
        </w:rPr>
        <w:t>La limita exterioară a incintelor de şcoli, valoarea medie a anului 201</w:t>
      </w:r>
      <w:r>
        <w:rPr>
          <w:rFonts w:ascii="Arial" w:hAnsi="Arial" w:cs="Arial"/>
        </w:rPr>
        <w:t>4</w:t>
      </w:r>
      <w:r w:rsidRPr="003B51A0">
        <w:rPr>
          <w:rFonts w:ascii="Arial" w:hAnsi="Arial" w:cs="Arial"/>
        </w:rPr>
        <w:t xml:space="preserve"> este în scădere </w:t>
      </w:r>
      <w:r>
        <w:rPr>
          <w:rFonts w:ascii="Arial" w:hAnsi="Arial" w:cs="Arial"/>
        </w:rPr>
        <w:t>creștere față de anii anteriori</w:t>
      </w:r>
      <w:r w:rsidRPr="003B51A0">
        <w:rPr>
          <w:rFonts w:ascii="Arial" w:hAnsi="Arial" w:cs="Arial"/>
        </w:rPr>
        <w:t>;</w:t>
      </w:r>
    </w:p>
    <w:p w:rsidR="00012F90" w:rsidRPr="003B51A0" w:rsidRDefault="00012F90" w:rsidP="005E6B2E">
      <w:pPr>
        <w:numPr>
          <w:ilvl w:val="0"/>
          <w:numId w:val="4"/>
        </w:numPr>
        <w:jc w:val="both"/>
        <w:rPr>
          <w:rFonts w:ascii="Arial" w:hAnsi="Arial" w:cs="Arial"/>
        </w:rPr>
      </w:pPr>
      <w:r w:rsidRPr="003B51A0">
        <w:rPr>
          <w:rFonts w:ascii="Arial" w:hAnsi="Arial" w:cs="Arial"/>
        </w:rPr>
        <w:t xml:space="preserve">Măsurările efectuate la limita exterioară a parcurilor şi zonelor de recreere şi tratament medical, prezintă o ușoară creștere </w:t>
      </w:r>
      <w:r>
        <w:rPr>
          <w:rFonts w:ascii="Arial" w:hAnsi="Arial" w:cs="Arial"/>
        </w:rPr>
        <w:t>până în</w:t>
      </w:r>
      <w:r w:rsidRPr="003B51A0">
        <w:rPr>
          <w:rFonts w:ascii="Arial" w:hAnsi="Arial" w:cs="Arial"/>
        </w:rPr>
        <w:t xml:space="preserve"> anul 2013 și </w:t>
      </w:r>
      <w:r>
        <w:rPr>
          <w:rFonts w:ascii="Arial" w:hAnsi="Arial" w:cs="Arial"/>
        </w:rPr>
        <w:t>o scădere în anul 2014,</w:t>
      </w:r>
      <w:r w:rsidRPr="003B51A0">
        <w:rPr>
          <w:rFonts w:ascii="Arial" w:hAnsi="Arial" w:cs="Arial"/>
        </w:rPr>
        <w:t>în același timp facem mențiunea că în toate punctele există depășiri ale limitei admise;</w:t>
      </w:r>
    </w:p>
    <w:p w:rsidR="00012F90" w:rsidRPr="003B51A0" w:rsidRDefault="00012F90" w:rsidP="005E6B2E">
      <w:pPr>
        <w:numPr>
          <w:ilvl w:val="0"/>
          <w:numId w:val="4"/>
        </w:numPr>
        <w:jc w:val="both"/>
        <w:rPr>
          <w:rFonts w:ascii="Arial" w:hAnsi="Arial" w:cs="Arial"/>
        </w:rPr>
      </w:pPr>
      <w:r w:rsidRPr="003B51A0">
        <w:rPr>
          <w:rFonts w:ascii="Arial" w:hAnsi="Arial" w:cs="Arial"/>
        </w:rPr>
        <w:t>La exteriorul incintelor industriale și parcajelor auto, care au început să fie monitorizate începând din anul 2007, media anuală nu depăşeşte limita admisă iar media anului 201</w:t>
      </w:r>
      <w:r>
        <w:rPr>
          <w:rFonts w:ascii="Arial" w:hAnsi="Arial" w:cs="Arial"/>
        </w:rPr>
        <w:t>4</w:t>
      </w:r>
      <w:r w:rsidRPr="003B51A0">
        <w:rPr>
          <w:rFonts w:ascii="Arial" w:hAnsi="Arial" w:cs="Arial"/>
        </w:rPr>
        <w:t xml:space="preserve"> este  similară cu cea din anii 201</w:t>
      </w:r>
      <w:r>
        <w:rPr>
          <w:rFonts w:ascii="Arial" w:hAnsi="Arial" w:cs="Arial"/>
        </w:rPr>
        <w:t>2</w:t>
      </w:r>
      <w:r w:rsidRPr="003B51A0">
        <w:rPr>
          <w:rFonts w:ascii="Arial" w:hAnsi="Arial" w:cs="Arial"/>
        </w:rPr>
        <w:t>-201</w:t>
      </w:r>
      <w:r>
        <w:rPr>
          <w:rFonts w:ascii="Arial" w:hAnsi="Arial" w:cs="Arial"/>
        </w:rPr>
        <w:t>3</w:t>
      </w:r>
      <w:r w:rsidRPr="003B51A0">
        <w:rPr>
          <w:rFonts w:ascii="Arial" w:hAnsi="Arial" w:cs="Arial"/>
        </w:rPr>
        <w:t>;</w:t>
      </w:r>
    </w:p>
    <w:p w:rsidR="00012F90" w:rsidRPr="003B51A0" w:rsidRDefault="00012F90" w:rsidP="005E6B2E">
      <w:pPr>
        <w:numPr>
          <w:ilvl w:val="0"/>
          <w:numId w:val="4"/>
        </w:numPr>
        <w:jc w:val="both"/>
        <w:rPr>
          <w:rFonts w:ascii="Arial" w:hAnsi="Arial" w:cs="Arial"/>
        </w:rPr>
      </w:pPr>
      <w:r w:rsidRPr="003B51A0">
        <w:rPr>
          <w:rFonts w:ascii="Arial" w:hAnsi="Arial" w:cs="Arial"/>
        </w:rPr>
        <w:t>În cazul străzilor de categorie tehnică I valorile medii anuale se menţin sub limita maxi</w:t>
      </w:r>
      <w:r>
        <w:rPr>
          <w:rFonts w:ascii="Arial" w:hAnsi="Arial" w:cs="Arial"/>
        </w:rPr>
        <w:t>mă admisă, iar media anului 2014</w:t>
      </w:r>
      <w:r w:rsidRPr="003B51A0">
        <w:rPr>
          <w:rFonts w:ascii="Arial" w:hAnsi="Arial" w:cs="Arial"/>
        </w:rPr>
        <w:t xml:space="preserve"> este ușor </w:t>
      </w:r>
      <w:r>
        <w:rPr>
          <w:rFonts w:ascii="Arial" w:hAnsi="Arial" w:cs="Arial"/>
        </w:rPr>
        <w:t>în scădere</w:t>
      </w:r>
      <w:r w:rsidRPr="003B51A0">
        <w:rPr>
          <w:rFonts w:ascii="Arial" w:hAnsi="Arial" w:cs="Arial"/>
        </w:rPr>
        <w:t xml:space="preserve"> față de anii 201</w:t>
      </w:r>
      <w:r>
        <w:rPr>
          <w:rFonts w:ascii="Arial" w:hAnsi="Arial" w:cs="Arial"/>
        </w:rPr>
        <w:t>2</w:t>
      </w:r>
      <w:r w:rsidRPr="003B51A0">
        <w:rPr>
          <w:rFonts w:ascii="Arial" w:hAnsi="Arial" w:cs="Arial"/>
        </w:rPr>
        <w:t>-201</w:t>
      </w:r>
      <w:r>
        <w:rPr>
          <w:rFonts w:ascii="Arial" w:hAnsi="Arial" w:cs="Arial"/>
        </w:rPr>
        <w:t>3</w:t>
      </w:r>
      <w:r w:rsidRPr="003B51A0">
        <w:rPr>
          <w:rFonts w:ascii="Arial" w:hAnsi="Arial" w:cs="Arial"/>
        </w:rPr>
        <w:t>;</w:t>
      </w:r>
    </w:p>
    <w:p w:rsidR="00012F90" w:rsidRPr="003B51A0" w:rsidRDefault="00012F90" w:rsidP="005E6B2E">
      <w:pPr>
        <w:numPr>
          <w:ilvl w:val="0"/>
          <w:numId w:val="4"/>
        </w:numPr>
        <w:jc w:val="both"/>
        <w:rPr>
          <w:rFonts w:ascii="Arial" w:hAnsi="Arial" w:cs="Arial"/>
        </w:rPr>
      </w:pPr>
      <w:r w:rsidRPr="003B51A0">
        <w:rPr>
          <w:rFonts w:ascii="Arial" w:hAnsi="Arial" w:cs="Arial"/>
        </w:rPr>
        <w:t>La limita străzilor de categorie tehnică II, se înregistrează o evoluţie  constant</w:t>
      </w:r>
      <w:r>
        <w:rPr>
          <w:rFonts w:ascii="Arial" w:hAnsi="Arial" w:cs="Arial"/>
        </w:rPr>
        <w:t>ă</w:t>
      </w:r>
      <w:r w:rsidRPr="003B51A0">
        <w:rPr>
          <w:rFonts w:ascii="Arial" w:hAnsi="Arial" w:cs="Arial"/>
        </w:rPr>
        <w:t xml:space="preserve"> a nivelului de zgomot în decursul anilor 20</w:t>
      </w:r>
      <w:r>
        <w:rPr>
          <w:rFonts w:ascii="Arial" w:hAnsi="Arial" w:cs="Arial"/>
        </w:rPr>
        <w:t>10</w:t>
      </w:r>
      <w:r w:rsidRPr="003B51A0">
        <w:rPr>
          <w:rFonts w:ascii="Arial" w:hAnsi="Arial" w:cs="Arial"/>
        </w:rPr>
        <w:t>-201</w:t>
      </w:r>
      <w:r>
        <w:rPr>
          <w:rFonts w:ascii="Arial" w:hAnsi="Arial" w:cs="Arial"/>
        </w:rPr>
        <w:t>4</w:t>
      </w:r>
      <w:r w:rsidRPr="003B51A0">
        <w:rPr>
          <w:rFonts w:ascii="Arial" w:hAnsi="Arial" w:cs="Arial"/>
        </w:rPr>
        <w:t xml:space="preserve"> ș</w:t>
      </w:r>
      <w:r>
        <w:rPr>
          <w:rFonts w:ascii="Arial" w:hAnsi="Arial" w:cs="Arial"/>
        </w:rPr>
        <w:t>i o ușoară creștere în anul 2014</w:t>
      </w:r>
      <w:r w:rsidRPr="003B51A0">
        <w:rPr>
          <w:rFonts w:ascii="Arial" w:hAnsi="Arial" w:cs="Arial"/>
        </w:rPr>
        <w:t>, media încadrându-se sub limita admisă de 70 dB;</w:t>
      </w:r>
    </w:p>
    <w:p w:rsidR="00012F90" w:rsidRPr="003B51A0" w:rsidRDefault="00012F90" w:rsidP="005E6B2E">
      <w:pPr>
        <w:numPr>
          <w:ilvl w:val="0"/>
          <w:numId w:val="4"/>
        </w:numPr>
        <w:jc w:val="both"/>
        <w:rPr>
          <w:rFonts w:ascii="Arial" w:hAnsi="Arial" w:cs="Arial"/>
        </w:rPr>
      </w:pPr>
      <w:r w:rsidRPr="003B51A0">
        <w:rPr>
          <w:rFonts w:ascii="Arial" w:hAnsi="Arial" w:cs="Arial"/>
        </w:rPr>
        <w:t>Pe străzile de categorie tehnică III, valori</w:t>
      </w:r>
      <w:r>
        <w:rPr>
          <w:rFonts w:ascii="Arial" w:hAnsi="Arial" w:cs="Arial"/>
        </w:rPr>
        <w:t>le</w:t>
      </w:r>
      <w:r w:rsidRPr="003B51A0">
        <w:rPr>
          <w:rFonts w:ascii="Arial" w:hAnsi="Arial" w:cs="Arial"/>
        </w:rPr>
        <w:t xml:space="preserve"> medi</w:t>
      </w:r>
      <w:r>
        <w:rPr>
          <w:rFonts w:ascii="Arial" w:hAnsi="Arial" w:cs="Arial"/>
        </w:rPr>
        <w:t>i</w:t>
      </w:r>
      <w:r w:rsidRPr="003B51A0">
        <w:rPr>
          <w:rFonts w:ascii="Arial" w:hAnsi="Arial" w:cs="Arial"/>
        </w:rPr>
        <w:t xml:space="preserve"> anule pentru </w:t>
      </w:r>
      <w:r>
        <w:rPr>
          <w:rFonts w:ascii="Arial" w:hAnsi="Arial" w:cs="Arial"/>
        </w:rPr>
        <w:t>anii</w:t>
      </w:r>
      <w:r w:rsidRPr="003B51A0">
        <w:rPr>
          <w:rFonts w:ascii="Arial" w:hAnsi="Arial" w:cs="Arial"/>
        </w:rPr>
        <w:t xml:space="preserve"> 2013</w:t>
      </w:r>
      <w:r>
        <w:rPr>
          <w:rFonts w:ascii="Arial" w:hAnsi="Arial" w:cs="Arial"/>
        </w:rPr>
        <w:t>-2014</w:t>
      </w:r>
      <w:r w:rsidRPr="003B51A0">
        <w:rPr>
          <w:rFonts w:ascii="Arial" w:hAnsi="Arial" w:cs="Arial"/>
        </w:rPr>
        <w:t xml:space="preserve">  </w:t>
      </w:r>
      <w:r>
        <w:rPr>
          <w:rFonts w:ascii="Arial" w:hAnsi="Arial" w:cs="Arial"/>
        </w:rPr>
        <w:t xml:space="preserve">sunt </w:t>
      </w:r>
      <w:r w:rsidRPr="003B51A0">
        <w:rPr>
          <w:rFonts w:ascii="Arial" w:hAnsi="Arial" w:cs="Arial"/>
        </w:rPr>
        <w:t xml:space="preserve"> în scădere față de anii precedenți;</w:t>
      </w:r>
    </w:p>
    <w:p w:rsidR="00012F90" w:rsidRPr="003B51A0" w:rsidRDefault="00012F90" w:rsidP="005E6B2E">
      <w:pPr>
        <w:numPr>
          <w:ilvl w:val="0"/>
          <w:numId w:val="4"/>
        </w:numPr>
        <w:jc w:val="both"/>
        <w:rPr>
          <w:rFonts w:ascii="Arial" w:hAnsi="Arial" w:cs="Arial"/>
        </w:rPr>
      </w:pPr>
      <w:r w:rsidRPr="003B51A0">
        <w:rPr>
          <w:rFonts w:ascii="Arial" w:hAnsi="Arial" w:cs="Arial"/>
        </w:rPr>
        <w:t>Pe străzile de categorie tehnică IV, valorile nivelului de zgomot echivalent prezintă o creștere în anul 2013</w:t>
      </w:r>
      <w:r>
        <w:rPr>
          <w:rFonts w:ascii="Arial" w:hAnsi="Arial" w:cs="Arial"/>
        </w:rPr>
        <w:t xml:space="preserve"> și 2014</w:t>
      </w:r>
      <w:r w:rsidRPr="003B51A0">
        <w:rPr>
          <w:rFonts w:ascii="Arial" w:hAnsi="Arial" w:cs="Arial"/>
        </w:rPr>
        <w:t xml:space="preserve"> față de anii precedenți dar se încadrează sub limita admisă de 60 dB;</w:t>
      </w:r>
    </w:p>
    <w:p w:rsidR="00012F90" w:rsidRPr="003B51A0" w:rsidRDefault="00012F90" w:rsidP="005E6B2E">
      <w:pPr>
        <w:numPr>
          <w:ilvl w:val="0"/>
          <w:numId w:val="4"/>
        </w:numPr>
        <w:tabs>
          <w:tab w:val="clear" w:pos="720"/>
        </w:tabs>
        <w:ind w:left="709" w:hanging="283"/>
        <w:jc w:val="both"/>
        <w:rPr>
          <w:rFonts w:ascii="Arial" w:hAnsi="Arial" w:cs="Arial"/>
          <w:b/>
          <w:bCs/>
        </w:rPr>
      </w:pPr>
      <w:r w:rsidRPr="003B51A0">
        <w:rPr>
          <w:rFonts w:ascii="Arial" w:hAnsi="Arial" w:cs="Arial"/>
        </w:rPr>
        <w:t xml:space="preserve">Deasemeni în zonele rezidenţiale expertizate se constată o </w:t>
      </w:r>
      <w:r>
        <w:rPr>
          <w:rFonts w:ascii="Arial" w:hAnsi="Arial" w:cs="Arial"/>
        </w:rPr>
        <w:t>scădere</w:t>
      </w:r>
      <w:r w:rsidRPr="003B51A0">
        <w:rPr>
          <w:rFonts w:ascii="Arial" w:hAnsi="Arial" w:cs="Arial"/>
        </w:rPr>
        <w:t xml:space="preserve"> a valorilor nivelului de zgomot exterior în anul 201</w:t>
      </w:r>
      <w:r>
        <w:rPr>
          <w:rFonts w:ascii="Arial" w:hAnsi="Arial" w:cs="Arial"/>
        </w:rPr>
        <w:t>4</w:t>
      </w:r>
      <w:r w:rsidRPr="003B51A0">
        <w:rPr>
          <w:rFonts w:ascii="Arial" w:hAnsi="Arial" w:cs="Arial"/>
        </w:rPr>
        <w:t xml:space="preserve"> față de anul 201</w:t>
      </w:r>
      <w:r>
        <w:rPr>
          <w:rFonts w:ascii="Arial" w:hAnsi="Arial" w:cs="Arial"/>
        </w:rPr>
        <w:t>1</w:t>
      </w:r>
      <w:r w:rsidRPr="003B51A0">
        <w:rPr>
          <w:rFonts w:ascii="Arial" w:hAnsi="Arial" w:cs="Arial"/>
        </w:rPr>
        <w:t>.</w:t>
      </w:r>
    </w:p>
    <w:p w:rsidR="00012F90" w:rsidRPr="003B51A0" w:rsidRDefault="00012F90" w:rsidP="00012F90">
      <w:pPr>
        <w:ind w:left="360"/>
        <w:jc w:val="both"/>
        <w:rPr>
          <w:rFonts w:ascii="Arial" w:hAnsi="Arial" w:cs="Arial"/>
        </w:rPr>
      </w:pPr>
    </w:p>
    <w:p w:rsidR="00012F90" w:rsidRPr="006F26D6" w:rsidRDefault="00012F90" w:rsidP="00012F90">
      <w:pPr>
        <w:ind w:firstLine="426"/>
        <w:jc w:val="both"/>
        <w:rPr>
          <w:rFonts w:ascii="Arial" w:eastAsia="Times New Roman" w:hAnsi="Arial" w:cs="Arial"/>
        </w:rPr>
      </w:pPr>
      <w:r>
        <w:rPr>
          <w:rFonts w:ascii="Arial" w:eastAsia="Times New Roman" w:hAnsi="Arial" w:cs="Arial"/>
        </w:rPr>
        <w:t>În Figura</w:t>
      </w:r>
      <w:r w:rsidRPr="006F26D6">
        <w:rPr>
          <w:rFonts w:ascii="Arial" w:hAnsi="Arial" w:cs="Arial"/>
          <w:b/>
          <w:bCs/>
        </w:rPr>
        <w:t xml:space="preserve"> </w:t>
      </w:r>
      <w:r w:rsidRPr="006F26D6">
        <w:rPr>
          <w:rFonts w:ascii="Arial" w:hAnsi="Arial" w:cs="Arial"/>
          <w:bCs/>
        </w:rPr>
        <w:t>IX.1.2.1.1</w:t>
      </w:r>
      <w:r>
        <w:rPr>
          <w:rFonts w:ascii="Arial" w:hAnsi="Arial" w:cs="Arial"/>
          <w:bCs/>
        </w:rPr>
        <w:t xml:space="preserve"> este prezentată evoluția nivelului de zgomot echivalent pentru ultimii 5 ani.</w:t>
      </w:r>
    </w:p>
    <w:p w:rsidR="00012F90" w:rsidRDefault="00012F90" w:rsidP="00012F90">
      <w:pPr>
        <w:tabs>
          <w:tab w:val="left" w:pos="945"/>
        </w:tabs>
        <w:jc w:val="center"/>
        <w:rPr>
          <w:rFonts w:ascii="Arial" w:hAnsi="Arial" w:cs="Arial"/>
        </w:rPr>
      </w:pPr>
      <w:r w:rsidRPr="00082D21">
        <w:rPr>
          <w:rFonts w:ascii="Arial" w:hAnsi="Arial" w:cs="Arial"/>
          <w:noProof/>
          <w:lang w:val="ro-RO" w:eastAsia="ro-RO"/>
        </w:rPr>
        <w:drawing>
          <wp:inline distT="0" distB="0" distL="0" distR="0">
            <wp:extent cx="5191125" cy="2771775"/>
            <wp:effectExtent l="19050" t="0" r="9525" b="0"/>
            <wp:docPr id="89"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3"/>
              </a:graphicData>
            </a:graphic>
          </wp:inline>
        </w:drawing>
      </w:r>
    </w:p>
    <w:p w:rsidR="00012F90" w:rsidRPr="00082D21" w:rsidRDefault="00012F90" w:rsidP="00012F90">
      <w:pPr>
        <w:jc w:val="center"/>
        <w:rPr>
          <w:rFonts w:ascii="Arial" w:hAnsi="Arial" w:cs="Arial"/>
        </w:rPr>
      </w:pPr>
      <w:r w:rsidRPr="00E937C8">
        <w:rPr>
          <w:rFonts w:ascii="Arial" w:eastAsia="Times New Roman" w:hAnsi="Arial" w:cs="Arial"/>
          <w:b/>
        </w:rPr>
        <w:lastRenderedPageBreak/>
        <w:t>Figura</w:t>
      </w:r>
      <w:r>
        <w:rPr>
          <w:rFonts w:ascii="Arial" w:hAnsi="Arial" w:cs="Arial"/>
        </w:rPr>
        <w:t xml:space="preserve"> </w:t>
      </w:r>
      <w:r w:rsidRPr="00696F35">
        <w:rPr>
          <w:rFonts w:ascii="Arial" w:hAnsi="Arial" w:cs="Arial"/>
          <w:b/>
          <w:bCs/>
        </w:rPr>
        <w:t>IX.1.2.1</w:t>
      </w:r>
      <w:r>
        <w:rPr>
          <w:rFonts w:ascii="Arial" w:hAnsi="Arial" w:cs="Arial"/>
          <w:b/>
          <w:bCs/>
        </w:rPr>
        <w:t xml:space="preserve">.1. </w:t>
      </w:r>
      <w:r w:rsidRPr="00DE1672">
        <w:rPr>
          <w:rFonts w:ascii="Arial" w:hAnsi="Arial" w:cs="Arial"/>
          <w:bCs/>
        </w:rPr>
        <w:t xml:space="preserve">privind evoluția </w:t>
      </w:r>
      <w:r>
        <w:rPr>
          <w:rFonts w:ascii="Arial" w:hAnsi="Arial" w:cs="Arial"/>
          <w:bCs/>
        </w:rPr>
        <w:t>zgomotului în parcuri, zone de recreere în ultimii 5 ani</w:t>
      </w:r>
    </w:p>
    <w:p w:rsidR="00012F90" w:rsidRPr="00CB7280" w:rsidRDefault="00012F90" w:rsidP="00012F90">
      <w:pPr>
        <w:jc w:val="both"/>
        <w:rPr>
          <w:rFonts w:ascii="Arial" w:hAnsi="Arial" w:cs="Arial"/>
        </w:rPr>
      </w:pPr>
      <w:r w:rsidRPr="00CB7280">
        <w:rPr>
          <w:rFonts w:ascii="Arial" w:eastAsia="Times New Roman" w:hAnsi="Arial" w:cs="Arial"/>
        </w:rPr>
        <w:t>Creşterea nivelului sonor este urmarea dezvoltării în timp a activităţilor caracteristice zonelor şi este amplificat de zgomotul traficului intens ce se desfăşoară pe arterele de circulaţie aflate în apropierea zonelor respective</w:t>
      </w:r>
      <w:r>
        <w:rPr>
          <w:rFonts w:ascii="Arial" w:eastAsia="Times New Roman" w:hAnsi="Arial" w:cs="Arial"/>
        </w:rPr>
        <w:t>.</w:t>
      </w:r>
      <w:r w:rsidRPr="005C1CD9">
        <w:rPr>
          <w:rFonts w:ascii="Arial" w:eastAsia="Times New Roman" w:hAnsi="Arial" w:cs="Arial"/>
        </w:rPr>
        <w:t xml:space="preserve"> </w:t>
      </w:r>
      <w:r w:rsidRPr="00CB7280">
        <w:rPr>
          <w:rFonts w:ascii="Arial" w:eastAsia="Times New Roman" w:hAnsi="Arial" w:cs="Arial"/>
        </w:rPr>
        <w:t xml:space="preserve">Această evoluţie este consecinţa faptului că traficul cunoaşte o creştere atât a numărului de maşini care se deplasează cât </w:t>
      </w:r>
      <w:r>
        <w:rPr>
          <w:rFonts w:ascii="Arial" w:eastAsia="Times New Roman" w:hAnsi="Arial" w:cs="Arial"/>
        </w:rPr>
        <w:t>ș</w:t>
      </w:r>
      <w:r w:rsidRPr="00CB7280">
        <w:rPr>
          <w:rFonts w:ascii="Arial" w:eastAsia="Times New Roman" w:hAnsi="Arial" w:cs="Arial"/>
        </w:rPr>
        <w:t>i a frecvenţei deplasărilor acestora.</w:t>
      </w:r>
    </w:p>
    <w:p w:rsidR="00012F90" w:rsidRDefault="00012F90" w:rsidP="00012F90">
      <w:pPr>
        <w:tabs>
          <w:tab w:val="left" w:pos="1185"/>
        </w:tabs>
        <w:jc w:val="both"/>
        <w:rPr>
          <w:rFonts w:ascii="Arial" w:hAnsi="Arial" w:cs="Arial"/>
        </w:rPr>
      </w:pPr>
      <w:r>
        <w:rPr>
          <w:rFonts w:ascii="Arial" w:hAnsi="Arial" w:cs="Arial"/>
        </w:rPr>
        <w:t xml:space="preserve">În </w:t>
      </w:r>
      <w:r w:rsidRPr="004B58FC">
        <w:rPr>
          <w:rFonts w:ascii="Arial" w:hAnsi="Arial" w:cs="Arial"/>
          <w:b/>
        </w:rPr>
        <w:t>anul 2014</w:t>
      </w:r>
      <w:r>
        <w:rPr>
          <w:rFonts w:ascii="Arial" w:hAnsi="Arial" w:cs="Arial"/>
        </w:rPr>
        <w:t xml:space="preserve">, variația nivelului de zgomot echivalent măsurat la exteriorul parcurilor și zonelor de recreere, este reliefat în </w:t>
      </w:r>
      <w:r>
        <w:rPr>
          <w:rFonts w:ascii="Arial" w:eastAsia="Times New Roman" w:hAnsi="Arial" w:cs="Arial"/>
        </w:rPr>
        <w:t>Figura</w:t>
      </w:r>
      <w:r w:rsidRPr="006F26D6">
        <w:rPr>
          <w:rFonts w:ascii="Arial" w:hAnsi="Arial" w:cs="Arial"/>
          <w:b/>
          <w:bCs/>
        </w:rPr>
        <w:t xml:space="preserve"> </w:t>
      </w:r>
      <w:r w:rsidRPr="004B58FC">
        <w:rPr>
          <w:rFonts w:ascii="Arial" w:hAnsi="Arial" w:cs="Arial"/>
          <w:bCs/>
        </w:rPr>
        <w:t>IX.1.2.1.2.</w:t>
      </w:r>
    </w:p>
    <w:p w:rsidR="00012F90" w:rsidRPr="00DC7B84" w:rsidRDefault="00012F90" w:rsidP="00012F90">
      <w:pPr>
        <w:jc w:val="center"/>
        <w:rPr>
          <w:rFonts w:ascii="Arial" w:hAnsi="Arial" w:cs="Arial"/>
        </w:rPr>
      </w:pPr>
      <w:r w:rsidRPr="00500F2A">
        <w:rPr>
          <w:rFonts w:ascii="Arial" w:hAnsi="Arial" w:cs="Arial"/>
          <w:noProof/>
          <w:lang w:val="ro-RO" w:eastAsia="ro-RO"/>
        </w:rPr>
        <w:drawing>
          <wp:inline distT="0" distB="0" distL="0" distR="0">
            <wp:extent cx="4914900" cy="3019425"/>
            <wp:effectExtent l="19050" t="0" r="19050" b="0"/>
            <wp:docPr id="90"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4"/>
              </a:graphicData>
            </a:graphic>
          </wp:inline>
        </w:drawing>
      </w:r>
    </w:p>
    <w:p w:rsidR="00012F90" w:rsidRDefault="00012F90" w:rsidP="00012F90">
      <w:pPr>
        <w:tabs>
          <w:tab w:val="left" w:pos="1185"/>
        </w:tabs>
        <w:rPr>
          <w:rFonts w:ascii="Arial" w:hAnsi="Arial" w:cs="Arial"/>
        </w:rPr>
      </w:pPr>
      <w:r>
        <w:rPr>
          <w:rFonts w:ascii="Arial" w:hAnsi="Arial" w:cs="Arial"/>
        </w:rPr>
        <w:t xml:space="preserve">                                                     </w:t>
      </w:r>
      <w:r w:rsidRPr="00E937C8">
        <w:rPr>
          <w:rFonts w:ascii="Arial" w:eastAsia="Times New Roman" w:hAnsi="Arial" w:cs="Arial"/>
          <w:b/>
        </w:rPr>
        <w:t>Figura</w:t>
      </w:r>
      <w:r w:rsidRPr="00E937C8">
        <w:rPr>
          <w:rFonts w:ascii="Arial" w:hAnsi="Arial" w:cs="Arial"/>
          <w:b/>
          <w:bCs/>
        </w:rPr>
        <w:t xml:space="preserve"> </w:t>
      </w:r>
      <w:r w:rsidRPr="00696F35">
        <w:rPr>
          <w:rFonts w:ascii="Arial" w:hAnsi="Arial" w:cs="Arial"/>
          <w:b/>
          <w:bCs/>
        </w:rPr>
        <w:t>IX.1.2.1</w:t>
      </w:r>
      <w:r>
        <w:rPr>
          <w:rFonts w:ascii="Arial" w:hAnsi="Arial" w:cs="Arial"/>
          <w:b/>
          <w:bCs/>
        </w:rPr>
        <w:t>.2.</w:t>
      </w:r>
    </w:p>
    <w:p w:rsidR="00012F90" w:rsidRDefault="00012F90" w:rsidP="00012F90">
      <w:pPr>
        <w:rPr>
          <w:rFonts w:ascii="Arial" w:hAnsi="Arial" w:cs="Arial"/>
        </w:rPr>
      </w:pPr>
      <w:r>
        <w:rPr>
          <w:rFonts w:ascii="Arial" w:hAnsi="Arial" w:cs="Arial"/>
        </w:rPr>
        <w:t xml:space="preserve">În toate punctele monitorizate limita admisă a fost depășită datorită </w:t>
      </w:r>
      <w:r w:rsidRPr="00CB7280">
        <w:rPr>
          <w:rFonts w:ascii="Arial" w:eastAsia="Times New Roman" w:hAnsi="Arial" w:cs="Arial"/>
        </w:rPr>
        <w:t>arterele de circulaţie aflate în apropierea zonelor respective</w:t>
      </w:r>
      <w:r>
        <w:rPr>
          <w:rFonts w:ascii="Arial" w:eastAsia="Times New Roman" w:hAnsi="Arial" w:cs="Arial"/>
        </w:rPr>
        <w:t>.</w:t>
      </w:r>
    </w:p>
    <w:p w:rsidR="00012F90" w:rsidRDefault="00012F90" w:rsidP="00012F90">
      <w:pPr>
        <w:tabs>
          <w:tab w:val="left" w:pos="1185"/>
        </w:tabs>
        <w:rPr>
          <w:rFonts w:ascii="Arial" w:hAnsi="Arial" w:cs="Arial"/>
        </w:rPr>
      </w:pPr>
      <w:r>
        <w:rPr>
          <w:rFonts w:ascii="Arial" w:hAnsi="Arial" w:cs="Arial"/>
        </w:rPr>
        <w:t xml:space="preserve"> În anul 2014, variația nivelului de zgomot echivalent măsurat pe străzile magistrale, este reliefat în </w:t>
      </w:r>
      <w:r>
        <w:rPr>
          <w:rFonts w:ascii="Arial" w:eastAsia="Times New Roman" w:hAnsi="Arial" w:cs="Arial"/>
        </w:rPr>
        <w:t>Figura</w:t>
      </w:r>
      <w:r>
        <w:rPr>
          <w:rFonts w:ascii="Arial" w:hAnsi="Arial" w:cs="Arial"/>
        </w:rPr>
        <w:t xml:space="preserve">   </w:t>
      </w:r>
      <w:r w:rsidRPr="00810AE4">
        <w:rPr>
          <w:rFonts w:ascii="Arial" w:hAnsi="Arial" w:cs="Arial"/>
          <w:bCs/>
        </w:rPr>
        <w:t>IX.1.2.1.3.</w:t>
      </w:r>
    </w:p>
    <w:p w:rsidR="00012F90" w:rsidRDefault="00012F90" w:rsidP="00012F90">
      <w:pPr>
        <w:tabs>
          <w:tab w:val="left" w:pos="1275"/>
        </w:tabs>
        <w:jc w:val="center"/>
        <w:rPr>
          <w:rFonts w:ascii="Arial" w:hAnsi="Arial" w:cs="Arial"/>
        </w:rPr>
      </w:pPr>
      <w:r w:rsidRPr="004E6EC3">
        <w:rPr>
          <w:rFonts w:ascii="Arial" w:hAnsi="Arial" w:cs="Arial"/>
          <w:noProof/>
          <w:lang w:val="ro-RO" w:eastAsia="ro-RO"/>
        </w:rPr>
        <w:drawing>
          <wp:inline distT="0" distB="0" distL="0" distR="0">
            <wp:extent cx="5191125" cy="3219450"/>
            <wp:effectExtent l="19050" t="0" r="9525" b="0"/>
            <wp:docPr id="91"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25"/>
              </a:graphicData>
            </a:graphic>
          </wp:inline>
        </w:drawing>
      </w:r>
    </w:p>
    <w:p w:rsidR="00012F90" w:rsidRDefault="00012F90" w:rsidP="00012F90">
      <w:pPr>
        <w:tabs>
          <w:tab w:val="left" w:pos="1185"/>
        </w:tabs>
        <w:rPr>
          <w:rFonts w:ascii="Arial" w:hAnsi="Arial" w:cs="Arial"/>
        </w:rPr>
      </w:pPr>
      <w:r>
        <w:rPr>
          <w:rFonts w:ascii="Arial" w:hAnsi="Arial" w:cs="Arial"/>
        </w:rPr>
        <w:t xml:space="preserve">                                                     </w:t>
      </w:r>
      <w:r w:rsidRPr="006335F1">
        <w:rPr>
          <w:rFonts w:ascii="Arial" w:eastAsia="Times New Roman" w:hAnsi="Arial" w:cs="Arial"/>
          <w:b/>
        </w:rPr>
        <w:t>Figura</w:t>
      </w:r>
      <w:r>
        <w:rPr>
          <w:rFonts w:ascii="Arial" w:hAnsi="Arial" w:cs="Arial"/>
        </w:rPr>
        <w:t xml:space="preserve"> </w:t>
      </w:r>
      <w:r w:rsidRPr="00696F35">
        <w:rPr>
          <w:rFonts w:ascii="Arial" w:hAnsi="Arial" w:cs="Arial"/>
          <w:b/>
          <w:bCs/>
        </w:rPr>
        <w:t>IX.1.2.1</w:t>
      </w:r>
      <w:r>
        <w:rPr>
          <w:rFonts w:ascii="Arial" w:hAnsi="Arial" w:cs="Arial"/>
          <w:b/>
          <w:bCs/>
        </w:rPr>
        <w:t>.3.</w:t>
      </w:r>
    </w:p>
    <w:p w:rsidR="00012F90" w:rsidRDefault="00012F90" w:rsidP="00012F90">
      <w:pPr>
        <w:jc w:val="both"/>
        <w:rPr>
          <w:rFonts w:ascii="Arial" w:hAnsi="Arial" w:cs="Arial"/>
          <w:bCs/>
        </w:rPr>
      </w:pPr>
      <w:r>
        <w:rPr>
          <w:rFonts w:ascii="Arial" w:hAnsi="Arial" w:cs="Arial"/>
        </w:rPr>
        <w:t xml:space="preserve">Din graficul </w:t>
      </w:r>
      <w:r w:rsidRPr="00810AE4">
        <w:rPr>
          <w:rFonts w:ascii="Arial" w:hAnsi="Arial" w:cs="Arial"/>
          <w:bCs/>
        </w:rPr>
        <w:t>IX.1.2.1.3.,</w:t>
      </w:r>
      <w:r>
        <w:rPr>
          <w:rFonts w:ascii="Arial" w:hAnsi="Arial" w:cs="Arial"/>
          <w:b/>
          <w:bCs/>
        </w:rPr>
        <w:t xml:space="preserve"> </w:t>
      </w:r>
      <w:r w:rsidRPr="00B24711">
        <w:rPr>
          <w:rFonts w:ascii="Arial" w:hAnsi="Arial" w:cs="Arial"/>
          <w:bCs/>
        </w:rPr>
        <w:t>referitor la zgomotul echivalent înregistrat pe străzile magistrale</w:t>
      </w:r>
      <w:r>
        <w:rPr>
          <w:rFonts w:ascii="Arial" w:hAnsi="Arial" w:cs="Arial"/>
          <w:bCs/>
        </w:rPr>
        <w:t>, limita admisă nu este depășită.</w:t>
      </w:r>
    </w:p>
    <w:p w:rsidR="00012F90" w:rsidRPr="002D2A01" w:rsidRDefault="00012F90" w:rsidP="00012F90">
      <w:pPr>
        <w:jc w:val="both"/>
        <w:rPr>
          <w:rFonts w:ascii="Arial" w:hAnsi="Arial" w:cs="Arial"/>
        </w:rPr>
      </w:pPr>
      <w:r w:rsidRPr="002D2A01">
        <w:rPr>
          <w:rFonts w:ascii="Arial" w:hAnsi="Arial" w:cs="Arial"/>
        </w:rPr>
        <w:lastRenderedPageBreak/>
        <w:t>În fapt se poate concluziona, că în mediul urban acţionează în mod concomitent mai multe categorii de zgomot: domestice, industriale, produse de activităţile de construcţie, de mijloacele de transport, dar cea mai importantă sursă de zgomot o constituie totuşi circulaţia autovehiculelor.</w:t>
      </w:r>
    </w:p>
    <w:p w:rsidR="00012F90" w:rsidRPr="003D2F73" w:rsidRDefault="00012F90" w:rsidP="00012F90">
      <w:pPr>
        <w:jc w:val="both"/>
        <w:rPr>
          <w:rFonts w:ascii="Arial" w:hAnsi="Arial" w:cs="Arial"/>
          <w:b/>
          <w:bCs/>
          <w:u w:val="single"/>
        </w:rPr>
      </w:pPr>
      <w:r w:rsidRPr="003D2F73">
        <w:rPr>
          <w:rFonts w:ascii="Arial" w:hAnsi="Arial" w:cs="Arial"/>
          <w:b/>
          <w:bCs/>
        </w:rPr>
        <w:t>Expunerea la poluarea sonoră a aglomerărilor urbane cu peste 250.000 locuitori</w:t>
      </w:r>
    </w:p>
    <w:p w:rsidR="00012F90" w:rsidRPr="00F66E1F" w:rsidRDefault="00012F90" w:rsidP="00012F90">
      <w:pPr>
        <w:jc w:val="both"/>
        <w:rPr>
          <w:rFonts w:ascii="Arial" w:hAnsi="Arial" w:cs="Arial"/>
          <w:b/>
          <w:color w:val="FF0000"/>
          <w:u w:val="single"/>
        </w:rPr>
      </w:pPr>
      <w:r w:rsidRPr="00F66E1F">
        <w:rPr>
          <w:rFonts w:ascii="Arial" w:hAnsi="Arial" w:cs="Arial"/>
        </w:rPr>
        <w:t>Stabilirea unui concep unitar pentru evitarea, prevenirea sau reducerea, cu prioritate, a efectelor dăunătoare, inclusiv disconfortului, provocate de expunerea la zgomotul ambiental, a determinat introducerea măsurilor Uniunii Europene de întocmire a hărţi strategice de zgomot.</w:t>
      </w:r>
    </w:p>
    <w:p w:rsidR="00012F90" w:rsidRPr="004521BB" w:rsidRDefault="00012F90" w:rsidP="00012F90">
      <w:pPr>
        <w:jc w:val="both"/>
        <w:rPr>
          <w:rFonts w:ascii="Arial" w:hAnsi="Arial" w:cs="Arial"/>
        </w:rPr>
      </w:pPr>
      <w:r w:rsidRPr="004521BB">
        <w:rPr>
          <w:rFonts w:ascii="Arial" w:hAnsi="Arial" w:cs="Arial"/>
        </w:rPr>
        <w:t>Harta de zgomot este o reprezentare grafică a distribuirii nivelului sunetului într-o regiune anume, pentru o perioadă de timp bine definită. Realizarea hărților de zgomot este una din metodele moderne de evaluare a poluării acustice urbane. Hărțile de zgomot au ca scop evidențierea zonelor locuite unde nivelul de zgomot se ridică peste anumite limite impuse de legislație și astfel folosește la elaborarea de planuri de acțiune de protecție a locuitorilor împotriva expunerii și reducere a nivelurilor de zgomot.</w:t>
      </w:r>
    </w:p>
    <w:p w:rsidR="00012F90" w:rsidRPr="004521BB" w:rsidRDefault="00012F90" w:rsidP="00012F90">
      <w:pPr>
        <w:autoSpaceDE w:val="0"/>
        <w:autoSpaceDN w:val="0"/>
        <w:adjustRightInd w:val="0"/>
        <w:jc w:val="both"/>
        <w:rPr>
          <w:rFonts w:ascii="Arial" w:hAnsi="Arial" w:cs="Arial"/>
          <w:color w:val="000000"/>
        </w:rPr>
      </w:pPr>
      <w:r w:rsidRPr="004521BB">
        <w:rPr>
          <w:rFonts w:ascii="Arial" w:hAnsi="Arial" w:cs="Arial"/>
          <w:color w:val="000000"/>
        </w:rPr>
        <w:t>O hartă de zgomot este :</w:t>
      </w:r>
    </w:p>
    <w:p w:rsidR="00012F90" w:rsidRPr="004521BB" w:rsidRDefault="00012F90" w:rsidP="005E6B2E">
      <w:pPr>
        <w:numPr>
          <w:ilvl w:val="0"/>
          <w:numId w:val="50"/>
        </w:numPr>
        <w:autoSpaceDE w:val="0"/>
        <w:autoSpaceDN w:val="0"/>
        <w:adjustRightInd w:val="0"/>
        <w:jc w:val="both"/>
        <w:rPr>
          <w:rFonts w:ascii="Arial" w:hAnsi="Arial" w:cs="Arial"/>
          <w:color w:val="000000"/>
        </w:rPr>
      </w:pPr>
      <w:r w:rsidRPr="004521BB">
        <w:rPr>
          <w:rFonts w:ascii="Arial" w:hAnsi="Arial" w:cs="Arial"/>
          <w:color w:val="000000"/>
        </w:rPr>
        <w:t>o situație de indicație a zgomotului existentă, trecută sau viitoare țn termenii unui indicator de zgomot;</w:t>
      </w:r>
    </w:p>
    <w:p w:rsidR="00012F90" w:rsidRPr="004521BB" w:rsidRDefault="00012F90" w:rsidP="005E6B2E">
      <w:pPr>
        <w:numPr>
          <w:ilvl w:val="0"/>
          <w:numId w:val="50"/>
        </w:numPr>
        <w:autoSpaceDE w:val="0"/>
        <w:autoSpaceDN w:val="0"/>
        <w:adjustRightInd w:val="0"/>
        <w:jc w:val="both"/>
        <w:rPr>
          <w:rFonts w:ascii="Arial" w:hAnsi="Arial" w:cs="Arial"/>
          <w:color w:val="000000"/>
        </w:rPr>
      </w:pPr>
      <w:r w:rsidRPr="004521BB">
        <w:rPr>
          <w:rFonts w:ascii="Arial" w:hAnsi="Arial" w:cs="Arial"/>
          <w:color w:val="000000"/>
        </w:rPr>
        <w:t>depășirea unei valori limită;</w:t>
      </w:r>
    </w:p>
    <w:p w:rsidR="00012F90" w:rsidRPr="004521BB" w:rsidRDefault="00012F90" w:rsidP="005E6B2E">
      <w:pPr>
        <w:numPr>
          <w:ilvl w:val="0"/>
          <w:numId w:val="50"/>
        </w:numPr>
        <w:autoSpaceDE w:val="0"/>
        <w:autoSpaceDN w:val="0"/>
        <w:adjustRightInd w:val="0"/>
        <w:jc w:val="both"/>
        <w:rPr>
          <w:rFonts w:ascii="Arial" w:hAnsi="Arial" w:cs="Arial"/>
          <w:color w:val="000000"/>
        </w:rPr>
      </w:pPr>
      <w:r w:rsidRPr="004521BB">
        <w:rPr>
          <w:rFonts w:ascii="Arial" w:hAnsi="Arial" w:cs="Arial"/>
          <w:color w:val="000000"/>
        </w:rPr>
        <w:t>numărul de locuințe dintr-o anumită zonă care sunt expuse la anumite valori ale indicatorului de zgomot;</w:t>
      </w:r>
    </w:p>
    <w:p w:rsidR="00012F90" w:rsidRPr="004521BB" w:rsidRDefault="00012F90" w:rsidP="005E6B2E">
      <w:pPr>
        <w:numPr>
          <w:ilvl w:val="0"/>
          <w:numId w:val="50"/>
        </w:numPr>
        <w:autoSpaceDE w:val="0"/>
        <w:autoSpaceDN w:val="0"/>
        <w:adjustRightInd w:val="0"/>
        <w:jc w:val="both"/>
        <w:rPr>
          <w:rFonts w:ascii="Arial" w:hAnsi="Arial" w:cs="Arial"/>
        </w:rPr>
      </w:pPr>
      <w:r w:rsidRPr="004521BB">
        <w:rPr>
          <w:rFonts w:ascii="Arial" w:hAnsi="Arial" w:cs="Arial"/>
          <w:color w:val="000000"/>
        </w:rPr>
        <w:t>numărul de persoane ce este afectat (disconfort, deranj somn,etc) într-o anumită zonă</w:t>
      </w:r>
      <w:r>
        <w:rPr>
          <w:rFonts w:ascii="Arial" w:hAnsi="Arial" w:cs="Arial"/>
          <w:color w:val="000000"/>
        </w:rPr>
        <w:t>.</w:t>
      </w:r>
    </w:p>
    <w:p w:rsidR="00012F90" w:rsidRDefault="00012F90" w:rsidP="00012F90">
      <w:pPr>
        <w:autoSpaceDE w:val="0"/>
        <w:autoSpaceDN w:val="0"/>
        <w:adjustRightInd w:val="0"/>
        <w:ind w:left="720"/>
        <w:jc w:val="both"/>
        <w:rPr>
          <w:rFonts w:ascii="Arial" w:hAnsi="Arial" w:cs="Arial"/>
          <w:color w:val="000000"/>
        </w:rPr>
      </w:pPr>
    </w:p>
    <w:p w:rsidR="00012F90" w:rsidRPr="004521BB" w:rsidRDefault="00012F90" w:rsidP="00012F90">
      <w:pPr>
        <w:autoSpaceDE w:val="0"/>
        <w:autoSpaceDN w:val="0"/>
        <w:adjustRightInd w:val="0"/>
        <w:jc w:val="both"/>
        <w:rPr>
          <w:rFonts w:ascii="Arial" w:hAnsi="Arial" w:cs="Arial"/>
        </w:rPr>
      </w:pPr>
      <w:r w:rsidRPr="004521BB">
        <w:rPr>
          <w:rFonts w:ascii="Arial" w:hAnsi="Arial" w:cs="Arial"/>
          <w:color w:val="000000"/>
        </w:rPr>
        <w:t xml:space="preserve"> </w:t>
      </w:r>
      <w:r w:rsidRPr="000D6C4A">
        <w:rPr>
          <w:rFonts w:ascii="Arial" w:hAnsi="Arial" w:cs="Arial"/>
          <w:b/>
          <w:color w:val="000000"/>
        </w:rPr>
        <w:t>Harțile de zgomot</w:t>
      </w:r>
      <w:r w:rsidRPr="004521BB">
        <w:rPr>
          <w:rFonts w:ascii="Arial" w:hAnsi="Arial" w:cs="Arial"/>
          <w:color w:val="000000"/>
        </w:rPr>
        <w:t xml:space="preserve"> trebuie sa servească următoarele cauze: oferă o bază pentru datele ce trebuie trimise Comisiei Europene; reprezintă o sursă de informare pentru cetățeni; oferă o bază pentru planuri de acțiune. Fiecare dintre aceste cauze necesită diferite tipuri de harți acustice.</w:t>
      </w:r>
    </w:p>
    <w:p w:rsidR="00012F90" w:rsidRPr="000D6C4A" w:rsidRDefault="00012F90" w:rsidP="00012F90">
      <w:pPr>
        <w:autoSpaceDE w:val="0"/>
        <w:autoSpaceDN w:val="0"/>
        <w:adjustRightInd w:val="0"/>
        <w:jc w:val="both"/>
        <w:rPr>
          <w:rFonts w:ascii="Arial" w:hAnsi="Arial" w:cs="Arial"/>
          <w:b/>
          <w:color w:val="FF0000"/>
          <w:u w:val="single"/>
        </w:rPr>
      </w:pPr>
      <w:r>
        <w:rPr>
          <w:rFonts w:ascii="Arial" w:eastAsia="Times New Roman" w:hAnsi="Arial" w:cs="Arial"/>
          <w:b/>
          <w:bCs/>
        </w:rPr>
        <w:t xml:space="preserve"> </w:t>
      </w:r>
      <w:r w:rsidRPr="000D6C4A">
        <w:rPr>
          <w:rFonts w:ascii="Arial" w:eastAsia="Times New Roman" w:hAnsi="Arial" w:cs="Arial"/>
          <w:b/>
          <w:bCs/>
        </w:rPr>
        <w:t xml:space="preserve">Planurile de acţiune </w:t>
      </w:r>
      <w:r w:rsidRPr="000D6C4A">
        <w:rPr>
          <w:rFonts w:ascii="Arial" w:eastAsia="Times New Roman" w:hAnsi="Arial" w:cs="Arial"/>
        </w:rPr>
        <w:t>sunt destinate gestionării problemelor şi efectelor cauzate de</w:t>
      </w:r>
      <w:r>
        <w:rPr>
          <w:rFonts w:ascii="Arial" w:eastAsia="Times New Roman" w:hAnsi="Arial" w:cs="Arial"/>
        </w:rPr>
        <w:t xml:space="preserve"> </w:t>
      </w:r>
      <w:r w:rsidRPr="000D6C4A">
        <w:rPr>
          <w:rFonts w:ascii="Arial" w:eastAsia="Times New Roman" w:hAnsi="Arial" w:cs="Arial"/>
        </w:rPr>
        <w:t>zgomot, incluzând măsuri de diminuare, dacă este necesar. Planul de acţiune este o</w:t>
      </w:r>
      <w:r>
        <w:rPr>
          <w:rFonts w:ascii="Arial" w:eastAsia="Times New Roman" w:hAnsi="Arial" w:cs="Arial"/>
        </w:rPr>
        <w:t xml:space="preserve"> </w:t>
      </w:r>
      <w:r w:rsidRPr="000D6C4A">
        <w:rPr>
          <w:rFonts w:ascii="Arial" w:eastAsia="Times New Roman" w:hAnsi="Arial" w:cs="Arial"/>
        </w:rPr>
        <w:t>continuare naturală a procesului de cartare strategică a zgomotului.</w:t>
      </w:r>
    </w:p>
    <w:p w:rsidR="00012F90" w:rsidRPr="000D6C4A" w:rsidRDefault="00012F90" w:rsidP="00012F90">
      <w:pPr>
        <w:jc w:val="both"/>
        <w:rPr>
          <w:rFonts w:ascii="Arial" w:hAnsi="Arial" w:cs="Arial"/>
          <w:bCs/>
        </w:rPr>
      </w:pPr>
    </w:p>
    <w:p w:rsidR="00012F90" w:rsidRPr="006335F1" w:rsidRDefault="00012F90" w:rsidP="00012F90">
      <w:pPr>
        <w:autoSpaceDE w:val="0"/>
        <w:autoSpaceDN w:val="0"/>
        <w:adjustRightInd w:val="0"/>
        <w:ind w:firstLine="360"/>
        <w:jc w:val="both"/>
        <w:rPr>
          <w:rFonts w:ascii="Arial" w:hAnsi="Arial" w:cs="Arial"/>
        </w:rPr>
      </w:pPr>
      <w:r>
        <w:rPr>
          <w:rFonts w:ascii="Arial" w:hAnsi="Arial" w:cs="Arial"/>
          <w:b/>
          <w:bCs/>
        </w:rPr>
        <w:t>1.</w:t>
      </w:r>
      <w:r w:rsidRPr="006335F1">
        <w:rPr>
          <w:rFonts w:ascii="Arial" w:hAnsi="Arial" w:cs="Arial"/>
          <w:b/>
          <w:bCs/>
        </w:rPr>
        <w:t xml:space="preserve">Hărţile strategice de zgomot pentru </w:t>
      </w:r>
      <w:r w:rsidRPr="006335F1">
        <w:rPr>
          <w:rFonts w:ascii="Arial" w:hAnsi="Arial" w:cs="Arial"/>
          <w:b/>
        </w:rPr>
        <w:t>Municipiul Brăila</w:t>
      </w:r>
      <w:r w:rsidRPr="006335F1">
        <w:rPr>
          <w:rFonts w:ascii="Arial" w:hAnsi="Arial" w:cs="Arial"/>
        </w:rPr>
        <w:t xml:space="preserve"> au fost depuse de către Primăria Municipiului Brăila la APM Brăila în data de 03.07.2013. Aceastea au fost analizate și evaluate de către Comisia înființată prin ordinul nr.676/18.04.2013 al Ministrului Mediului și Schimbărilor Climatice până pe data de 15.10.2013 și ulterior au fost transmise la la ANPM.Menționăm faptul că hartă strategică nu a fost aprobata prin Hotărâre a Consiliului Local al Primăriei Brăila.</w:t>
      </w:r>
    </w:p>
    <w:p w:rsidR="00012F90" w:rsidRPr="009E79C5" w:rsidRDefault="00012F90" w:rsidP="00012F90">
      <w:pPr>
        <w:autoSpaceDE w:val="0"/>
        <w:autoSpaceDN w:val="0"/>
        <w:adjustRightInd w:val="0"/>
        <w:jc w:val="both"/>
        <w:rPr>
          <w:rFonts w:ascii="Arial" w:hAnsi="Arial" w:cs="Arial"/>
        </w:rPr>
      </w:pPr>
    </w:p>
    <w:p w:rsidR="00012F90" w:rsidRPr="006335F1" w:rsidRDefault="00012F90" w:rsidP="00012F90">
      <w:pPr>
        <w:autoSpaceDE w:val="0"/>
        <w:autoSpaceDN w:val="0"/>
        <w:adjustRightInd w:val="0"/>
        <w:ind w:firstLine="426"/>
        <w:jc w:val="both"/>
        <w:rPr>
          <w:rFonts w:ascii="Arial" w:hAnsi="Arial" w:cs="Arial"/>
          <w:b/>
          <w:bCs/>
          <w:i/>
          <w:iCs/>
        </w:rPr>
      </w:pPr>
      <w:r>
        <w:rPr>
          <w:rFonts w:ascii="Arial" w:hAnsi="Arial" w:cs="Arial"/>
          <w:b/>
          <w:bCs/>
          <w:i/>
          <w:iCs/>
        </w:rPr>
        <w:t xml:space="preserve"> 2.</w:t>
      </w:r>
      <w:r w:rsidRPr="006335F1">
        <w:rPr>
          <w:rFonts w:ascii="Arial" w:hAnsi="Arial" w:cs="Arial"/>
          <w:b/>
          <w:bCs/>
          <w:i/>
          <w:iCs/>
        </w:rPr>
        <w:t>Planul de acţiune pentru reducerea nivelului de zgomot ambiant în municipiul Brăila nu au fost realizate până la data prezentei.</w:t>
      </w:r>
    </w:p>
    <w:p w:rsidR="00012F90" w:rsidRPr="006335F1" w:rsidRDefault="00012F90" w:rsidP="00012F90">
      <w:pPr>
        <w:pStyle w:val="ListParagraph"/>
        <w:autoSpaceDE w:val="0"/>
        <w:autoSpaceDN w:val="0"/>
        <w:adjustRightInd w:val="0"/>
        <w:jc w:val="both"/>
        <w:rPr>
          <w:rFonts w:ascii="Arial" w:hAnsi="Arial" w:cs="Arial"/>
          <w:b/>
          <w:bCs/>
          <w:i/>
          <w:iCs/>
        </w:rPr>
      </w:pPr>
    </w:p>
    <w:p w:rsidR="00012F90" w:rsidRPr="006335F1" w:rsidRDefault="00012F90" w:rsidP="00012F90">
      <w:pPr>
        <w:tabs>
          <w:tab w:val="left" w:pos="567"/>
          <w:tab w:val="left" w:pos="709"/>
          <w:tab w:val="left" w:pos="993"/>
        </w:tabs>
        <w:autoSpaceDE w:val="0"/>
        <w:autoSpaceDN w:val="0"/>
        <w:adjustRightInd w:val="0"/>
        <w:jc w:val="both"/>
        <w:rPr>
          <w:rFonts w:ascii="Arial" w:hAnsi="Arial" w:cs="Arial"/>
          <w:b/>
          <w:bCs/>
        </w:rPr>
      </w:pPr>
      <w:r>
        <w:rPr>
          <w:rFonts w:ascii="Arial" w:hAnsi="Arial" w:cs="Arial"/>
          <w:b/>
          <w:bCs/>
        </w:rPr>
        <w:tab/>
        <w:t>3.</w:t>
      </w:r>
      <w:r w:rsidRPr="006335F1">
        <w:rPr>
          <w:rFonts w:ascii="Arial" w:hAnsi="Arial" w:cs="Arial"/>
          <w:b/>
          <w:bCs/>
        </w:rPr>
        <w:t>Compania Naţională Administraţia Porturilor Dunării Maritime SA Galaţi</w:t>
      </w:r>
      <w:r w:rsidRPr="006335F1">
        <w:rPr>
          <w:rFonts w:ascii="Arial" w:hAnsi="Arial" w:cs="Arial"/>
        </w:rPr>
        <w:t xml:space="preserve"> a realizat </w:t>
      </w:r>
      <w:r w:rsidRPr="006335F1">
        <w:rPr>
          <w:rFonts w:ascii="Arial" w:hAnsi="Arial" w:cs="Arial"/>
          <w:b/>
        </w:rPr>
        <w:t>Hărțile strategice de zgomot pentru Portul Brăila (</w:t>
      </w:r>
      <w:r w:rsidRPr="006335F1">
        <w:rPr>
          <w:rFonts w:ascii="Arial" w:hAnsi="Arial" w:cs="Arial"/>
          <w:b/>
          <w:i/>
        </w:rPr>
        <w:t>(Hârșova, Turcoaia, Măcin, Gura Arman)</w:t>
      </w:r>
      <w:r w:rsidRPr="006335F1">
        <w:rPr>
          <w:rFonts w:ascii="Arial" w:hAnsi="Arial" w:cs="Arial"/>
          <w:i/>
        </w:rPr>
        <w:t xml:space="preserve"> </w:t>
      </w:r>
      <w:r w:rsidRPr="006335F1">
        <w:rPr>
          <w:rFonts w:ascii="Arial" w:hAnsi="Arial" w:cs="Arial"/>
        </w:rPr>
        <w:t>și au fost</w:t>
      </w:r>
      <w:r w:rsidRPr="006335F1">
        <w:rPr>
          <w:rFonts w:ascii="Arial" w:hAnsi="Arial" w:cs="Arial"/>
          <w:i/>
        </w:rPr>
        <w:t xml:space="preserve"> </w:t>
      </w:r>
      <w:r w:rsidRPr="006335F1">
        <w:rPr>
          <w:rFonts w:ascii="Arial" w:hAnsi="Arial" w:cs="Arial"/>
        </w:rPr>
        <w:t xml:space="preserve">depuse la APM Brăila în data de 31.01.2014. Hărțile au fost analizate și evaluate de către Comisia înființată prin ordinul nr. 676/18.04.2013 al Ministrului Mediului și Schimbărilor Climatice. Sursa de zgomot fiind zgomotul industrial. Analiza finală fiind în data de 07.02.2014, după care au fost transmise la ANPM.  </w:t>
      </w:r>
    </w:p>
    <w:p w:rsidR="00012F90" w:rsidRPr="006335F1" w:rsidRDefault="00012F90" w:rsidP="00012F90">
      <w:pPr>
        <w:autoSpaceDE w:val="0"/>
        <w:autoSpaceDN w:val="0"/>
        <w:adjustRightInd w:val="0"/>
        <w:jc w:val="both"/>
        <w:rPr>
          <w:rFonts w:ascii="Arial" w:eastAsia="Times New Roman" w:hAnsi="Arial" w:cs="Arial"/>
          <w:bCs/>
        </w:rPr>
      </w:pPr>
      <w:r w:rsidRPr="006335F1">
        <w:rPr>
          <w:rFonts w:ascii="Arial" w:eastAsia="Times New Roman" w:hAnsi="Arial" w:cs="Arial"/>
          <w:bCs/>
        </w:rPr>
        <w:t>Hărțile poat fi accesate de pe site-ul CN. APDM Galați:</w:t>
      </w:r>
    </w:p>
    <w:p w:rsidR="00012F90" w:rsidRPr="006335F1" w:rsidRDefault="00012F90" w:rsidP="00012F90">
      <w:pPr>
        <w:autoSpaceDE w:val="0"/>
        <w:autoSpaceDN w:val="0"/>
        <w:adjustRightInd w:val="0"/>
        <w:jc w:val="both"/>
        <w:rPr>
          <w:rFonts w:ascii="Arial" w:eastAsia="Times New Roman" w:hAnsi="Arial" w:cs="Arial"/>
          <w:bCs/>
        </w:rPr>
      </w:pPr>
      <w:r w:rsidRPr="006335F1">
        <w:rPr>
          <w:rFonts w:ascii="Arial" w:eastAsia="Times New Roman" w:hAnsi="Arial" w:cs="Arial"/>
          <w:bCs/>
        </w:rPr>
        <w:t>http://www.romanian ports.ro/harti_zgomot2013/0_Raport_Braila.pdf</w:t>
      </w:r>
    </w:p>
    <w:p w:rsidR="00012F90" w:rsidRPr="006335F1" w:rsidRDefault="00012F90" w:rsidP="00012F90">
      <w:pPr>
        <w:autoSpaceDE w:val="0"/>
        <w:autoSpaceDN w:val="0"/>
        <w:adjustRightInd w:val="0"/>
        <w:jc w:val="both"/>
        <w:rPr>
          <w:rFonts w:ascii="Arial" w:eastAsia="Times New Roman" w:hAnsi="Arial" w:cs="Arial"/>
        </w:rPr>
      </w:pPr>
      <w:r w:rsidRPr="006335F1">
        <w:rPr>
          <w:rFonts w:ascii="Arial" w:eastAsia="Times New Roman" w:hAnsi="Arial" w:cs="Arial"/>
          <w:bCs/>
        </w:rPr>
        <w:t xml:space="preserve">Hărțile au fost aprobate prin Ordinul Ministerului Transporturilor nr. 1183 /10.07.2014. </w:t>
      </w:r>
      <w:r w:rsidRPr="006335F1">
        <w:rPr>
          <w:rFonts w:ascii="Arial" w:eastAsia="Times New Roman" w:hAnsi="Arial" w:cs="Arial"/>
        </w:rPr>
        <w:t xml:space="preserve">Concluzia care se desprinde din analiza rezultatelor obţinute este că nu există persoane expuse la nivel de zgomot peste limită. Strategia pe termen lung a C.N. APDM în ceea ce </w:t>
      </w:r>
      <w:r w:rsidRPr="006335F1">
        <w:rPr>
          <w:rFonts w:ascii="Arial" w:eastAsia="Times New Roman" w:hAnsi="Arial" w:cs="Arial"/>
        </w:rPr>
        <w:lastRenderedPageBreak/>
        <w:t>priveşte zgomotul ambiental este de a menţine emisiile datorate activităţilor portuare sub limitele admise în legislaţie şi de a îmbunătăţi situaţia existentă.</w:t>
      </w:r>
    </w:p>
    <w:p w:rsidR="00012F90" w:rsidRPr="006335F1" w:rsidRDefault="00012F90" w:rsidP="00012F90">
      <w:pPr>
        <w:autoSpaceDE w:val="0"/>
        <w:autoSpaceDN w:val="0"/>
        <w:adjustRightInd w:val="0"/>
        <w:ind w:firstLine="708"/>
        <w:jc w:val="both"/>
        <w:rPr>
          <w:rFonts w:ascii="Arial" w:eastAsia="Times New Roman" w:hAnsi="Arial" w:cs="Arial"/>
        </w:rPr>
      </w:pPr>
    </w:p>
    <w:p w:rsidR="00012F90" w:rsidRPr="006335F1" w:rsidRDefault="00012F90" w:rsidP="00012F90">
      <w:pPr>
        <w:autoSpaceDE w:val="0"/>
        <w:autoSpaceDN w:val="0"/>
        <w:adjustRightInd w:val="0"/>
        <w:ind w:firstLine="426"/>
        <w:jc w:val="both"/>
        <w:rPr>
          <w:rFonts w:ascii="Arial" w:hAnsi="Arial" w:cs="Arial"/>
          <w:bCs/>
        </w:rPr>
      </w:pPr>
      <w:r>
        <w:rPr>
          <w:rFonts w:ascii="Arial" w:hAnsi="Arial" w:cs="Arial"/>
          <w:b/>
          <w:bCs/>
        </w:rPr>
        <w:t>4.</w:t>
      </w:r>
      <w:r w:rsidRPr="006335F1">
        <w:rPr>
          <w:rFonts w:ascii="Arial" w:hAnsi="Arial" w:cs="Arial"/>
          <w:b/>
          <w:bCs/>
        </w:rPr>
        <w:t>Compania Naţională Administraţia Porturilor Dunării Maritime SA Galaţi</w:t>
      </w:r>
      <w:r w:rsidRPr="006335F1">
        <w:rPr>
          <w:rFonts w:ascii="Arial" w:hAnsi="Arial" w:cs="Arial"/>
        </w:rPr>
        <w:t xml:space="preserve"> a realizat </w:t>
      </w:r>
      <w:r w:rsidRPr="006335F1">
        <w:rPr>
          <w:rFonts w:ascii="Arial" w:hAnsi="Arial" w:cs="Arial"/>
          <w:b/>
          <w:bCs/>
        </w:rPr>
        <w:t xml:space="preserve">Planurile de acţiune destinate gestionării zgomotului și a efectelor acestuia </w:t>
      </w:r>
      <w:r w:rsidRPr="006335F1">
        <w:rPr>
          <w:rFonts w:ascii="Arial" w:hAnsi="Arial" w:cs="Arial"/>
          <w:b/>
        </w:rPr>
        <w:t>pentru Portul Brăila (</w:t>
      </w:r>
      <w:r w:rsidRPr="006335F1">
        <w:rPr>
          <w:rFonts w:ascii="Arial" w:hAnsi="Arial" w:cs="Arial"/>
          <w:b/>
          <w:i/>
        </w:rPr>
        <w:t xml:space="preserve">(Hârșova, Turcoaia, Măcin, Gura Arman, </w:t>
      </w:r>
      <w:r w:rsidRPr="006335F1">
        <w:rPr>
          <w:rFonts w:ascii="Arial" w:hAnsi="Arial" w:cs="Arial"/>
        </w:rPr>
        <w:t xml:space="preserve">depuse la APM Brăila în data de 01.10.2014. </w:t>
      </w:r>
    </w:p>
    <w:p w:rsidR="00012F90" w:rsidRPr="006335F1" w:rsidRDefault="00012F90" w:rsidP="00012F90">
      <w:pPr>
        <w:autoSpaceDE w:val="0"/>
        <w:autoSpaceDN w:val="0"/>
        <w:adjustRightInd w:val="0"/>
        <w:jc w:val="both"/>
        <w:rPr>
          <w:rFonts w:ascii="Arial" w:eastAsia="Times New Roman" w:hAnsi="Arial" w:cs="Arial"/>
          <w:b/>
          <w:bCs/>
        </w:rPr>
      </w:pPr>
      <w:r w:rsidRPr="006335F1">
        <w:rPr>
          <w:rFonts w:ascii="Arial" w:eastAsia="Times New Roman" w:hAnsi="Arial" w:cs="Arial"/>
        </w:rPr>
        <w:t xml:space="preserve">Comisia de analiză a </w:t>
      </w:r>
      <w:r w:rsidRPr="006335F1">
        <w:rPr>
          <w:rFonts w:ascii="Arial" w:eastAsia="Times New Roman" w:hAnsi="Arial" w:cs="Arial"/>
          <w:i/>
        </w:rPr>
        <w:t>Planurilor de acțiune destinate reducerii nivelului de zgomot</w:t>
      </w:r>
      <w:r w:rsidRPr="006335F1">
        <w:rPr>
          <w:rFonts w:ascii="Arial" w:eastAsia="Times New Roman" w:hAnsi="Arial" w:cs="Arial"/>
        </w:rPr>
        <w:t xml:space="preserve"> aprobată prin Ordinul comun al Ministerul Mediului și Schimbărilor Climatice și al Ministerului Sănătății nr. 1311/24.05.2013 respectiv 861/12.07.2013, s-a întrunit pentru a </w:t>
      </w:r>
      <w:r w:rsidRPr="006335F1">
        <w:rPr>
          <w:rFonts w:ascii="Arial" w:hAnsi="Arial" w:cs="Arial"/>
        </w:rPr>
        <w:t xml:space="preserve">verifica și analiza aceste Planuri. Ulterior aceste Planuri au fost transmise la ANPM, </w:t>
      </w:r>
      <w:r w:rsidRPr="006335F1">
        <w:rPr>
          <w:rFonts w:ascii="Arial" w:eastAsia="Times New Roman" w:hAnsi="Arial" w:cs="Arial"/>
        </w:rPr>
        <w:t>Ministerul Mediului și Schimbărilor Climatice</w:t>
      </w:r>
      <w:r w:rsidRPr="006335F1">
        <w:rPr>
          <w:rFonts w:ascii="Arial" w:hAnsi="Arial" w:cs="Arial"/>
        </w:rPr>
        <w:t xml:space="preserve"> și </w:t>
      </w:r>
      <w:r w:rsidRPr="006335F1">
        <w:rPr>
          <w:rFonts w:ascii="Arial" w:eastAsia="Times New Roman" w:hAnsi="Arial" w:cs="Arial"/>
        </w:rPr>
        <w:t>Ministerului Sănătății.</w:t>
      </w:r>
    </w:p>
    <w:p w:rsidR="00012F90" w:rsidRPr="006335F1" w:rsidRDefault="00012F90" w:rsidP="00012F90">
      <w:pPr>
        <w:autoSpaceDE w:val="0"/>
        <w:autoSpaceDN w:val="0"/>
        <w:adjustRightInd w:val="0"/>
        <w:jc w:val="both"/>
        <w:rPr>
          <w:rFonts w:ascii="Arial" w:eastAsia="Times New Roman" w:hAnsi="Arial" w:cs="Arial"/>
        </w:rPr>
      </w:pPr>
      <w:r w:rsidRPr="006335F1">
        <w:rPr>
          <w:rFonts w:ascii="Arial" w:eastAsia="Times New Roman" w:hAnsi="Arial" w:cs="Arial"/>
        </w:rPr>
        <w:t>Documentaţia poate fi consultată pe site-ul oficial al C.N. APDM Galaţi:</w:t>
      </w:r>
    </w:p>
    <w:p w:rsidR="00012F90" w:rsidRPr="006335F1" w:rsidRDefault="00012F90" w:rsidP="00012F90">
      <w:pPr>
        <w:autoSpaceDE w:val="0"/>
        <w:autoSpaceDN w:val="0"/>
        <w:adjustRightInd w:val="0"/>
        <w:jc w:val="both"/>
        <w:rPr>
          <w:rFonts w:ascii="Arial" w:eastAsia="Times New Roman" w:hAnsi="Arial" w:cs="Arial"/>
        </w:rPr>
      </w:pPr>
      <w:r w:rsidRPr="006335F1">
        <w:rPr>
          <w:rFonts w:ascii="Arial" w:eastAsia="Times New Roman" w:hAnsi="Arial" w:cs="Arial"/>
        </w:rPr>
        <w:t>http://www.romanian-ports.ro/html/harti_zgomot_br.html.</w:t>
      </w:r>
    </w:p>
    <w:p w:rsidR="00012F90" w:rsidRPr="006335F1" w:rsidRDefault="00012F90" w:rsidP="00012F90">
      <w:pPr>
        <w:autoSpaceDE w:val="0"/>
        <w:autoSpaceDN w:val="0"/>
        <w:adjustRightInd w:val="0"/>
        <w:jc w:val="both"/>
        <w:rPr>
          <w:rFonts w:ascii="Arial" w:eastAsia="Times New Roman" w:hAnsi="Arial" w:cs="Arial"/>
        </w:rPr>
      </w:pPr>
      <w:r w:rsidRPr="006335F1">
        <w:rPr>
          <w:rFonts w:ascii="Arial" w:eastAsia="Times New Roman" w:hAnsi="Arial" w:cs="Arial"/>
        </w:rPr>
        <w:t>Planurile au fost înaintat de către CN APDM SA Galaţi către Ministerul Transporturilor, spre aprobare. Acestea au fost aprobate prin  Ordinul Ministerului Transportului nr. 672/25.05.2015.</w:t>
      </w:r>
    </w:p>
    <w:p w:rsidR="00012F90" w:rsidRPr="006335F1" w:rsidRDefault="00012F90" w:rsidP="00012F90">
      <w:pPr>
        <w:autoSpaceDE w:val="0"/>
        <w:autoSpaceDN w:val="0"/>
        <w:adjustRightInd w:val="0"/>
        <w:jc w:val="both"/>
        <w:rPr>
          <w:rFonts w:ascii="Arial" w:eastAsia="Times New Roman" w:hAnsi="Arial" w:cs="Arial"/>
        </w:rPr>
      </w:pPr>
      <w:r w:rsidRPr="006335F1">
        <w:rPr>
          <w:rFonts w:ascii="Arial" w:eastAsia="Times New Roman" w:hAnsi="Arial" w:cs="Arial"/>
        </w:rPr>
        <w:t>Rezolvarea problemei poluării sonore impune o abordare pluridisciplinară în care trebuie antrenaţi specialişti din diferite domenii: urbanism şi amenajarea teritoriului, protecţia mediului, sănătate publică, poliţie, informatică, inginerie, mass-media, organizaţii neguvernamentale etc.</w:t>
      </w:r>
    </w:p>
    <w:p w:rsidR="00012F90" w:rsidRPr="006335F1" w:rsidRDefault="00012F90" w:rsidP="00012F90">
      <w:pPr>
        <w:autoSpaceDE w:val="0"/>
        <w:autoSpaceDN w:val="0"/>
        <w:adjustRightInd w:val="0"/>
        <w:jc w:val="both"/>
        <w:rPr>
          <w:rFonts w:ascii="Arial" w:eastAsia="Times New Roman" w:hAnsi="Arial" w:cs="Arial"/>
        </w:rPr>
      </w:pPr>
      <w:r w:rsidRPr="006335F1">
        <w:rPr>
          <w:rFonts w:ascii="Arial" w:eastAsia="Times New Roman" w:hAnsi="Arial" w:cs="Arial"/>
        </w:rPr>
        <w:t>Dintre obiectivele şi măsurile avute în vedere a fi aplicabile enumerăm:</w:t>
      </w:r>
    </w:p>
    <w:p w:rsidR="00012F90" w:rsidRPr="00943DC2" w:rsidRDefault="00012F90" w:rsidP="005E6B2E">
      <w:pPr>
        <w:pStyle w:val="ListParagraph"/>
        <w:numPr>
          <w:ilvl w:val="0"/>
          <w:numId w:val="56"/>
        </w:numPr>
        <w:autoSpaceDE w:val="0"/>
        <w:autoSpaceDN w:val="0"/>
        <w:adjustRightInd w:val="0"/>
        <w:jc w:val="both"/>
        <w:rPr>
          <w:rFonts w:ascii="Arial" w:hAnsi="Arial" w:cs="Arial"/>
        </w:rPr>
      </w:pPr>
      <w:r w:rsidRPr="00943DC2">
        <w:rPr>
          <w:rFonts w:ascii="Arial" w:hAnsi="Arial" w:cs="Arial"/>
        </w:rPr>
        <w:t>punerea în aplicare a planurilor de acţiune având ca scop prevenirea şi reducerea  zgomotului ambiental în zonele pentru care s-au întocmit hărţile de zgomot;</w:t>
      </w:r>
    </w:p>
    <w:p w:rsidR="00012F90" w:rsidRPr="00943DC2" w:rsidRDefault="00012F90" w:rsidP="005E6B2E">
      <w:pPr>
        <w:pStyle w:val="ListParagraph"/>
        <w:numPr>
          <w:ilvl w:val="0"/>
          <w:numId w:val="56"/>
        </w:numPr>
        <w:jc w:val="both"/>
        <w:rPr>
          <w:rFonts w:ascii="Arial" w:hAnsi="Arial" w:cs="Arial"/>
        </w:rPr>
      </w:pPr>
      <w:r w:rsidRPr="00943DC2">
        <w:rPr>
          <w:rFonts w:ascii="Arial" w:hAnsi="Arial" w:cs="Arial"/>
        </w:rPr>
        <w:t>amplasarea noilor obiective industriale şi economice în afara zonelor de locuit;</w:t>
      </w:r>
    </w:p>
    <w:p w:rsidR="00012F90" w:rsidRPr="00943DC2" w:rsidRDefault="00012F90" w:rsidP="005E6B2E">
      <w:pPr>
        <w:pStyle w:val="ListParagraph"/>
        <w:numPr>
          <w:ilvl w:val="0"/>
          <w:numId w:val="56"/>
        </w:numPr>
        <w:autoSpaceDE w:val="0"/>
        <w:autoSpaceDN w:val="0"/>
        <w:adjustRightInd w:val="0"/>
        <w:jc w:val="both"/>
        <w:rPr>
          <w:rFonts w:ascii="Arial" w:hAnsi="Arial" w:cs="Arial"/>
        </w:rPr>
      </w:pPr>
      <w:r w:rsidRPr="00943DC2">
        <w:rPr>
          <w:rFonts w:ascii="Arial" w:hAnsi="Arial" w:cs="Arial"/>
        </w:rPr>
        <w:t>evitarea construirii de noi locuinţe în zonele identificate cu un nivel ridicat a nivelului de  zgomot;</w:t>
      </w:r>
    </w:p>
    <w:p w:rsidR="00012F90" w:rsidRPr="00943DC2" w:rsidRDefault="00012F90" w:rsidP="005E6B2E">
      <w:pPr>
        <w:pStyle w:val="ListParagraph"/>
        <w:numPr>
          <w:ilvl w:val="0"/>
          <w:numId w:val="56"/>
        </w:numPr>
        <w:autoSpaceDE w:val="0"/>
        <w:autoSpaceDN w:val="0"/>
        <w:adjustRightInd w:val="0"/>
        <w:jc w:val="both"/>
        <w:rPr>
          <w:rFonts w:ascii="Arial" w:hAnsi="Arial" w:cs="Arial"/>
        </w:rPr>
      </w:pPr>
      <w:r w:rsidRPr="00943DC2">
        <w:rPr>
          <w:rFonts w:ascii="Arial" w:hAnsi="Arial" w:cs="Arial"/>
        </w:rPr>
        <w:t>utilizarea în construcţii a materialelor fonoabsorbante;</w:t>
      </w:r>
    </w:p>
    <w:p w:rsidR="00012F90" w:rsidRPr="00943DC2" w:rsidRDefault="00012F90" w:rsidP="005E6B2E">
      <w:pPr>
        <w:pStyle w:val="ListParagraph"/>
        <w:numPr>
          <w:ilvl w:val="0"/>
          <w:numId w:val="56"/>
        </w:numPr>
        <w:autoSpaceDE w:val="0"/>
        <w:autoSpaceDN w:val="0"/>
        <w:adjustRightInd w:val="0"/>
        <w:jc w:val="both"/>
        <w:rPr>
          <w:rFonts w:ascii="Arial" w:hAnsi="Arial" w:cs="Arial"/>
        </w:rPr>
      </w:pPr>
      <w:r w:rsidRPr="00943DC2">
        <w:rPr>
          <w:rFonts w:ascii="Arial" w:hAnsi="Arial" w:cs="Arial"/>
        </w:rPr>
        <w:t>monitorizarea zgomotului în incintele industriale, prin actele de reglementare emise din punct de vedere al protecţiei mediului.</w:t>
      </w:r>
    </w:p>
    <w:p w:rsidR="00012F90" w:rsidRDefault="00012F90" w:rsidP="00012F90">
      <w:pPr>
        <w:rPr>
          <w:rFonts w:ascii="Arial" w:hAnsi="Arial" w:cs="Arial"/>
          <w:lang w:val="en-US"/>
        </w:rPr>
      </w:pPr>
    </w:p>
    <w:p w:rsidR="00012F90" w:rsidRDefault="00012F90" w:rsidP="00012F90">
      <w:pPr>
        <w:rPr>
          <w:rFonts w:ascii="Arial" w:hAnsi="Arial" w:cs="Arial"/>
          <w:b/>
          <w:lang w:val="en-US"/>
        </w:rPr>
      </w:pPr>
      <w:r w:rsidRPr="00137802">
        <w:rPr>
          <w:rFonts w:ascii="Arial" w:hAnsi="Arial" w:cs="Arial"/>
          <w:b/>
          <w:lang w:val="en-US"/>
        </w:rPr>
        <w:t>IX.</w:t>
      </w:r>
      <w:r>
        <w:rPr>
          <w:rFonts w:ascii="Arial" w:hAnsi="Arial" w:cs="Arial"/>
          <w:b/>
          <w:lang w:val="en-US"/>
        </w:rPr>
        <w:t>1</w:t>
      </w:r>
      <w:r w:rsidRPr="00137802">
        <w:rPr>
          <w:rFonts w:ascii="Arial" w:hAnsi="Arial" w:cs="Arial"/>
          <w:b/>
          <w:lang w:val="en-US"/>
        </w:rPr>
        <w:t>.</w:t>
      </w:r>
      <w:r>
        <w:rPr>
          <w:rFonts w:ascii="Arial" w:hAnsi="Arial" w:cs="Arial"/>
          <w:b/>
          <w:lang w:val="en-US"/>
        </w:rPr>
        <w:t>3</w:t>
      </w:r>
      <w:r w:rsidRPr="00137802">
        <w:rPr>
          <w:rFonts w:ascii="Arial" w:hAnsi="Arial" w:cs="Arial"/>
          <w:b/>
          <w:lang w:val="en-US"/>
        </w:rPr>
        <w:t>.</w:t>
      </w:r>
      <w:r>
        <w:rPr>
          <w:rFonts w:ascii="Arial" w:hAnsi="Arial" w:cs="Arial"/>
          <w:b/>
          <w:lang w:val="en-US"/>
        </w:rPr>
        <w:t xml:space="preserve"> C</w:t>
      </w:r>
      <w:r w:rsidRPr="00DE6579">
        <w:rPr>
          <w:rFonts w:ascii="Arial" w:hAnsi="Arial" w:cs="Arial"/>
          <w:b/>
          <w:lang w:val="en-US"/>
        </w:rPr>
        <w:t>alitatea apei potabile şi efectele asupra sǎnǎtǎţii</w:t>
      </w:r>
    </w:p>
    <w:p w:rsidR="00012F90" w:rsidRDefault="00012F90" w:rsidP="00012F90">
      <w:pPr>
        <w:rPr>
          <w:rFonts w:ascii="Arial" w:hAnsi="Arial" w:cs="Arial"/>
          <w:b/>
          <w:lang w:val="en-US"/>
        </w:rPr>
      </w:pPr>
      <w:r w:rsidRPr="00D721CE">
        <w:rPr>
          <w:rFonts w:ascii="Arial" w:hAnsi="Arial" w:cs="Arial"/>
          <w:b/>
          <w:lang w:val="en-US"/>
        </w:rPr>
        <w:t>A.</w:t>
      </w:r>
      <w:r>
        <w:rPr>
          <w:rFonts w:ascii="Arial" w:hAnsi="Arial" w:cs="Arial"/>
          <w:b/>
          <w:lang w:val="en-US"/>
        </w:rPr>
        <w:t xml:space="preserve"> </w:t>
      </w:r>
      <w:r w:rsidRPr="00D721CE">
        <w:rPr>
          <w:rFonts w:ascii="Arial" w:hAnsi="Arial" w:cs="Arial"/>
          <w:b/>
          <w:lang w:val="en-US"/>
        </w:rPr>
        <w:t>Indicatori Specifici</w:t>
      </w:r>
      <w:r>
        <w:rPr>
          <w:rFonts w:ascii="Arial" w:hAnsi="Arial" w:cs="Arial"/>
          <w:b/>
          <w:lang w:val="en-US"/>
        </w:rPr>
        <w:t xml:space="preserve"> – Nu este cazul</w:t>
      </w:r>
    </w:p>
    <w:p w:rsidR="00012F90" w:rsidRDefault="00012F90" w:rsidP="00012F90">
      <w:pPr>
        <w:rPr>
          <w:rFonts w:ascii="Arial" w:hAnsi="Arial" w:cs="Arial"/>
          <w:b/>
          <w:lang w:val="en-US"/>
        </w:rPr>
      </w:pPr>
      <w:r w:rsidRPr="00D721CE">
        <w:rPr>
          <w:rFonts w:ascii="Arial" w:hAnsi="Arial" w:cs="Arial"/>
          <w:b/>
          <w:lang w:val="en-US"/>
        </w:rPr>
        <w:t xml:space="preserve">B. Alte date și informații </w:t>
      </w:r>
      <w:r>
        <w:rPr>
          <w:rFonts w:ascii="Arial" w:hAnsi="Arial" w:cs="Arial"/>
          <w:b/>
          <w:lang w:val="en-US"/>
        </w:rPr>
        <w:t>specifice</w:t>
      </w:r>
    </w:p>
    <w:p w:rsidR="00012F90" w:rsidRDefault="00012F90" w:rsidP="00012F90">
      <w:pPr>
        <w:rPr>
          <w:rFonts w:ascii="Arial" w:hAnsi="Arial" w:cs="Arial"/>
          <w:color w:val="7030A0"/>
          <w:lang w:val="en-US"/>
        </w:rPr>
      </w:pPr>
    </w:p>
    <w:p w:rsidR="00012F90" w:rsidRDefault="00012F90" w:rsidP="00012F90">
      <w:pPr>
        <w:rPr>
          <w:rFonts w:ascii="Arial" w:hAnsi="Arial" w:cs="Arial"/>
          <w:lang w:val="en-US"/>
        </w:rPr>
      </w:pPr>
      <w:r w:rsidRPr="00100AAF">
        <w:rPr>
          <w:rFonts w:ascii="Arial" w:hAnsi="Arial" w:cs="Arial"/>
          <w:b/>
          <w:lang w:val="en-US"/>
        </w:rPr>
        <w:t>Date generale</w:t>
      </w:r>
      <w:r>
        <w:rPr>
          <w:rFonts w:ascii="Arial" w:hAnsi="Arial" w:cs="Arial"/>
          <w:b/>
          <w:lang w:val="en-US"/>
        </w:rPr>
        <w:t xml:space="preserve"> - </w:t>
      </w:r>
      <w:r w:rsidRPr="00FC1478">
        <w:rPr>
          <w:rFonts w:ascii="Arial" w:hAnsi="Arial" w:cs="Arial"/>
          <w:lang w:val="en-US"/>
        </w:rPr>
        <w:t xml:space="preserve"> privind situația aprovizionării cu apă</w:t>
      </w:r>
      <w:r>
        <w:rPr>
          <w:rFonts w:ascii="Arial" w:hAnsi="Arial" w:cs="Arial"/>
          <w:lang w:val="en-US"/>
        </w:rPr>
        <w:t xml:space="preserve"> în județul Brăila, în anul 2014</w:t>
      </w:r>
    </w:p>
    <w:p w:rsidR="00012F90" w:rsidRDefault="00012F90" w:rsidP="00012F90">
      <w:pPr>
        <w:rPr>
          <w:rFonts w:ascii="Arial" w:hAnsi="Arial" w:cs="Arial"/>
          <w:b/>
          <w:lang w:val="en-US"/>
        </w:rPr>
      </w:pPr>
    </w:p>
    <w:p w:rsidR="00012F90" w:rsidRDefault="00012F90" w:rsidP="00012F90">
      <w:pPr>
        <w:jc w:val="both"/>
        <w:rPr>
          <w:rFonts w:ascii="Arial" w:hAnsi="Arial" w:cs="Arial"/>
          <w:lang w:val="en-US"/>
        </w:rPr>
      </w:pPr>
      <w:r>
        <w:rPr>
          <w:rFonts w:ascii="Arial" w:hAnsi="Arial" w:cs="Arial"/>
          <w:b/>
          <w:lang w:val="en-US"/>
        </w:rPr>
        <w:t>A</w:t>
      </w:r>
      <w:r w:rsidRPr="00100AAF">
        <w:rPr>
          <w:rFonts w:ascii="Arial" w:hAnsi="Arial" w:cs="Arial"/>
          <w:b/>
          <w:lang w:val="en-US"/>
        </w:rPr>
        <w:t>.</w:t>
      </w:r>
      <w:r>
        <w:rPr>
          <w:rFonts w:ascii="Arial" w:hAnsi="Arial" w:cs="Arial"/>
          <w:lang w:val="en-US"/>
        </w:rPr>
        <w:t xml:space="preserve"> În județul Brăila există la nivelul anului 2014 următoarele stații de tratare și distribuție a apei potabile : </w:t>
      </w:r>
    </w:p>
    <w:p w:rsidR="00012F90" w:rsidRDefault="00012F90" w:rsidP="00012F90">
      <w:pPr>
        <w:ind w:firstLine="708"/>
        <w:jc w:val="both"/>
        <w:rPr>
          <w:rFonts w:ascii="Arial" w:hAnsi="Arial" w:cs="Arial"/>
          <w:lang w:val="en-US"/>
        </w:rPr>
      </w:pPr>
      <w:r w:rsidRPr="000B6FBF">
        <w:rPr>
          <w:rFonts w:ascii="Arial" w:hAnsi="Arial" w:cs="Arial"/>
          <w:b/>
          <w:lang w:val="en-US"/>
        </w:rPr>
        <w:t>1.</w:t>
      </w:r>
      <w:r>
        <w:rPr>
          <w:rFonts w:ascii="Arial" w:hAnsi="Arial" w:cs="Arial"/>
          <w:lang w:val="en-US"/>
        </w:rPr>
        <w:t xml:space="preserve"> Stația de tratare a apei Brăila, autorizată sanitar, cu următoarea zonă de distribuție: municipiul Brăila și localitățile Chiscani, Lacu Sărat, Vărsătura, Baldovinești, Pietroiu, Cazasu,Comăneasca, T. Vladimirescu, Scorțaru Vechi, Siliștea, Mărtăcești ( apa provine din Dunăre).</w:t>
      </w:r>
    </w:p>
    <w:p w:rsidR="00012F90" w:rsidRDefault="00012F90" w:rsidP="00012F90">
      <w:pPr>
        <w:ind w:firstLine="708"/>
        <w:jc w:val="both"/>
        <w:rPr>
          <w:rFonts w:ascii="Arial" w:hAnsi="Arial" w:cs="Arial"/>
          <w:lang w:val="en-US"/>
        </w:rPr>
      </w:pPr>
      <w:r w:rsidRPr="000B6FBF">
        <w:rPr>
          <w:rFonts w:ascii="Arial" w:hAnsi="Arial" w:cs="Arial"/>
          <w:b/>
          <w:lang w:val="en-US"/>
        </w:rPr>
        <w:t>2.</w:t>
      </w:r>
      <w:r w:rsidRPr="00FC1478">
        <w:rPr>
          <w:rFonts w:ascii="Arial" w:hAnsi="Arial" w:cs="Arial"/>
          <w:lang w:val="en-US"/>
        </w:rPr>
        <w:t xml:space="preserve"> </w:t>
      </w:r>
      <w:r>
        <w:rPr>
          <w:rFonts w:ascii="Arial" w:hAnsi="Arial" w:cs="Arial"/>
          <w:lang w:val="en-US"/>
        </w:rPr>
        <w:t>Stația de tratare</w:t>
      </w:r>
      <w:r w:rsidRPr="00275D09">
        <w:rPr>
          <w:rFonts w:ascii="Arial" w:hAnsi="Arial" w:cs="Arial"/>
          <w:lang w:val="en-US"/>
        </w:rPr>
        <w:t xml:space="preserve"> </w:t>
      </w:r>
      <w:r>
        <w:rPr>
          <w:rFonts w:ascii="Arial" w:hAnsi="Arial" w:cs="Arial"/>
          <w:lang w:val="en-US"/>
        </w:rPr>
        <w:t>a apei Ianca,</w:t>
      </w:r>
      <w:r w:rsidRPr="00FC1478">
        <w:rPr>
          <w:rFonts w:ascii="Arial" w:hAnsi="Arial" w:cs="Arial"/>
          <w:lang w:val="en-US"/>
        </w:rPr>
        <w:t xml:space="preserve"> </w:t>
      </w:r>
      <w:r>
        <w:rPr>
          <w:rFonts w:ascii="Arial" w:hAnsi="Arial" w:cs="Arial"/>
          <w:lang w:val="en-US"/>
        </w:rPr>
        <w:t>autorizată sanitar, cu zonă de distribuție reprezentată de localitățile Ianca, Făurei, Plopu, Perișoru, Oprișenești, Berlești, Tîrlele Filiu, Bordei Verde, Gabrielescu, Lișcotenca, Surdila Greci, Făurei, Sat Brateșu Vechi, Horia, Șuțești, M.Kogălniceanu, Jirlău(apa provine din Dunăre).</w:t>
      </w:r>
    </w:p>
    <w:p w:rsidR="00012F90" w:rsidRDefault="00012F90" w:rsidP="00012F90">
      <w:pPr>
        <w:ind w:firstLine="708"/>
        <w:jc w:val="both"/>
        <w:rPr>
          <w:rFonts w:ascii="Arial" w:hAnsi="Arial" w:cs="Arial"/>
          <w:lang w:val="en-US"/>
        </w:rPr>
      </w:pPr>
      <w:r w:rsidRPr="000B6FBF">
        <w:rPr>
          <w:rFonts w:ascii="Arial" w:hAnsi="Arial" w:cs="Arial"/>
          <w:b/>
          <w:lang w:val="en-US"/>
        </w:rPr>
        <w:t>3.</w:t>
      </w:r>
      <w:r w:rsidRPr="00275D09">
        <w:rPr>
          <w:rFonts w:ascii="Arial" w:hAnsi="Arial" w:cs="Arial"/>
          <w:lang w:val="en-US"/>
        </w:rPr>
        <w:t xml:space="preserve"> </w:t>
      </w:r>
      <w:r>
        <w:rPr>
          <w:rFonts w:ascii="Arial" w:hAnsi="Arial" w:cs="Arial"/>
          <w:lang w:val="en-US"/>
        </w:rPr>
        <w:t>Stația de tratare</w:t>
      </w:r>
      <w:r w:rsidRPr="00275D09">
        <w:rPr>
          <w:rFonts w:ascii="Arial" w:hAnsi="Arial" w:cs="Arial"/>
          <w:lang w:val="en-US"/>
        </w:rPr>
        <w:t xml:space="preserve"> </w:t>
      </w:r>
      <w:r>
        <w:rPr>
          <w:rFonts w:ascii="Arial" w:hAnsi="Arial" w:cs="Arial"/>
          <w:lang w:val="en-US"/>
        </w:rPr>
        <w:t>a apei Gropeni,</w:t>
      </w:r>
      <w:r w:rsidRPr="00275D09">
        <w:rPr>
          <w:rFonts w:ascii="Arial" w:hAnsi="Arial" w:cs="Arial"/>
          <w:lang w:val="en-US"/>
        </w:rPr>
        <w:t xml:space="preserve"> </w:t>
      </w:r>
      <w:r>
        <w:rPr>
          <w:rFonts w:ascii="Arial" w:hAnsi="Arial" w:cs="Arial"/>
          <w:lang w:val="en-US"/>
        </w:rPr>
        <w:t>autorizată sanitar, cu zonă de distribuție reprezentată de localitățile Gropeni, Tufești, Tichilești,</w:t>
      </w:r>
      <w:r w:rsidRPr="00275D09">
        <w:rPr>
          <w:rFonts w:ascii="Arial" w:hAnsi="Arial" w:cs="Arial"/>
          <w:lang w:val="en-US"/>
        </w:rPr>
        <w:t xml:space="preserve"> </w:t>
      </w:r>
      <w:r>
        <w:rPr>
          <w:rFonts w:ascii="Arial" w:hAnsi="Arial" w:cs="Arial"/>
          <w:lang w:val="en-US"/>
        </w:rPr>
        <w:t>(apa provine din Dunăre).</w:t>
      </w:r>
    </w:p>
    <w:p w:rsidR="00012F90" w:rsidRDefault="00012F90" w:rsidP="00012F90">
      <w:pPr>
        <w:ind w:firstLine="708"/>
        <w:jc w:val="both"/>
        <w:rPr>
          <w:rFonts w:ascii="Arial" w:hAnsi="Arial" w:cs="Arial"/>
          <w:lang w:val="en-US"/>
        </w:rPr>
      </w:pPr>
      <w:r w:rsidRPr="000B6FBF">
        <w:rPr>
          <w:rFonts w:ascii="Arial" w:hAnsi="Arial" w:cs="Arial"/>
          <w:b/>
          <w:lang w:val="en-US"/>
        </w:rPr>
        <w:t>4.</w:t>
      </w:r>
      <w:r w:rsidRPr="00275D09">
        <w:rPr>
          <w:rFonts w:ascii="Arial" w:hAnsi="Arial" w:cs="Arial"/>
          <w:lang w:val="en-US"/>
        </w:rPr>
        <w:t xml:space="preserve"> </w:t>
      </w:r>
      <w:r>
        <w:rPr>
          <w:rFonts w:ascii="Arial" w:hAnsi="Arial" w:cs="Arial"/>
          <w:lang w:val="en-US"/>
        </w:rPr>
        <w:t>Stația de tratare</w:t>
      </w:r>
      <w:r w:rsidRPr="00275D09">
        <w:rPr>
          <w:rFonts w:ascii="Arial" w:hAnsi="Arial" w:cs="Arial"/>
          <w:lang w:val="en-US"/>
        </w:rPr>
        <w:t xml:space="preserve"> </w:t>
      </w:r>
      <w:r>
        <w:rPr>
          <w:rFonts w:ascii="Arial" w:hAnsi="Arial" w:cs="Arial"/>
          <w:lang w:val="en-US"/>
        </w:rPr>
        <w:t>a apei Movila Miresii,</w:t>
      </w:r>
      <w:r w:rsidRPr="00A262E0">
        <w:rPr>
          <w:rFonts w:ascii="Arial" w:hAnsi="Arial" w:cs="Arial"/>
          <w:lang w:val="en-US"/>
        </w:rPr>
        <w:t xml:space="preserve"> </w:t>
      </w:r>
      <w:r>
        <w:rPr>
          <w:rFonts w:ascii="Arial" w:hAnsi="Arial" w:cs="Arial"/>
          <w:lang w:val="en-US"/>
        </w:rPr>
        <w:t>autorizată sanitar, cu zonă de distribuție reprezentată de localitățile Movila Miresii, Țepeș Vodă, Esna, Urleasca, Gemenele, Râmnicelu, Constantinești, Boarca,</w:t>
      </w:r>
      <w:r w:rsidRPr="00A262E0">
        <w:rPr>
          <w:rFonts w:ascii="Arial" w:hAnsi="Arial" w:cs="Arial"/>
          <w:lang w:val="en-US"/>
        </w:rPr>
        <w:t xml:space="preserve"> </w:t>
      </w:r>
      <w:r>
        <w:rPr>
          <w:rFonts w:ascii="Arial" w:hAnsi="Arial" w:cs="Arial"/>
          <w:lang w:val="en-US"/>
        </w:rPr>
        <w:t>M.Kogălniceanu, Racovița, Custura, Corbeni, Traian, Găvani (apa provine din Dunăre).</w:t>
      </w:r>
    </w:p>
    <w:p w:rsidR="00012F90" w:rsidRDefault="00012F90" w:rsidP="00012F90">
      <w:pPr>
        <w:ind w:firstLine="708"/>
        <w:jc w:val="both"/>
        <w:rPr>
          <w:rFonts w:ascii="Arial" w:hAnsi="Arial" w:cs="Arial"/>
          <w:lang w:val="en-US"/>
        </w:rPr>
      </w:pPr>
      <w:r w:rsidRPr="000B6FBF">
        <w:rPr>
          <w:rFonts w:ascii="Arial" w:hAnsi="Arial" w:cs="Arial"/>
          <w:b/>
          <w:lang w:val="en-US"/>
        </w:rPr>
        <w:lastRenderedPageBreak/>
        <w:t>5.</w:t>
      </w:r>
      <w:r w:rsidRPr="00A262E0">
        <w:rPr>
          <w:rFonts w:ascii="Arial" w:hAnsi="Arial" w:cs="Arial"/>
          <w:lang w:val="en-US"/>
        </w:rPr>
        <w:t xml:space="preserve"> </w:t>
      </w:r>
      <w:r>
        <w:rPr>
          <w:rFonts w:ascii="Arial" w:hAnsi="Arial" w:cs="Arial"/>
          <w:lang w:val="en-US"/>
        </w:rPr>
        <w:t>Stația de tratare</w:t>
      </w:r>
      <w:r w:rsidRPr="00275D09">
        <w:rPr>
          <w:rFonts w:ascii="Arial" w:hAnsi="Arial" w:cs="Arial"/>
          <w:lang w:val="en-US"/>
        </w:rPr>
        <w:t xml:space="preserve"> </w:t>
      </w:r>
      <w:r>
        <w:rPr>
          <w:rFonts w:ascii="Arial" w:hAnsi="Arial" w:cs="Arial"/>
          <w:lang w:val="en-US"/>
        </w:rPr>
        <w:t>a apei Unirea,</w:t>
      </w:r>
      <w:r w:rsidRPr="00A262E0">
        <w:rPr>
          <w:rFonts w:ascii="Arial" w:hAnsi="Arial" w:cs="Arial"/>
          <w:lang w:val="en-US"/>
        </w:rPr>
        <w:t xml:space="preserve"> </w:t>
      </w:r>
      <w:r>
        <w:rPr>
          <w:rFonts w:ascii="Arial" w:hAnsi="Arial" w:cs="Arial"/>
          <w:lang w:val="en-US"/>
        </w:rPr>
        <w:t>autorizată sanitar, cu zonă de distribuție reprezentată de localitățile Unirea, Lanurile, Viziru, Valea Cânepii (apa provine din Dunăre).</w:t>
      </w:r>
    </w:p>
    <w:p w:rsidR="00012F90" w:rsidRDefault="00012F90" w:rsidP="00012F90">
      <w:pPr>
        <w:ind w:firstLine="708"/>
        <w:jc w:val="both"/>
        <w:rPr>
          <w:rFonts w:ascii="Arial" w:hAnsi="Arial" w:cs="Arial"/>
          <w:lang w:val="en-US"/>
        </w:rPr>
      </w:pPr>
      <w:r w:rsidRPr="000B6FBF">
        <w:rPr>
          <w:rFonts w:ascii="Arial" w:hAnsi="Arial" w:cs="Arial"/>
          <w:b/>
          <w:lang w:val="en-US"/>
        </w:rPr>
        <w:t>6.</w:t>
      </w:r>
      <w:r w:rsidRPr="00A262E0">
        <w:rPr>
          <w:rFonts w:ascii="Arial" w:hAnsi="Arial" w:cs="Arial"/>
          <w:lang w:val="en-US"/>
        </w:rPr>
        <w:t xml:space="preserve"> </w:t>
      </w:r>
      <w:r>
        <w:rPr>
          <w:rFonts w:ascii="Arial" w:hAnsi="Arial" w:cs="Arial"/>
          <w:lang w:val="en-US"/>
        </w:rPr>
        <w:t>Stația de tratare</w:t>
      </w:r>
      <w:r w:rsidRPr="00275D09">
        <w:rPr>
          <w:rFonts w:ascii="Arial" w:hAnsi="Arial" w:cs="Arial"/>
          <w:lang w:val="en-US"/>
        </w:rPr>
        <w:t xml:space="preserve"> </w:t>
      </w:r>
      <w:r>
        <w:rPr>
          <w:rFonts w:ascii="Arial" w:hAnsi="Arial" w:cs="Arial"/>
          <w:lang w:val="en-US"/>
        </w:rPr>
        <w:t>a apei Însurăței,</w:t>
      </w:r>
      <w:r w:rsidRPr="00A262E0">
        <w:rPr>
          <w:rFonts w:ascii="Arial" w:hAnsi="Arial" w:cs="Arial"/>
          <w:lang w:val="en-US"/>
        </w:rPr>
        <w:t xml:space="preserve"> </w:t>
      </w:r>
      <w:r>
        <w:rPr>
          <w:rFonts w:ascii="Arial" w:hAnsi="Arial" w:cs="Arial"/>
          <w:lang w:val="en-US"/>
        </w:rPr>
        <w:t>autorizată sanitar, cu zonă de distribuție reprezentată de localitățile</w:t>
      </w:r>
      <w:r w:rsidRPr="00A262E0">
        <w:rPr>
          <w:rFonts w:ascii="Arial" w:hAnsi="Arial" w:cs="Arial"/>
          <w:lang w:val="en-US"/>
        </w:rPr>
        <w:t xml:space="preserve"> </w:t>
      </w:r>
      <w:r>
        <w:rPr>
          <w:rFonts w:ascii="Arial" w:hAnsi="Arial" w:cs="Arial"/>
          <w:lang w:val="en-US"/>
        </w:rPr>
        <w:t>Însurăței,</w:t>
      </w:r>
      <w:r w:rsidRPr="00A262E0">
        <w:rPr>
          <w:rFonts w:ascii="Arial" w:hAnsi="Arial" w:cs="Arial"/>
          <w:lang w:val="en-US"/>
        </w:rPr>
        <w:t xml:space="preserve"> </w:t>
      </w:r>
      <w:r>
        <w:rPr>
          <w:rFonts w:ascii="Arial" w:hAnsi="Arial" w:cs="Arial"/>
          <w:lang w:val="en-US"/>
        </w:rPr>
        <w:t>Lacu Rezii, Măru Roșu (apă de profunzime).</w:t>
      </w:r>
    </w:p>
    <w:p w:rsidR="00012F90" w:rsidRDefault="00012F90" w:rsidP="00012F90">
      <w:pPr>
        <w:ind w:firstLine="708"/>
        <w:jc w:val="both"/>
        <w:rPr>
          <w:rFonts w:ascii="Arial" w:hAnsi="Arial" w:cs="Arial"/>
          <w:lang w:val="en-US"/>
        </w:rPr>
      </w:pPr>
      <w:r w:rsidRPr="000B6FBF">
        <w:rPr>
          <w:rFonts w:ascii="Arial" w:hAnsi="Arial" w:cs="Arial"/>
          <w:b/>
          <w:lang w:val="en-US"/>
        </w:rPr>
        <w:t>7.</w:t>
      </w:r>
      <w:r>
        <w:rPr>
          <w:rFonts w:ascii="Arial" w:hAnsi="Arial" w:cs="Arial"/>
          <w:lang w:val="en-US"/>
        </w:rPr>
        <w:t xml:space="preserve"> Stația de tratare</w:t>
      </w:r>
      <w:r w:rsidRPr="00275D09">
        <w:rPr>
          <w:rFonts w:ascii="Arial" w:hAnsi="Arial" w:cs="Arial"/>
          <w:lang w:val="en-US"/>
        </w:rPr>
        <w:t xml:space="preserve"> </w:t>
      </w:r>
      <w:r>
        <w:rPr>
          <w:rFonts w:ascii="Arial" w:hAnsi="Arial" w:cs="Arial"/>
          <w:lang w:val="en-US"/>
        </w:rPr>
        <w:t>a apei Victoria,</w:t>
      </w:r>
      <w:r w:rsidRPr="00A262E0">
        <w:rPr>
          <w:rFonts w:ascii="Arial" w:hAnsi="Arial" w:cs="Arial"/>
          <w:lang w:val="en-US"/>
        </w:rPr>
        <w:t xml:space="preserve"> </w:t>
      </w:r>
      <w:r>
        <w:rPr>
          <w:rFonts w:ascii="Arial" w:hAnsi="Arial" w:cs="Arial"/>
          <w:lang w:val="en-US"/>
        </w:rPr>
        <w:t>autorizată sanitar, cu zonă de distribuție reprezentată de localitățile Victoria, Mihai Bravu, Bărăganu (apă de profunzime).</w:t>
      </w:r>
    </w:p>
    <w:p w:rsidR="00012F90" w:rsidRDefault="00012F90" w:rsidP="00012F90">
      <w:pPr>
        <w:ind w:firstLine="708"/>
        <w:jc w:val="both"/>
        <w:rPr>
          <w:rFonts w:ascii="Arial" w:hAnsi="Arial" w:cs="Arial"/>
          <w:lang w:val="en-US"/>
        </w:rPr>
      </w:pPr>
      <w:r w:rsidRPr="000B6FBF">
        <w:rPr>
          <w:rFonts w:ascii="Arial" w:hAnsi="Arial" w:cs="Arial"/>
          <w:b/>
          <w:lang w:val="en-US"/>
        </w:rPr>
        <w:t>8.</w:t>
      </w:r>
      <w:r w:rsidRPr="00B81206">
        <w:rPr>
          <w:rFonts w:ascii="Arial" w:hAnsi="Arial" w:cs="Arial"/>
          <w:lang w:val="en-US"/>
        </w:rPr>
        <w:t xml:space="preserve"> </w:t>
      </w:r>
      <w:r>
        <w:rPr>
          <w:rFonts w:ascii="Arial" w:hAnsi="Arial" w:cs="Arial"/>
          <w:lang w:val="en-US"/>
        </w:rPr>
        <w:t>Stația de tratare</w:t>
      </w:r>
      <w:r w:rsidRPr="00275D09">
        <w:rPr>
          <w:rFonts w:ascii="Arial" w:hAnsi="Arial" w:cs="Arial"/>
          <w:lang w:val="en-US"/>
        </w:rPr>
        <w:t xml:space="preserve"> </w:t>
      </w:r>
      <w:r>
        <w:rPr>
          <w:rFonts w:ascii="Arial" w:hAnsi="Arial" w:cs="Arial"/>
          <w:lang w:val="en-US"/>
        </w:rPr>
        <w:t>a apei Roșiori,</w:t>
      </w:r>
      <w:r w:rsidRPr="00A262E0">
        <w:rPr>
          <w:rFonts w:ascii="Arial" w:hAnsi="Arial" w:cs="Arial"/>
          <w:lang w:val="en-US"/>
        </w:rPr>
        <w:t xml:space="preserve"> </w:t>
      </w:r>
      <w:r>
        <w:rPr>
          <w:rFonts w:ascii="Arial" w:hAnsi="Arial" w:cs="Arial"/>
          <w:lang w:val="en-US"/>
        </w:rPr>
        <w:t>autorizată sanitar, cu zonă de distribuție reprezentată de localitatea</w:t>
      </w:r>
      <w:r w:rsidRPr="00B81206">
        <w:rPr>
          <w:rFonts w:ascii="Arial" w:hAnsi="Arial" w:cs="Arial"/>
          <w:lang w:val="en-US"/>
        </w:rPr>
        <w:t xml:space="preserve"> </w:t>
      </w:r>
      <w:r>
        <w:rPr>
          <w:rFonts w:ascii="Arial" w:hAnsi="Arial" w:cs="Arial"/>
          <w:lang w:val="en-US"/>
        </w:rPr>
        <w:t>Roșiori (apă de profunzime).</w:t>
      </w:r>
    </w:p>
    <w:p w:rsidR="00012F90" w:rsidRDefault="00012F90" w:rsidP="00012F90">
      <w:pPr>
        <w:jc w:val="both"/>
        <w:rPr>
          <w:rFonts w:ascii="Arial" w:hAnsi="Arial" w:cs="Arial"/>
          <w:lang w:val="en-US"/>
        </w:rPr>
      </w:pPr>
      <w:r>
        <w:rPr>
          <w:rFonts w:ascii="Arial" w:hAnsi="Arial" w:cs="Arial"/>
          <w:lang w:val="en-US"/>
        </w:rPr>
        <w:t>Stațiile aparțin de Compania de Utilități Publice Dunărea Brăila și furnizează apă de calitate corespunzătoare care este monitorizată atât de producătorul județean de apă, cât și de Direcția de Sănătate Publică Brăila.</w:t>
      </w:r>
    </w:p>
    <w:p w:rsidR="00012F90" w:rsidRDefault="00012F90" w:rsidP="00012F90">
      <w:pPr>
        <w:jc w:val="both"/>
        <w:rPr>
          <w:rFonts w:ascii="Arial" w:hAnsi="Arial" w:cs="Arial"/>
          <w:lang w:val="en-US"/>
        </w:rPr>
      </w:pPr>
    </w:p>
    <w:p w:rsidR="00012F90" w:rsidRDefault="00012F90" w:rsidP="00012F90">
      <w:pPr>
        <w:jc w:val="both"/>
        <w:rPr>
          <w:rFonts w:ascii="Arial" w:hAnsi="Arial" w:cs="Arial"/>
          <w:lang w:val="en-US"/>
        </w:rPr>
      </w:pPr>
      <w:r w:rsidRPr="000B6FBF">
        <w:rPr>
          <w:rFonts w:ascii="Arial" w:hAnsi="Arial" w:cs="Arial"/>
          <w:b/>
          <w:lang w:val="en-US"/>
        </w:rPr>
        <w:t>B.</w:t>
      </w:r>
      <w:r>
        <w:rPr>
          <w:rFonts w:ascii="Arial" w:hAnsi="Arial" w:cs="Arial"/>
          <w:lang w:val="en-US"/>
        </w:rPr>
        <w:t xml:space="preserve"> Alte localități folosesc apa din surse de profunzime (puțuri de medie/mare adâncime):</w:t>
      </w:r>
    </w:p>
    <w:p w:rsidR="00012F90" w:rsidRDefault="00012F90" w:rsidP="00012F90">
      <w:pPr>
        <w:ind w:firstLine="708"/>
        <w:jc w:val="both"/>
        <w:rPr>
          <w:rFonts w:ascii="Arial" w:hAnsi="Arial" w:cs="Arial"/>
          <w:lang w:val="en-US"/>
        </w:rPr>
      </w:pPr>
      <w:r>
        <w:rPr>
          <w:rFonts w:ascii="Arial" w:hAnsi="Arial" w:cs="Arial"/>
          <w:lang w:val="en-US"/>
        </w:rPr>
        <w:t>- Berteștii de Jos, Galbenu, Jirlău (parțial), Măxineni, Romanu, SalciaTudor, Scorțaru Nou, Vișani, Vădeni, Stăncuța. Ele dispun de microinstalații care captează, înmagazinează și distribuie apa. Aceasta nu corespunde din punct de vedere chimic,înregistrând depășiri la parametri precum cloruri, fier.</w:t>
      </w:r>
    </w:p>
    <w:p w:rsidR="00012F90" w:rsidRDefault="00012F90" w:rsidP="00012F90">
      <w:pPr>
        <w:rPr>
          <w:rFonts w:ascii="Arial" w:hAnsi="Arial" w:cs="Arial"/>
          <w:lang w:val="en-US"/>
        </w:rPr>
      </w:pPr>
      <w:r>
        <w:rPr>
          <w:rFonts w:ascii="Arial" w:hAnsi="Arial" w:cs="Arial"/>
          <w:b/>
          <w:lang w:val="en-US"/>
        </w:rPr>
        <w:t>C</w:t>
      </w:r>
      <w:r w:rsidRPr="00100AAF">
        <w:rPr>
          <w:rFonts w:ascii="Arial" w:hAnsi="Arial" w:cs="Arial"/>
          <w:b/>
          <w:lang w:val="en-US"/>
        </w:rPr>
        <w:t xml:space="preserve">. </w:t>
      </w:r>
      <w:r w:rsidRPr="00100AAF">
        <w:rPr>
          <w:rFonts w:ascii="Arial" w:hAnsi="Arial" w:cs="Arial"/>
          <w:lang w:val="en-US"/>
        </w:rPr>
        <w:t>O ultimă</w:t>
      </w:r>
      <w:r>
        <w:rPr>
          <w:rFonts w:ascii="Arial" w:hAnsi="Arial" w:cs="Arial"/>
          <w:lang w:val="en-US"/>
        </w:rPr>
        <w:t xml:space="preserve"> categorie este reprezentată de localități rurale care folosesc apa de fântână care nu este de bună calitate. Astfel de localități sunt:</w:t>
      </w:r>
    </w:p>
    <w:p w:rsidR="00012F90" w:rsidRDefault="00012F90" w:rsidP="00012F90">
      <w:pPr>
        <w:ind w:firstLine="708"/>
        <w:rPr>
          <w:rFonts w:ascii="Arial" w:hAnsi="Arial" w:cs="Arial"/>
          <w:lang w:val="en-US"/>
        </w:rPr>
      </w:pPr>
      <w:r>
        <w:rPr>
          <w:rFonts w:ascii="Arial" w:hAnsi="Arial" w:cs="Arial"/>
          <w:lang w:val="en-US"/>
        </w:rPr>
        <w:t>- Dudești, Ciocile, Cireșu, Marașu, Ulmu, Zăvoaia și mai multe sate componente aparținând comunelor Măxineni, Roșiori, Salcia Tudor, Siliștea, Stăncuța,Tichilești, Traian.</w:t>
      </w:r>
    </w:p>
    <w:p w:rsidR="00012F90" w:rsidRPr="00076C28" w:rsidRDefault="00012F90" w:rsidP="00012F90">
      <w:pPr>
        <w:rPr>
          <w:rFonts w:ascii="Arial" w:hAnsi="Arial" w:cs="Arial"/>
          <w:lang w:val="en-US"/>
        </w:rPr>
      </w:pPr>
      <w:r>
        <w:rPr>
          <w:rFonts w:ascii="Arial" w:hAnsi="Arial" w:cs="Arial"/>
          <w:b/>
          <w:lang w:val="en-US"/>
        </w:rPr>
        <w:t xml:space="preserve"> </w:t>
      </w:r>
      <w:r w:rsidRPr="00425EBE">
        <w:rPr>
          <w:rFonts w:ascii="Arial" w:hAnsi="Arial" w:cs="Arial"/>
          <w:b/>
          <w:lang w:val="en-US"/>
        </w:rPr>
        <w:t>Influenţa calităţii apei potabile asupra sănătăţii umane</w:t>
      </w:r>
    </w:p>
    <w:p w:rsidR="00012F90" w:rsidRPr="000B6FBF" w:rsidRDefault="00012F90" w:rsidP="00012F90">
      <w:pPr>
        <w:rPr>
          <w:rFonts w:ascii="Arial" w:hAnsi="Arial" w:cs="Arial"/>
        </w:rPr>
      </w:pPr>
      <w:r w:rsidRPr="000B6FBF">
        <w:rPr>
          <w:rFonts w:ascii="Arial" w:hAnsi="Arial" w:cs="Arial"/>
          <w:b/>
          <w:lang w:val="en-US"/>
        </w:rPr>
        <w:t>Tabel IX.1.3. -1</w:t>
      </w:r>
      <w:r w:rsidRPr="000B6FBF">
        <w:rPr>
          <w:rFonts w:ascii="Arial" w:hAnsi="Arial" w:cs="Arial"/>
          <w:lang w:val="en-US"/>
        </w:rPr>
        <w:t>-</w:t>
      </w:r>
      <w:r w:rsidRPr="000B6FBF">
        <w:rPr>
          <w:rFonts w:ascii="Arial" w:hAnsi="Arial" w:cs="Arial"/>
          <w:b/>
          <w:lang w:val="en-US"/>
        </w:rPr>
        <w:t xml:space="preserve"> </w:t>
      </w:r>
      <w:r w:rsidRPr="000B6FBF">
        <w:rPr>
          <w:rFonts w:ascii="Arial" w:hAnsi="Arial" w:cs="Arial"/>
        </w:rPr>
        <w:t xml:space="preserve">Evoluţia cazurilor de methemoglobinemie </w:t>
      </w:r>
      <w:r w:rsidRPr="000B6FBF">
        <w:rPr>
          <w:rFonts w:ascii="Arial" w:hAnsi="Arial" w:cs="Arial"/>
          <w:bCs/>
        </w:rPr>
        <w:t>în perioada 2010 -2014</w:t>
      </w:r>
    </w:p>
    <w:tbl>
      <w:tblPr>
        <w:tblW w:w="0" w:type="auto"/>
        <w:jc w:val="center"/>
        <w:tblInd w:w="67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908"/>
        <w:gridCol w:w="970"/>
        <w:gridCol w:w="851"/>
        <w:gridCol w:w="750"/>
        <w:gridCol w:w="951"/>
        <w:gridCol w:w="750"/>
      </w:tblGrid>
      <w:tr w:rsidR="00012F90" w:rsidRPr="00895796" w:rsidTr="00012F90">
        <w:trPr>
          <w:jc w:val="center"/>
        </w:trPr>
        <w:tc>
          <w:tcPr>
            <w:tcW w:w="4908" w:type="dxa"/>
            <w:vMerge w:val="restart"/>
            <w:shd w:val="clear" w:color="auto" w:fill="FABF8F" w:themeFill="accent6" w:themeFillTint="99"/>
          </w:tcPr>
          <w:p w:rsidR="00012F90" w:rsidRPr="000B6FBF" w:rsidRDefault="00012F90" w:rsidP="00012F90">
            <w:pPr>
              <w:rPr>
                <w:rFonts w:ascii="Arial" w:hAnsi="Arial" w:cs="Arial"/>
                <w:b/>
              </w:rPr>
            </w:pPr>
          </w:p>
          <w:p w:rsidR="00012F90" w:rsidRPr="000B6FBF" w:rsidRDefault="00012F90" w:rsidP="00012F90">
            <w:pPr>
              <w:jc w:val="center"/>
              <w:rPr>
                <w:rFonts w:ascii="Arial" w:hAnsi="Arial" w:cs="Arial"/>
                <w:b/>
              </w:rPr>
            </w:pPr>
            <w:r w:rsidRPr="000B6FBF">
              <w:rPr>
                <w:rFonts w:ascii="Arial" w:hAnsi="Arial" w:cs="Arial"/>
                <w:b/>
              </w:rPr>
              <w:t>Județul Brăila</w:t>
            </w:r>
          </w:p>
        </w:tc>
        <w:tc>
          <w:tcPr>
            <w:tcW w:w="4272" w:type="dxa"/>
            <w:gridSpan w:val="5"/>
            <w:shd w:val="clear" w:color="auto" w:fill="FABF8F" w:themeFill="accent6" w:themeFillTint="99"/>
          </w:tcPr>
          <w:p w:rsidR="00012F90" w:rsidRPr="000B6FBF" w:rsidRDefault="00012F90" w:rsidP="00012F90">
            <w:pPr>
              <w:jc w:val="center"/>
              <w:rPr>
                <w:rFonts w:ascii="Arial" w:hAnsi="Arial" w:cs="Arial"/>
                <w:b/>
              </w:rPr>
            </w:pPr>
            <w:r w:rsidRPr="000B6FBF">
              <w:rPr>
                <w:rFonts w:ascii="Arial" w:hAnsi="Arial" w:cs="Arial"/>
                <w:b/>
              </w:rPr>
              <w:t>Evoluţia cazurilor de methemoglobinemie (cazuri/an)</w:t>
            </w:r>
          </w:p>
        </w:tc>
      </w:tr>
      <w:tr w:rsidR="00012F90" w:rsidRPr="00895796" w:rsidTr="00012F90">
        <w:trPr>
          <w:jc w:val="center"/>
        </w:trPr>
        <w:tc>
          <w:tcPr>
            <w:tcW w:w="4908" w:type="dxa"/>
            <w:vMerge/>
            <w:shd w:val="clear" w:color="auto" w:fill="FABF8F" w:themeFill="accent6" w:themeFillTint="99"/>
          </w:tcPr>
          <w:p w:rsidR="00012F90" w:rsidRPr="000B6FBF" w:rsidRDefault="00012F90" w:rsidP="00012F90">
            <w:pPr>
              <w:rPr>
                <w:rFonts w:ascii="Arial" w:hAnsi="Arial" w:cs="Arial"/>
                <w:b/>
              </w:rPr>
            </w:pPr>
          </w:p>
        </w:tc>
        <w:tc>
          <w:tcPr>
            <w:tcW w:w="970" w:type="dxa"/>
            <w:shd w:val="clear" w:color="auto" w:fill="FABF8F" w:themeFill="accent6" w:themeFillTint="99"/>
          </w:tcPr>
          <w:p w:rsidR="00012F90" w:rsidRPr="000B6FBF" w:rsidRDefault="00012F90" w:rsidP="00012F90">
            <w:pPr>
              <w:jc w:val="center"/>
              <w:rPr>
                <w:rFonts w:ascii="Arial" w:hAnsi="Arial" w:cs="Arial"/>
                <w:b/>
              </w:rPr>
            </w:pPr>
            <w:r w:rsidRPr="000B6FBF">
              <w:rPr>
                <w:rFonts w:ascii="Arial" w:hAnsi="Arial" w:cs="Arial"/>
                <w:b/>
              </w:rPr>
              <w:t>2010</w:t>
            </w:r>
          </w:p>
        </w:tc>
        <w:tc>
          <w:tcPr>
            <w:tcW w:w="851" w:type="dxa"/>
            <w:shd w:val="clear" w:color="auto" w:fill="FABF8F" w:themeFill="accent6" w:themeFillTint="99"/>
          </w:tcPr>
          <w:p w:rsidR="00012F90" w:rsidRPr="000B6FBF" w:rsidRDefault="00012F90" w:rsidP="00012F90">
            <w:pPr>
              <w:jc w:val="center"/>
              <w:rPr>
                <w:rFonts w:ascii="Arial" w:hAnsi="Arial" w:cs="Arial"/>
                <w:b/>
              </w:rPr>
            </w:pPr>
            <w:r w:rsidRPr="000B6FBF">
              <w:rPr>
                <w:rFonts w:ascii="Arial" w:hAnsi="Arial" w:cs="Arial"/>
                <w:b/>
              </w:rPr>
              <w:t>2011</w:t>
            </w:r>
          </w:p>
        </w:tc>
        <w:tc>
          <w:tcPr>
            <w:tcW w:w="750" w:type="dxa"/>
            <w:shd w:val="clear" w:color="auto" w:fill="FABF8F" w:themeFill="accent6" w:themeFillTint="99"/>
          </w:tcPr>
          <w:p w:rsidR="00012F90" w:rsidRPr="000B6FBF" w:rsidRDefault="00012F90" w:rsidP="00012F90">
            <w:pPr>
              <w:jc w:val="center"/>
              <w:rPr>
                <w:rFonts w:ascii="Arial" w:hAnsi="Arial" w:cs="Arial"/>
                <w:b/>
              </w:rPr>
            </w:pPr>
            <w:r w:rsidRPr="000B6FBF">
              <w:rPr>
                <w:rFonts w:ascii="Arial" w:hAnsi="Arial" w:cs="Arial"/>
                <w:b/>
              </w:rPr>
              <w:t>2012</w:t>
            </w:r>
          </w:p>
        </w:tc>
        <w:tc>
          <w:tcPr>
            <w:tcW w:w="951" w:type="dxa"/>
            <w:shd w:val="clear" w:color="auto" w:fill="FABF8F" w:themeFill="accent6" w:themeFillTint="99"/>
          </w:tcPr>
          <w:p w:rsidR="00012F90" w:rsidRPr="000B6FBF" w:rsidRDefault="00012F90" w:rsidP="00012F90">
            <w:pPr>
              <w:jc w:val="center"/>
              <w:rPr>
                <w:rFonts w:ascii="Arial" w:hAnsi="Arial" w:cs="Arial"/>
                <w:b/>
              </w:rPr>
            </w:pPr>
            <w:r w:rsidRPr="000B6FBF">
              <w:rPr>
                <w:rFonts w:ascii="Arial" w:hAnsi="Arial" w:cs="Arial"/>
                <w:b/>
              </w:rPr>
              <w:t>2013</w:t>
            </w:r>
          </w:p>
        </w:tc>
        <w:tc>
          <w:tcPr>
            <w:tcW w:w="750" w:type="dxa"/>
            <w:shd w:val="clear" w:color="auto" w:fill="FABF8F" w:themeFill="accent6" w:themeFillTint="99"/>
          </w:tcPr>
          <w:p w:rsidR="00012F90" w:rsidRPr="000B6FBF" w:rsidRDefault="00012F90" w:rsidP="00012F90">
            <w:pPr>
              <w:jc w:val="center"/>
              <w:rPr>
                <w:rFonts w:ascii="Arial" w:hAnsi="Arial" w:cs="Arial"/>
                <w:b/>
              </w:rPr>
            </w:pPr>
            <w:r w:rsidRPr="000B6FBF">
              <w:rPr>
                <w:rFonts w:ascii="Arial" w:hAnsi="Arial" w:cs="Arial"/>
                <w:b/>
              </w:rPr>
              <w:t>2014</w:t>
            </w:r>
          </w:p>
        </w:tc>
      </w:tr>
      <w:tr w:rsidR="00012F90" w:rsidRPr="00895796" w:rsidTr="00012F90">
        <w:trPr>
          <w:jc w:val="center"/>
        </w:trPr>
        <w:tc>
          <w:tcPr>
            <w:tcW w:w="4908" w:type="dxa"/>
            <w:shd w:val="clear" w:color="auto" w:fill="FDE9D9" w:themeFill="accent6" w:themeFillTint="33"/>
          </w:tcPr>
          <w:p w:rsidR="00012F90" w:rsidRPr="00895796" w:rsidRDefault="00012F90" w:rsidP="00012F90">
            <w:pPr>
              <w:rPr>
                <w:rFonts w:ascii="Arial" w:hAnsi="Arial" w:cs="Arial"/>
              </w:rPr>
            </w:pPr>
            <w:r w:rsidRPr="00895796">
              <w:rPr>
                <w:rFonts w:ascii="Arial" w:hAnsi="Arial" w:cs="Arial"/>
              </w:rPr>
              <w:t>Număr cazuri/an</w:t>
            </w:r>
          </w:p>
        </w:tc>
        <w:tc>
          <w:tcPr>
            <w:tcW w:w="970"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0</w:t>
            </w:r>
          </w:p>
        </w:tc>
        <w:tc>
          <w:tcPr>
            <w:tcW w:w="851"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5</w:t>
            </w:r>
          </w:p>
        </w:tc>
        <w:tc>
          <w:tcPr>
            <w:tcW w:w="750"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1</w:t>
            </w:r>
          </w:p>
        </w:tc>
        <w:tc>
          <w:tcPr>
            <w:tcW w:w="951"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3</w:t>
            </w:r>
          </w:p>
        </w:tc>
        <w:tc>
          <w:tcPr>
            <w:tcW w:w="750"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0</w:t>
            </w:r>
          </w:p>
        </w:tc>
      </w:tr>
      <w:tr w:rsidR="00012F90" w:rsidRPr="00895796" w:rsidTr="00012F90">
        <w:trPr>
          <w:jc w:val="center"/>
        </w:trPr>
        <w:tc>
          <w:tcPr>
            <w:tcW w:w="4908" w:type="dxa"/>
            <w:shd w:val="clear" w:color="auto" w:fill="FDE9D9" w:themeFill="accent6" w:themeFillTint="33"/>
          </w:tcPr>
          <w:p w:rsidR="00012F90" w:rsidRPr="00895796" w:rsidRDefault="00012F90" w:rsidP="00012F90">
            <w:pPr>
              <w:rPr>
                <w:rFonts w:ascii="Arial" w:hAnsi="Arial" w:cs="Arial"/>
              </w:rPr>
            </w:pPr>
            <w:r w:rsidRPr="00895796">
              <w:rPr>
                <w:rFonts w:ascii="Arial" w:hAnsi="Arial" w:cs="Arial"/>
              </w:rPr>
              <w:t xml:space="preserve">Număr cazuri de mortalitate infantilă generate de </w:t>
            </w:r>
            <w:r>
              <w:rPr>
                <w:rFonts w:ascii="Arial" w:hAnsi="Arial" w:cs="Arial"/>
              </w:rPr>
              <w:t xml:space="preserve">consumul </w:t>
            </w:r>
            <w:r w:rsidRPr="00895796">
              <w:rPr>
                <w:rFonts w:ascii="Arial" w:hAnsi="Arial" w:cs="Arial"/>
              </w:rPr>
              <w:t>ap</w:t>
            </w:r>
            <w:r>
              <w:rPr>
                <w:rFonts w:ascii="Arial" w:hAnsi="Arial" w:cs="Arial"/>
              </w:rPr>
              <w:t>ei</w:t>
            </w:r>
            <w:r w:rsidRPr="00895796">
              <w:rPr>
                <w:rFonts w:ascii="Arial" w:hAnsi="Arial" w:cs="Arial"/>
              </w:rPr>
              <w:t xml:space="preserve"> de fântână</w:t>
            </w:r>
          </w:p>
        </w:tc>
        <w:tc>
          <w:tcPr>
            <w:tcW w:w="970"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0</w:t>
            </w:r>
          </w:p>
        </w:tc>
        <w:tc>
          <w:tcPr>
            <w:tcW w:w="851"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0</w:t>
            </w:r>
          </w:p>
        </w:tc>
        <w:tc>
          <w:tcPr>
            <w:tcW w:w="750"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0</w:t>
            </w:r>
          </w:p>
        </w:tc>
        <w:tc>
          <w:tcPr>
            <w:tcW w:w="951"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1</w:t>
            </w:r>
          </w:p>
        </w:tc>
        <w:tc>
          <w:tcPr>
            <w:tcW w:w="750" w:type="dxa"/>
            <w:shd w:val="clear" w:color="auto" w:fill="FDE9D9" w:themeFill="accent6" w:themeFillTint="33"/>
          </w:tcPr>
          <w:p w:rsidR="00012F90" w:rsidRPr="00895796" w:rsidRDefault="00012F90" w:rsidP="00012F90">
            <w:pPr>
              <w:jc w:val="center"/>
              <w:rPr>
                <w:rFonts w:ascii="Arial" w:hAnsi="Arial" w:cs="Arial"/>
              </w:rPr>
            </w:pPr>
            <w:r>
              <w:rPr>
                <w:rFonts w:ascii="Arial" w:hAnsi="Arial" w:cs="Arial"/>
              </w:rPr>
              <w:t>0</w:t>
            </w:r>
          </w:p>
        </w:tc>
      </w:tr>
    </w:tbl>
    <w:p w:rsidR="00012F90" w:rsidRDefault="00012F90" w:rsidP="00012F90">
      <w:pPr>
        <w:rPr>
          <w:rFonts w:ascii="Arial" w:hAnsi="Arial" w:cs="Arial"/>
          <w:b/>
          <w:bCs/>
        </w:rPr>
      </w:pPr>
      <w:r>
        <w:rPr>
          <w:rFonts w:ascii="Arial" w:hAnsi="Arial" w:cs="Arial"/>
        </w:rPr>
        <w:t xml:space="preserve">  </w:t>
      </w:r>
      <w:r w:rsidRPr="00895796">
        <w:rPr>
          <w:rFonts w:ascii="Arial" w:hAnsi="Arial" w:cs="Arial"/>
        </w:rPr>
        <w:t xml:space="preserve"> </w:t>
      </w:r>
      <w:r>
        <w:rPr>
          <w:rFonts w:ascii="Arial" w:hAnsi="Arial" w:cs="Arial"/>
          <w:lang w:val="en-US"/>
        </w:rPr>
        <w:t xml:space="preserve"> </w:t>
      </w:r>
    </w:p>
    <w:p w:rsidR="00012F90" w:rsidRPr="00895796" w:rsidRDefault="00012F90" w:rsidP="00012F90">
      <w:pPr>
        <w:pStyle w:val="Default"/>
        <w:rPr>
          <w:rFonts w:ascii="Arial" w:hAnsi="Arial" w:cs="Arial"/>
          <w:b/>
          <w:color w:val="auto"/>
        </w:rPr>
      </w:pPr>
      <w:r>
        <w:rPr>
          <w:rFonts w:ascii="Arial" w:hAnsi="Arial" w:cs="Arial"/>
          <w:b/>
          <w:bCs/>
          <w:color w:val="auto"/>
        </w:rPr>
        <w:t>Tabelul nr.</w:t>
      </w:r>
      <w:r w:rsidRPr="00895796">
        <w:rPr>
          <w:rFonts w:ascii="Arial" w:hAnsi="Arial" w:cs="Arial"/>
          <w:b/>
          <w:bCs/>
          <w:color w:val="auto"/>
        </w:rPr>
        <w:t xml:space="preserve"> IX.</w:t>
      </w:r>
      <w:r>
        <w:rPr>
          <w:rFonts w:ascii="Arial" w:hAnsi="Arial" w:cs="Arial"/>
          <w:b/>
          <w:bCs/>
          <w:color w:val="auto"/>
        </w:rPr>
        <w:t xml:space="preserve">1.3. – 2 – </w:t>
      </w:r>
      <w:r w:rsidRPr="00895796">
        <w:rPr>
          <w:rFonts w:ascii="Arial" w:hAnsi="Arial" w:cs="Arial"/>
          <w:color w:val="auto"/>
        </w:rPr>
        <w:t>Boli infecţioase şi parazitare la nivelul județului Brăila în perioada 2010-</w:t>
      </w:r>
      <w:r>
        <w:rPr>
          <w:rFonts w:ascii="Arial" w:hAnsi="Arial" w:cs="Arial"/>
          <w:color w:val="auto"/>
        </w:rPr>
        <w:t xml:space="preserve"> </w:t>
      </w:r>
      <w:r w:rsidRPr="00895796">
        <w:rPr>
          <w:rFonts w:ascii="Arial" w:hAnsi="Arial" w:cs="Arial"/>
          <w:color w:val="auto"/>
        </w:rPr>
        <w:t>2014</w:t>
      </w:r>
    </w:p>
    <w:tbl>
      <w:tblPr>
        <w:tblW w:w="0" w:type="auto"/>
        <w:jc w:val="center"/>
        <w:tblInd w:w="-1135"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2860"/>
        <w:gridCol w:w="825"/>
        <w:gridCol w:w="992"/>
        <w:gridCol w:w="851"/>
        <w:gridCol w:w="850"/>
        <w:gridCol w:w="851"/>
      </w:tblGrid>
      <w:tr w:rsidR="00012F90" w:rsidRPr="00895796" w:rsidTr="00012F90">
        <w:trPr>
          <w:jc w:val="center"/>
        </w:trPr>
        <w:tc>
          <w:tcPr>
            <w:tcW w:w="2860" w:type="dxa"/>
            <w:shd w:val="clear" w:color="auto" w:fill="FDE9D9" w:themeFill="accent6" w:themeFillTint="33"/>
          </w:tcPr>
          <w:p w:rsidR="00012F90" w:rsidRPr="00691F64" w:rsidRDefault="00012F90" w:rsidP="00012F90">
            <w:pPr>
              <w:pStyle w:val="Default"/>
              <w:rPr>
                <w:rFonts w:ascii="Arial" w:hAnsi="Arial" w:cs="Arial"/>
                <w:b/>
                <w:color w:val="auto"/>
              </w:rPr>
            </w:pPr>
            <w:r w:rsidRPr="00691F64">
              <w:rPr>
                <w:rFonts w:ascii="Arial" w:hAnsi="Arial" w:cs="Arial"/>
                <w:b/>
                <w:color w:val="auto"/>
              </w:rPr>
              <w:t>Număr cazuri/an</w:t>
            </w:r>
          </w:p>
        </w:tc>
        <w:tc>
          <w:tcPr>
            <w:tcW w:w="825" w:type="dxa"/>
            <w:shd w:val="clear" w:color="auto" w:fill="FDE9D9" w:themeFill="accent6" w:themeFillTint="33"/>
          </w:tcPr>
          <w:p w:rsidR="00012F90" w:rsidRPr="00691F64" w:rsidRDefault="00012F90" w:rsidP="00012F90">
            <w:pPr>
              <w:pStyle w:val="Default"/>
              <w:jc w:val="center"/>
              <w:rPr>
                <w:rFonts w:ascii="Arial" w:hAnsi="Arial" w:cs="Arial"/>
                <w:b/>
                <w:color w:val="auto"/>
              </w:rPr>
            </w:pPr>
            <w:r w:rsidRPr="00691F64">
              <w:rPr>
                <w:rFonts w:ascii="Arial" w:hAnsi="Arial" w:cs="Arial"/>
                <w:b/>
                <w:color w:val="auto"/>
              </w:rPr>
              <w:t>2010</w:t>
            </w:r>
          </w:p>
        </w:tc>
        <w:tc>
          <w:tcPr>
            <w:tcW w:w="992" w:type="dxa"/>
            <w:shd w:val="clear" w:color="auto" w:fill="FDE9D9" w:themeFill="accent6" w:themeFillTint="33"/>
          </w:tcPr>
          <w:p w:rsidR="00012F90" w:rsidRPr="00691F64" w:rsidRDefault="00012F90" w:rsidP="00012F90">
            <w:pPr>
              <w:pStyle w:val="Default"/>
              <w:jc w:val="center"/>
              <w:rPr>
                <w:rFonts w:ascii="Arial" w:hAnsi="Arial" w:cs="Arial"/>
                <w:b/>
                <w:color w:val="auto"/>
              </w:rPr>
            </w:pPr>
            <w:r w:rsidRPr="00691F64">
              <w:rPr>
                <w:rFonts w:ascii="Arial" w:hAnsi="Arial" w:cs="Arial"/>
                <w:b/>
                <w:color w:val="auto"/>
              </w:rPr>
              <w:t>2011</w:t>
            </w:r>
          </w:p>
        </w:tc>
        <w:tc>
          <w:tcPr>
            <w:tcW w:w="851" w:type="dxa"/>
            <w:shd w:val="clear" w:color="auto" w:fill="FDE9D9" w:themeFill="accent6" w:themeFillTint="33"/>
          </w:tcPr>
          <w:p w:rsidR="00012F90" w:rsidRPr="00691F64" w:rsidRDefault="00012F90" w:rsidP="00012F90">
            <w:pPr>
              <w:pStyle w:val="Default"/>
              <w:jc w:val="center"/>
              <w:rPr>
                <w:rFonts w:ascii="Arial" w:hAnsi="Arial" w:cs="Arial"/>
                <w:b/>
                <w:color w:val="auto"/>
              </w:rPr>
            </w:pPr>
            <w:r w:rsidRPr="00691F64">
              <w:rPr>
                <w:rFonts w:ascii="Arial" w:hAnsi="Arial" w:cs="Arial"/>
                <w:b/>
                <w:color w:val="auto"/>
              </w:rPr>
              <w:t>2012</w:t>
            </w:r>
          </w:p>
        </w:tc>
        <w:tc>
          <w:tcPr>
            <w:tcW w:w="850" w:type="dxa"/>
            <w:shd w:val="clear" w:color="auto" w:fill="FDE9D9" w:themeFill="accent6" w:themeFillTint="33"/>
          </w:tcPr>
          <w:p w:rsidR="00012F90" w:rsidRPr="00691F64" w:rsidRDefault="00012F90" w:rsidP="00012F90">
            <w:pPr>
              <w:pStyle w:val="Default"/>
              <w:jc w:val="center"/>
              <w:rPr>
                <w:rFonts w:ascii="Arial" w:hAnsi="Arial" w:cs="Arial"/>
                <w:b/>
                <w:color w:val="auto"/>
              </w:rPr>
            </w:pPr>
            <w:r w:rsidRPr="00691F64">
              <w:rPr>
                <w:rFonts w:ascii="Arial" w:hAnsi="Arial" w:cs="Arial"/>
                <w:b/>
                <w:color w:val="auto"/>
              </w:rPr>
              <w:t>2013</w:t>
            </w:r>
          </w:p>
        </w:tc>
        <w:tc>
          <w:tcPr>
            <w:tcW w:w="851" w:type="dxa"/>
            <w:shd w:val="clear" w:color="auto" w:fill="FDE9D9" w:themeFill="accent6" w:themeFillTint="33"/>
          </w:tcPr>
          <w:p w:rsidR="00012F90" w:rsidRPr="00691F64" w:rsidRDefault="00012F90" w:rsidP="00012F90">
            <w:pPr>
              <w:pStyle w:val="Default"/>
              <w:jc w:val="center"/>
              <w:rPr>
                <w:rFonts w:ascii="Arial" w:hAnsi="Arial" w:cs="Arial"/>
                <w:b/>
                <w:color w:val="auto"/>
              </w:rPr>
            </w:pPr>
            <w:r w:rsidRPr="00691F64">
              <w:rPr>
                <w:rFonts w:ascii="Arial" w:hAnsi="Arial" w:cs="Arial"/>
                <w:b/>
                <w:color w:val="auto"/>
              </w:rPr>
              <w:t>2014</w:t>
            </w:r>
          </w:p>
        </w:tc>
      </w:tr>
      <w:tr w:rsidR="00012F90" w:rsidRPr="00895796" w:rsidTr="00012F90">
        <w:trPr>
          <w:jc w:val="center"/>
        </w:trPr>
        <w:tc>
          <w:tcPr>
            <w:tcW w:w="2860" w:type="dxa"/>
            <w:shd w:val="clear" w:color="auto" w:fill="FDE9D9" w:themeFill="accent6" w:themeFillTint="33"/>
          </w:tcPr>
          <w:p w:rsidR="00012F90" w:rsidRPr="00895796" w:rsidRDefault="00012F90" w:rsidP="00012F90">
            <w:pPr>
              <w:pStyle w:val="Default"/>
              <w:shd w:val="clear" w:color="auto" w:fill="FDE9D9" w:themeFill="accent6" w:themeFillTint="33"/>
              <w:rPr>
                <w:rFonts w:ascii="Arial" w:hAnsi="Arial" w:cs="Arial"/>
                <w:color w:val="auto"/>
              </w:rPr>
            </w:pPr>
            <w:r w:rsidRPr="00895796">
              <w:rPr>
                <w:rFonts w:ascii="Arial" w:hAnsi="Arial" w:cs="Arial"/>
                <w:color w:val="auto"/>
              </w:rPr>
              <w:t>Boli diareice acute</w:t>
            </w:r>
          </w:p>
        </w:tc>
        <w:tc>
          <w:tcPr>
            <w:tcW w:w="825"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914</w:t>
            </w:r>
          </w:p>
        </w:tc>
        <w:tc>
          <w:tcPr>
            <w:tcW w:w="992"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930</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671</w:t>
            </w:r>
          </w:p>
        </w:tc>
        <w:tc>
          <w:tcPr>
            <w:tcW w:w="850"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542</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695</w:t>
            </w:r>
          </w:p>
        </w:tc>
      </w:tr>
      <w:tr w:rsidR="00012F90" w:rsidRPr="00895796" w:rsidTr="00012F90">
        <w:trPr>
          <w:jc w:val="center"/>
        </w:trPr>
        <w:tc>
          <w:tcPr>
            <w:tcW w:w="2860" w:type="dxa"/>
            <w:shd w:val="clear" w:color="auto" w:fill="FDE9D9" w:themeFill="accent6" w:themeFillTint="33"/>
          </w:tcPr>
          <w:p w:rsidR="00012F90" w:rsidRPr="00895796" w:rsidRDefault="00012F90" w:rsidP="00012F90">
            <w:pPr>
              <w:pStyle w:val="Default"/>
              <w:shd w:val="clear" w:color="auto" w:fill="FDE9D9" w:themeFill="accent6" w:themeFillTint="33"/>
              <w:rPr>
                <w:rFonts w:ascii="Arial" w:hAnsi="Arial" w:cs="Arial"/>
                <w:color w:val="auto"/>
              </w:rPr>
            </w:pPr>
            <w:r w:rsidRPr="00895796">
              <w:rPr>
                <w:rFonts w:ascii="Arial" w:hAnsi="Arial" w:cs="Arial"/>
                <w:color w:val="auto"/>
              </w:rPr>
              <w:t>Hepatita virală</w:t>
            </w:r>
          </w:p>
        </w:tc>
        <w:tc>
          <w:tcPr>
            <w:tcW w:w="825"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34</w:t>
            </w:r>
          </w:p>
        </w:tc>
        <w:tc>
          <w:tcPr>
            <w:tcW w:w="992"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46</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64</w:t>
            </w:r>
          </w:p>
        </w:tc>
        <w:tc>
          <w:tcPr>
            <w:tcW w:w="850"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74</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79</w:t>
            </w:r>
          </w:p>
        </w:tc>
      </w:tr>
      <w:tr w:rsidR="00012F90" w:rsidRPr="00895796" w:rsidTr="00012F90">
        <w:trPr>
          <w:jc w:val="center"/>
        </w:trPr>
        <w:tc>
          <w:tcPr>
            <w:tcW w:w="2860" w:type="dxa"/>
            <w:shd w:val="clear" w:color="auto" w:fill="FDE9D9" w:themeFill="accent6" w:themeFillTint="33"/>
          </w:tcPr>
          <w:p w:rsidR="00012F90" w:rsidRPr="00895796" w:rsidRDefault="00012F90" w:rsidP="00012F90">
            <w:pPr>
              <w:pStyle w:val="Default"/>
              <w:shd w:val="clear" w:color="auto" w:fill="FDE9D9" w:themeFill="accent6" w:themeFillTint="33"/>
              <w:rPr>
                <w:rFonts w:ascii="Arial" w:hAnsi="Arial" w:cs="Arial"/>
                <w:color w:val="auto"/>
              </w:rPr>
            </w:pPr>
            <w:r w:rsidRPr="00895796">
              <w:rPr>
                <w:rFonts w:ascii="Arial" w:hAnsi="Arial" w:cs="Arial"/>
                <w:color w:val="auto"/>
              </w:rPr>
              <w:t>Tuberculoza</w:t>
            </w:r>
          </w:p>
        </w:tc>
        <w:tc>
          <w:tcPr>
            <w:tcW w:w="825"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354</w:t>
            </w:r>
          </w:p>
        </w:tc>
        <w:tc>
          <w:tcPr>
            <w:tcW w:w="992"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336</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271</w:t>
            </w:r>
          </w:p>
        </w:tc>
        <w:tc>
          <w:tcPr>
            <w:tcW w:w="850"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320</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273</w:t>
            </w:r>
          </w:p>
        </w:tc>
      </w:tr>
      <w:tr w:rsidR="00012F90" w:rsidRPr="00895796" w:rsidTr="00012F90">
        <w:trPr>
          <w:jc w:val="center"/>
        </w:trPr>
        <w:tc>
          <w:tcPr>
            <w:tcW w:w="2860" w:type="dxa"/>
            <w:shd w:val="clear" w:color="auto" w:fill="FDE9D9" w:themeFill="accent6" w:themeFillTint="33"/>
          </w:tcPr>
          <w:p w:rsidR="00012F90" w:rsidRPr="00895796" w:rsidRDefault="00012F90" w:rsidP="00012F90">
            <w:pPr>
              <w:pStyle w:val="Default"/>
              <w:shd w:val="clear" w:color="auto" w:fill="FDE9D9" w:themeFill="accent6" w:themeFillTint="33"/>
              <w:rPr>
                <w:rFonts w:ascii="Arial" w:hAnsi="Arial" w:cs="Arial"/>
                <w:color w:val="auto"/>
              </w:rPr>
            </w:pPr>
            <w:r w:rsidRPr="00895796">
              <w:rPr>
                <w:rFonts w:ascii="Arial" w:hAnsi="Arial" w:cs="Arial"/>
                <w:color w:val="auto"/>
              </w:rPr>
              <w:t>Dizenterie</w:t>
            </w:r>
          </w:p>
        </w:tc>
        <w:tc>
          <w:tcPr>
            <w:tcW w:w="825"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0</w:t>
            </w:r>
          </w:p>
        </w:tc>
        <w:tc>
          <w:tcPr>
            <w:tcW w:w="992"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0</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0</w:t>
            </w:r>
          </w:p>
        </w:tc>
        <w:tc>
          <w:tcPr>
            <w:tcW w:w="850"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0</w:t>
            </w:r>
          </w:p>
        </w:tc>
        <w:tc>
          <w:tcPr>
            <w:tcW w:w="851" w:type="dxa"/>
            <w:shd w:val="clear" w:color="auto" w:fill="FDE9D9" w:themeFill="accent6" w:themeFillTint="33"/>
          </w:tcPr>
          <w:p w:rsidR="00012F90" w:rsidRPr="00895796" w:rsidRDefault="00012F90" w:rsidP="00012F90">
            <w:pPr>
              <w:pStyle w:val="Default"/>
              <w:shd w:val="clear" w:color="auto" w:fill="FDE9D9" w:themeFill="accent6" w:themeFillTint="33"/>
              <w:jc w:val="center"/>
              <w:rPr>
                <w:rFonts w:ascii="Arial" w:hAnsi="Arial" w:cs="Arial"/>
                <w:color w:val="auto"/>
              </w:rPr>
            </w:pPr>
            <w:r>
              <w:rPr>
                <w:rFonts w:ascii="Arial" w:hAnsi="Arial" w:cs="Arial"/>
                <w:color w:val="auto"/>
              </w:rPr>
              <w:t>0</w:t>
            </w:r>
          </w:p>
        </w:tc>
      </w:tr>
    </w:tbl>
    <w:p w:rsidR="00012F90" w:rsidRDefault="00012F90" w:rsidP="00012F90">
      <w:pPr>
        <w:pStyle w:val="Default"/>
        <w:rPr>
          <w:rFonts w:ascii="Arial" w:hAnsi="Arial" w:cs="Arial"/>
          <w:b/>
          <w:color w:val="auto"/>
        </w:rPr>
      </w:pPr>
    </w:p>
    <w:p w:rsidR="00012F90" w:rsidRDefault="00012F90" w:rsidP="00012F90">
      <w:pPr>
        <w:jc w:val="center"/>
      </w:pPr>
      <w:r>
        <w:rPr>
          <w:noProof/>
          <w:lang w:val="ro-RO" w:eastAsia="ro-RO"/>
        </w:rPr>
        <w:drawing>
          <wp:inline distT="0" distB="0" distL="0" distR="0">
            <wp:extent cx="5124450" cy="2181225"/>
            <wp:effectExtent l="19050" t="0" r="19050" b="0"/>
            <wp:docPr id="92"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6"/>
              </a:graphicData>
            </a:graphic>
          </wp:inline>
        </w:drawing>
      </w:r>
    </w:p>
    <w:p w:rsidR="00012F90" w:rsidRPr="00895796" w:rsidRDefault="00012F90" w:rsidP="00012F90">
      <w:pPr>
        <w:pStyle w:val="Default"/>
        <w:rPr>
          <w:rFonts w:ascii="Arial" w:hAnsi="Arial" w:cs="Arial"/>
          <w:b/>
          <w:color w:val="auto"/>
        </w:rPr>
      </w:pPr>
    </w:p>
    <w:p w:rsidR="00012F90" w:rsidRDefault="00012F90" w:rsidP="00012F90">
      <w:pPr>
        <w:pStyle w:val="Default"/>
        <w:rPr>
          <w:rFonts w:ascii="Arial" w:hAnsi="Arial" w:cs="Arial"/>
          <w:b/>
        </w:rPr>
      </w:pPr>
    </w:p>
    <w:p w:rsidR="00012F90" w:rsidRDefault="00012F90" w:rsidP="00012F90">
      <w:pPr>
        <w:pStyle w:val="Default"/>
        <w:rPr>
          <w:rFonts w:ascii="Arial" w:hAnsi="Arial" w:cs="Arial"/>
          <w:b/>
          <w:color w:val="FF0000"/>
        </w:rPr>
      </w:pPr>
      <w:r w:rsidRPr="00137802">
        <w:rPr>
          <w:rFonts w:ascii="Arial" w:hAnsi="Arial" w:cs="Arial"/>
          <w:b/>
        </w:rPr>
        <w:t>IX.</w:t>
      </w:r>
      <w:r>
        <w:rPr>
          <w:rFonts w:ascii="Arial" w:hAnsi="Arial" w:cs="Arial"/>
          <w:b/>
        </w:rPr>
        <w:t>1</w:t>
      </w:r>
      <w:r w:rsidRPr="00137802">
        <w:rPr>
          <w:rFonts w:ascii="Arial" w:hAnsi="Arial" w:cs="Arial"/>
          <w:b/>
        </w:rPr>
        <w:t>.</w:t>
      </w:r>
      <w:r>
        <w:rPr>
          <w:rFonts w:ascii="Arial" w:hAnsi="Arial" w:cs="Arial"/>
          <w:b/>
        </w:rPr>
        <w:t>4</w:t>
      </w:r>
      <w:r w:rsidRPr="00137802">
        <w:rPr>
          <w:rFonts w:ascii="Arial" w:hAnsi="Arial" w:cs="Arial"/>
          <w:b/>
        </w:rPr>
        <w:t>.</w:t>
      </w:r>
      <w:r>
        <w:rPr>
          <w:rFonts w:ascii="Arial" w:hAnsi="Arial" w:cs="Arial"/>
          <w:b/>
        </w:rPr>
        <w:t xml:space="preserve"> Spațiile verzi și efectele asupra sănătății și calității vieții </w:t>
      </w:r>
    </w:p>
    <w:p w:rsidR="00012F90" w:rsidRDefault="00012F90" w:rsidP="00012F90">
      <w:pPr>
        <w:jc w:val="both"/>
        <w:rPr>
          <w:rStyle w:val="tli1"/>
          <w:rFonts w:ascii="Arial" w:hAnsi="Arial" w:cs="Arial"/>
        </w:rPr>
      </w:pPr>
      <w:bookmarkStart w:id="7" w:name="do|ar3|pa1"/>
    </w:p>
    <w:p w:rsidR="00012F90" w:rsidRPr="001C55D5" w:rsidRDefault="00012F90" w:rsidP="00012F90">
      <w:pPr>
        <w:jc w:val="both"/>
        <w:rPr>
          <w:rStyle w:val="tli1"/>
          <w:rFonts w:ascii="Arial" w:hAnsi="Arial" w:cs="Arial"/>
        </w:rPr>
      </w:pPr>
      <w:r w:rsidRPr="001C55D5">
        <w:rPr>
          <w:rStyle w:val="tli1"/>
          <w:rFonts w:ascii="Arial" w:hAnsi="Arial" w:cs="Arial"/>
        </w:rPr>
        <w:t>Pe lângă rolul estetic, spaţiile verzi contribuie la îmbunătăţirea calităţii mediului prin reducerea poluării atmosferice şi reglarea climatului zonal (ameliorând temperaturile extreme şi îmbunătăţind regimul precipitaţiilor).</w:t>
      </w:r>
      <w:bookmarkStart w:id="8" w:name="do|ar9|pa1"/>
      <w:bookmarkEnd w:id="7"/>
    </w:p>
    <w:p w:rsidR="00012F90" w:rsidRPr="001C55D5" w:rsidRDefault="00043583" w:rsidP="00012F90">
      <w:pPr>
        <w:jc w:val="both"/>
        <w:rPr>
          <w:rFonts w:ascii="Arial" w:hAnsi="Arial" w:cs="Arial"/>
        </w:rPr>
      </w:pPr>
      <w:hyperlink w:anchor="#" w:history="1"/>
      <w:bookmarkEnd w:id="8"/>
      <w:r w:rsidR="00012F90" w:rsidRPr="001C55D5">
        <w:rPr>
          <w:rFonts w:ascii="Arial" w:hAnsi="Arial" w:cs="Arial"/>
        </w:rPr>
        <w:t>A</w:t>
      </w:r>
      <w:r w:rsidR="00012F90" w:rsidRPr="001C55D5">
        <w:rPr>
          <w:rStyle w:val="tpa1"/>
          <w:rFonts w:ascii="Arial" w:hAnsi="Arial" w:cs="Arial"/>
        </w:rPr>
        <w:t>dministrarea spaţiilor verzi urmăreşte:</w:t>
      </w:r>
    </w:p>
    <w:bookmarkStart w:id="9" w:name="do|ar9|lia"/>
    <w:p w:rsidR="00012F90" w:rsidRPr="006636CF" w:rsidRDefault="00043583" w:rsidP="005E6B2E">
      <w:pPr>
        <w:numPr>
          <w:ilvl w:val="0"/>
          <w:numId w:val="47"/>
        </w:numPr>
        <w:jc w:val="both"/>
        <w:rPr>
          <w:rFonts w:ascii="Arial" w:hAnsi="Arial" w:cs="Arial"/>
        </w:rPr>
      </w:pPr>
      <w:r w:rsidRPr="006636CF">
        <w:rPr>
          <w:rFonts w:ascii="Arial" w:hAnsi="Arial" w:cs="Arial"/>
        </w:rPr>
        <w:fldChar w:fldCharType="begin"/>
      </w:r>
      <w:r w:rsidR="00012F90" w:rsidRPr="006636CF">
        <w:rPr>
          <w:rFonts w:ascii="Arial" w:hAnsi="Arial" w:cs="Arial"/>
        </w:rPr>
        <w:instrText xml:space="preserve"> HYPERLINK "" \l "#" </w:instrText>
      </w:r>
      <w:r w:rsidRPr="006636CF">
        <w:rPr>
          <w:rFonts w:ascii="Arial" w:hAnsi="Arial" w:cs="Arial"/>
        </w:rPr>
        <w:fldChar w:fldCharType="end"/>
      </w:r>
      <w:bookmarkEnd w:id="9"/>
      <w:r w:rsidR="00012F90" w:rsidRPr="006636CF">
        <w:rPr>
          <w:rStyle w:val="tli1"/>
          <w:rFonts w:ascii="Arial" w:hAnsi="Arial" w:cs="Arial"/>
        </w:rPr>
        <w:t>protecţia şi conservarea spaţiilor verzi pentru menţinerea biodiversităţii lor;</w:t>
      </w:r>
      <w:bookmarkStart w:id="10" w:name="do|ar9|lib"/>
      <w:r w:rsidR="00012F90">
        <w:rPr>
          <w:rStyle w:val="tli1"/>
          <w:rFonts w:ascii="Arial" w:hAnsi="Arial" w:cs="Arial"/>
        </w:rPr>
        <w:t xml:space="preserve"> </w:t>
      </w:r>
      <w:hyperlink w:anchor="#" w:history="1"/>
      <w:bookmarkEnd w:id="10"/>
      <w:r w:rsidR="00012F90" w:rsidRPr="006636CF">
        <w:rPr>
          <w:rStyle w:val="tli1"/>
          <w:rFonts w:ascii="Arial" w:hAnsi="Arial" w:cs="Arial"/>
        </w:rPr>
        <w:t>menţinerea şi dezvoltarea funcţiilor de protecţie a spaţiilor verzi privind apele, solul, schimbările climatice, menţinerea peisajelor în scopul ocrotirii sănătăţii populaţiei, protecţiei mediului şi asigurării calităţii vieţii;</w:t>
      </w:r>
    </w:p>
    <w:bookmarkStart w:id="11" w:name="do|ar9|lic"/>
    <w:p w:rsidR="00012F90" w:rsidRPr="001C55D5" w:rsidRDefault="00043583" w:rsidP="005E6B2E">
      <w:pPr>
        <w:numPr>
          <w:ilvl w:val="0"/>
          <w:numId w:val="47"/>
        </w:numPr>
        <w:jc w:val="both"/>
        <w:rPr>
          <w:rFonts w:ascii="Arial" w:hAnsi="Arial" w:cs="Arial"/>
        </w:rPr>
      </w:pPr>
      <w:r w:rsidRPr="001C55D5">
        <w:rPr>
          <w:rFonts w:ascii="Arial" w:hAnsi="Arial" w:cs="Arial"/>
        </w:rPr>
        <w:fldChar w:fldCharType="begin"/>
      </w:r>
      <w:r w:rsidR="00012F90" w:rsidRPr="001C55D5">
        <w:rPr>
          <w:rFonts w:ascii="Arial" w:hAnsi="Arial" w:cs="Arial"/>
        </w:rPr>
        <w:instrText xml:space="preserve"> HYPERLINK "" \l "#" </w:instrText>
      </w:r>
      <w:r w:rsidRPr="001C55D5">
        <w:rPr>
          <w:rFonts w:ascii="Arial" w:hAnsi="Arial" w:cs="Arial"/>
        </w:rPr>
        <w:fldChar w:fldCharType="end"/>
      </w:r>
      <w:bookmarkEnd w:id="11"/>
      <w:r w:rsidR="00012F90" w:rsidRPr="001C55D5">
        <w:rPr>
          <w:rStyle w:val="tli1"/>
          <w:rFonts w:ascii="Arial" w:hAnsi="Arial" w:cs="Arial"/>
        </w:rPr>
        <w:t>regenerarea, extinderea, ameliorarea compoziţiei şi a calităţii spaţiilor verzi;</w:t>
      </w:r>
    </w:p>
    <w:bookmarkStart w:id="12" w:name="do|ar9|lid"/>
    <w:p w:rsidR="00012F90" w:rsidRPr="001C55D5" w:rsidRDefault="00043583" w:rsidP="005E6B2E">
      <w:pPr>
        <w:numPr>
          <w:ilvl w:val="0"/>
          <w:numId w:val="47"/>
        </w:numPr>
        <w:jc w:val="both"/>
        <w:rPr>
          <w:rFonts w:ascii="Arial" w:hAnsi="Arial" w:cs="Arial"/>
        </w:rPr>
      </w:pPr>
      <w:r w:rsidRPr="001C55D5">
        <w:rPr>
          <w:rFonts w:ascii="Arial" w:hAnsi="Arial" w:cs="Arial"/>
        </w:rPr>
        <w:fldChar w:fldCharType="begin"/>
      </w:r>
      <w:r w:rsidR="00012F90" w:rsidRPr="001C55D5">
        <w:rPr>
          <w:rFonts w:ascii="Arial" w:hAnsi="Arial" w:cs="Arial"/>
        </w:rPr>
        <w:instrText xml:space="preserve"> HYPERLINK "" \l "#" </w:instrText>
      </w:r>
      <w:r w:rsidRPr="001C55D5">
        <w:rPr>
          <w:rFonts w:ascii="Arial" w:hAnsi="Arial" w:cs="Arial"/>
        </w:rPr>
        <w:fldChar w:fldCharType="end"/>
      </w:r>
      <w:bookmarkEnd w:id="12"/>
      <w:r w:rsidR="00012F90" w:rsidRPr="001C55D5">
        <w:rPr>
          <w:rStyle w:val="tli1"/>
          <w:rFonts w:ascii="Arial" w:hAnsi="Arial" w:cs="Arial"/>
        </w:rPr>
        <w:t>elaborarea şi aplicarea unui complex de măsuri privind aducerea şi menţinerea spaţiilor verzi în starea corespunzătoare funcţiilor lor;</w:t>
      </w:r>
    </w:p>
    <w:bookmarkStart w:id="13" w:name="do|ar9|lie"/>
    <w:p w:rsidR="00012F90" w:rsidRPr="001C55D5" w:rsidRDefault="00043583" w:rsidP="005E6B2E">
      <w:pPr>
        <w:numPr>
          <w:ilvl w:val="0"/>
          <w:numId w:val="47"/>
        </w:numPr>
        <w:jc w:val="both"/>
        <w:rPr>
          <w:rFonts w:ascii="Arial" w:hAnsi="Arial" w:cs="Arial"/>
        </w:rPr>
      </w:pPr>
      <w:r w:rsidRPr="001C55D5">
        <w:rPr>
          <w:rFonts w:ascii="Arial" w:hAnsi="Arial" w:cs="Arial"/>
        </w:rPr>
        <w:fldChar w:fldCharType="begin"/>
      </w:r>
      <w:r w:rsidR="00012F90" w:rsidRPr="001C55D5">
        <w:rPr>
          <w:rFonts w:ascii="Arial" w:hAnsi="Arial" w:cs="Arial"/>
        </w:rPr>
        <w:instrText xml:space="preserve"> HYPERLINK "" \l "#" </w:instrText>
      </w:r>
      <w:r w:rsidRPr="001C55D5">
        <w:rPr>
          <w:rFonts w:ascii="Arial" w:hAnsi="Arial" w:cs="Arial"/>
        </w:rPr>
        <w:fldChar w:fldCharType="end"/>
      </w:r>
      <w:bookmarkEnd w:id="13"/>
      <w:r w:rsidR="00012F90" w:rsidRPr="001C55D5">
        <w:rPr>
          <w:rStyle w:val="tli1"/>
          <w:rFonts w:ascii="Arial" w:hAnsi="Arial" w:cs="Arial"/>
        </w:rPr>
        <w:t>identificarea zonelor deficitare şi realizarea de lucrări pentru extinderea suprafeţelor acoperite cu vegetaţie;</w:t>
      </w:r>
    </w:p>
    <w:bookmarkStart w:id="14" w:name="do|ar9|lif"/>
    <w:p w:rsidR="00012F90" w:rsidRPr="001C55D5" w:rsidRDefault="00043583" w:rsidP="005E6B2E">
      <w:pPr>
        <w:pStyle w:val="Default"/>
        <w:widowControl w:val="0"/>
        <w:numPr>
          <w:ilvl w:val="0"/>
          <w:numId w:val="48"/>
        </w:numPr>
        <w:jc w:val="both"/>
        <w:rPr>
          <w:rFonts w:ascii="Arial" w:hAnsi="Arial" w:cs="Arial"/>
        </w:rPr>
      </w:pPr>
      <w:r w:rsidRPr="001C55D5">
        <w:rPr>
          <w:rFonts w:ascii="Arial" w:hAnsi="Arial" w:cs="Arial"/>
        </w:rPr>
        <w:fldChar w:fldCharType="begin"/>
      </w:r>
      <w:r w:rsidR="00012F90" w:rsidRPr="001C55D5">
        <w:rPr>
          <w:rFonts w:ascii="Arial" w:hAnsi="Arial" w:cs="Arial"/>
        </w:rPr>
        <w:instrText xml:space="preserve"> HYPERLINK "" \l "#" </w:instrText>
      </w:r>
      <w:r w:rsidRPr="001C55D5">
        <w:rPr>
          <w:rFonts w:ascii="Arial" w:hAnsi="Arial" w:cs="Arial"/>
        </w:rPr>
        <w:fldChar w:fldCharType="end"/>
      </w:r>
      <w:bookmarkEnd w:id="14"/>
      <w:r w:rsidR="00012F90" w:rsidRPr="001C55D5">
        <w:rPr>
          <w:rStyle w:val="tli1"/>
          <w:rFonts w:ascii="Arial" w:hAnsi="Arial" w:cs="Arial"/>
        </w:rPr>
        <w:t>extinderea suprafeţelor ocupate de spaţii verzi, prin includerea în categoria spaţiilor verzi publice a terenurilor cu potenţial ecologic</w:t>
      </w:r>
    </w:p>
    <w:p w:rsidR="00012F90" w:rsidRDefault="00012F90" w:rsidP="00012F90">
      <w:pPr>
        <w:pStyle w:val="Heading4"/>
        <w:tabs>
          <w:tab w:val="num" w:pos="709"/>
          <w:tab w:val="left" w:pos="851"/>
        </w:tabs>
        <w:spacing w:before="0" w:after="0" w:line="276" w:lineRule="auto"/>
        <w:ind w:left="709" w:hanging="709"/>
        <w:jc w:val="both"/>
        <w:rPr>
          <w:rFonts w:ascii="Arial" w:hAnsi="Arial" w:cs="Arial"/>
          <w:bCs w:val="0"/>
          <w:iCs/>
          <w:sz w:val="24"/>
          <w:szCs w:val="24"/>
        </w:rPr>
      </w:pPr>
      <w:r w:rsidRPr="001C55D5">
        <w:rPr>
          <w:rFonts w:ascii="Arial" w:hAnsi="Arial" w:cs="Arial"/>
          <w:bCs w:val="0"/>
          <w:iCs/>
          <w:sz w:val="24"/>
          <w:szCs w:val="24"/>
        </w:rPr>
        <w:t xml:space="preserve">    </w:t>
      </w:r>
    </w:p>
    <w:p w:rsidR="00012F90" w:rsidRPr="001C55D5" w:rsidRDefault="00012F90" w:rsidP="00012F90">
      <w:pPr>
        <w:pStyle w:val="Heading4"/>
        <w:tabs>
          <w:tab w:val="num" w:pos="709"/>
          <w:tab w:val="left" w:pos="851"/>
        </w:tabs>
        <w:spacing w:before="0" w:after="0" w:line="276" w:lineRule="auto"/>
        <w:jc w:val="both"/>
        <w:rPr>
          <w:rFonts w:ascii="Arial" w:hAnsi="Arial" w:cs="Arial"/>
          <w:bCs w:val="0"/>
          <w:iCs/>
          <w:sz w:val="24"/>
          <w:szCs w:val="24"/>
        </w:rPr>
      </w:pPr>
      <w:r w:rsidRPr="001C55D5">
        <w:rPr>
          <w:rFonts w:ascii="Arial" w:hAnsi="Arial" w:cs="Arial"/>
          <w:bCs w:val="0"/>
          <w:iCs/>
          <w:sz w:val="24"/>
          <w:szCs w:val="24"/>
        </w:rPr>
        <w:t xml:space="preserve"> </w:t>
      </w:r>
      <w:r>
        <w:rPr>
          <w:rFonts w:ascii="Arial" w:hAnsi="Arial" w:cs="Arial"/>
          <w:bCs w:val="0"/>
          <w:iCs/>
          <w:sz w:val="24"/>
          <w:szCs w:val="24"/>
        </w:rPr>
        <w:t>IX.1.4.1.</w:t>
      </w:r>
      <w:r w:rsidRPr="001C55D5">
        <w:rPr>
          <w:rFonts w:ascii="Arial" w:hAnsi="Arial" w:cs="Arial"/>
          <w:bCs w:val="0"/>
          <w:iCs/>
          <w:sz w:val="24"/>
          <w:szCs w:val="24"/>
        </w:rPr>
        <w:t>Suprafaţa ocupată de spaţiile verzi în aglomerările urbane</w:t>
      </w:r>
    </w:p>
    <w:p w:rsidR="00012F90" w:rsidRPr="001C55D5" w:rsidRDefault="00012F90" w:rsidP="00012F90">
      <w:pPr>
        <w:jc w:val="both"/>
        <w:rPr>
          <w:rFonts w:ascii="Arial" w:hAnsi="Arial" w:cs="Arial"/>
          <w:lang w:val="it-IT"/>
        </w:rPr>
      </w:pPr>
      <w:r w:rsidRPr="001C55D5">
        <w:rPr>
          <w:rFonts w:ascii="Arial" w:hAnsi="Arial" w:cs="Arial"/>
          <w:bCs/>
          <w:iCs/>
        </w:rPr>
        <w:t xml:space="preserve">Suprafaţa totală ocupată de spaţiile verzi în aglomerările urbane </w:t>
      </w:r>
      <w:r w:rsidRPr="001C55D5">
        <w:rPr>
          <w:rFonts w:ascii="Arial" w:hAnsi="Arial" w:cs="Arial"/>
        </w:rPr>
        <w:t xml:space="preserve">, ale județului Brăila este de 533,44 ha, reprezentând spațiile verzi </w:t>
      </w:r>
      <w:r w:rsidRPr="001C55D5">
        <w:rPr>
          <w:rFonts w:ascii="Arial" w:hAnsi="Arial" w:cs="Arial"/>
          <w:lang w:val="it-IT"/>
        </w:rPr>
        <w:t>aferente orașului reședință de județ B</w:t>
      </w:r>
      <w:r>
        <w:rPr>
          <w:rFonts w:ascii="Arial" w:hAnsi="Arial" w:cs="Arial"/>
          <w:lang w:val="it-IT"/>
        </w:rPr>
        <w:t>răila</w:t>
      </w:r>
      <w:r w:rsidRPr="001C55D5">
        <w:rPr>
          <w:rFonts w:ascii="Arial" w:hAnsi="Arial" w:cs="Arial"/>
          <w:lang w:val="it-IT"/>
        </w:rPr>
        <w:t>, respectiv cele ale orașelor I</w:t>
      </w:r>
      <w:r>
        <w:rPr>
          <w:rFonts w:ascii="Arial" w:hAnsi="Arial" w:cs="Arial"/>
          <w:lang w:val="it-IT"/>
        </w:rPr>
        <w:t>anca</w:t>
      </w:r>
      <w:r w:rsidRPr="001C55D5">
        <w:rPr>
          <w:rFonts w:ascii="Arial" w:hAnsi="Arial" w:cs="Arial"/>
          <w:lang w:val="it-IT"/>
        </w:rPr>
        <w:t>, Î</w:t>
      </w:r>
      <w:r>
        <w:rPr>
          <w:rFonts w:ascii="Arial" w:hAnsi="Arial" w:cs="Arial"/>
          <w:lang w:val="it-IT"/>
        </w:rPr>
        <w:t>nsurăței</w:t>
      </w:r>
      <w:r w:rsidRPr="001C55D5">
        <w:rPr>
          <w:rFonts w:ascii="Arial" w:hAnsi="Arial" w:cs="Arial"/>
          <w:lang w:val="it-IT"/>
        </w:rPr>
        <w:t xml:space="preserve"> și F</w:t>
      </w:r>
      <w:r>
        <w:rPr>
          <w:rFonts w:ascii="Arial" w:hAnsi="Arial" w:cs="Arial"/>
          <w:lang w:val="it-IT"/>
        </w:rPr>
        <w:t>ăurei</w:t>
      </w:r>
      <w:r w:rsidRPr="001C55D5">
        <w:rPr>
          <w:rFonts w:ascii="Arial" w:hAnsi="Arial" w:cs="Arial"/>
          <w:lang w:val="it-IT"/>
        </w:rPr>
        <w:t>.</w:t>
      </w:r>
    </w:p>
    <w:p w:rsidR="00012F90" w:rsidRPr="00446AEE" w:rsidRDefault="00012F90" w:rsidP="00012F90">
      <w:pPr>
        <w:jc w:val="both"/>
        <w:rPr>
          <w:rFonts w:ascii="Arial" w:hAnsi="Arial" w:cs="Arial"/>
          <w:b/>
        </w:rPr>
      </w:pPr>
      <w:r w:rsidRPr="00A0700D">
        <w:rPr>
          <w:rFonts w:ascii="Arial" w:hAnsi="Arial" w:cs="Arial"/>
        </w:rPr>
        <w:t>Evoluţia suprafeţei spaţiilor verzi din totalul intravilan, pentru o perioadă de cinci ani (2010-2014) respectiv evoluţia suprafeţei spaţiilor verzi pe cap de locuitor din mediul urban, tendinţă în ultimii cinci ani (2010-2014), sunt sintetizate pentru fiecare oraș în parte, în  următoarelel tabele respectiv</w:t>
      </w:r>
      <w:r w:rsidRPr="001C55D5">
        <w:rPr>
          <w:rFonts w:ascii="Arial" w:hAnsi="Arial" w:cs="Arial"/>
        </w:rPr>
        <w:t xml:space="preserve"> grafice:</w:t>
      </w:r>
    </w:p>
    <w:p w:rsidR="00012F90" w:rsidRDefault="00012F90" w:rsidP="00012F90">
      <w:pPr>
        <w:jc w:val="both"/>
        <w:rPr>
          <w:rFonts w:ascii="Arial" w:hAnsi="Arial" w:cs="Arial"/>
          <w:b/>
          <w:lang w:val="en-US"/>
        </w:rPr>
      </w:pPr>
    </w:p>
    <w:p w:rsidR="00012F90" w:rsidRDefault="00012F90" w:rsidP="00012F90">
      <w:pPr>
        <w:jc w:val="both"/>
        <w:rPr>
          <w:rFonts w:ascii="Arial" w:hAnsi="Arial" w:cs="Arial"/>
          <w:lang w:val="it-IT"/>
        </w:rPr>
      </w:pPr>
      <w:r w:rsidRPr="000B6FBF">
        <w:rPr>
          <w:rFonts w:ascii="Arial" w:hAnsi="Arial" w:cs="Arial"/>
          <w:b/>
          <w:lang w:val="en-US"/>
        </w:rPr>
        <w:t xml:space="preserve">Tabel </w:t>
      </w:r>
      <w:r>
        <w:rPr>
          <w:rFonts w:ascii="Arial" w:hAnsi="Arial" w:cs="Arial"/>
          <w:b/>
          <w:lang w:val="en-US"/>
        </w:rPr>
        <w:t xml:space="preserve">nr. </w:t>
      </w:r>
      <w:r w:rsidRPr="000B6FBF">
        <w:rPr>
          <w:rFonts w:ascii="Arial" w:hAnsi="Arial" w:cs="Arial"/>
          <w:b/>
          <w:lang w:val="en-US"/>
        </w:rPr>
        <w:t>IX.1.</w:t>
      </w:r>
      <w:r>
        <w:rPr>
          <w:rFonts w:ascii="Arial" w:hAnsi="Arial" w:cs="Arial"/>
          <w:b/>
          <w:lang w:val="en-US"/>
        </w:rPr>
        <w:t>4</w:t>
      </w:r>
      <w:r w:rsidRPr="000B6FBF">
        <w:rPr>
          <w:rFonts w:ascii="Arial" w:hAnsi="Arial" w:cs="Arial"/>
          <w:b/>
          <w:lang w:val="en-US"/>
        </w:rPr>
        <w:t>.</w:t>
      </w:r>
      <w:r>
        <w:rPr>
          <w:rFonts w:ascii="Arial" w:hAnsi="Arial" w:cs="Arial"/>
          <w:b/>
          <w:lang w:val="en-US"/>
        </w:rPr>
        <w:t>1. - 1</w:t>
      </w:r>
      <w:r w:rsidRPr="000B6FBF">
        <w:rPr>
          <w:rFonts w:ascii="Arial" w:hAnsi="Arial" w:cs="Arial"/>
          <w:b/>
          <w:lang w:val="en-US"/>
        </w:rPr>
        <w:t xml:space="preserve"> </w:t>
      </w:r>
      <w:r w:rsidRPr="00757560">
        <w:rPr>
          <w:rFonts w:ascii="Arial" w:hAnsi="Arial" w:cs="Arial"/>
        </w:rPr>
        <w:t>Situația spațiilor verzi</w:t>
      </w:r>
      <w:r w:rsidRPr="00757560">
        <w:rPr>
          <w:rFonts w:ascii="Arial" w:hAnsi="Arial" w:cs="Arial"/>
          <w:lang w:val="it-IT"/>
        </w:rPr>
        <w:t xml:space="preserve"> aferente orașului reședință de județ BRĂILA</w:t>
      </w:r>
    </w:p>
    <w:p w:rsidR="00012F90" w:rsidRPr="00757560" w:rsidRDefault="00012F90" w:rsidP="00012F90">
      <w:pPr>
        <w:jc w:val="both"/>
        <w:rPr>
          <w:rFonts w:ascii="Arial" w:hAnsi="Arial" w:cs="Arial"/>
          <w:lang w:val="it-IT"/>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4"/>
        <w:gridCol w:w="1274"/>
        <w:gridCol w:w="1134"/>
        <w:gridCol w:w="1126"/>
      </w:tblGrid>
      <w:tr w:rsidR="00012F90" w:rsidRPr="001C55D5"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tcPr>
          <w:p w:rsidR="00012F90" w:rsidRPr="00567A95" w:rsidRDefault="00012F90" w:rsidP="00012F90">
            <w:pPr>
              <w:tabs>
                <w:tab w:val="center" w:pos="4680"/>
                <w:tab w:val="right" w:pos="9360"/>
              </w:tabs>
              <w:rPr>
                <w:rFonts w:ascii="Arial" w:hAnsi="Arial" w:cs="Arial"/>
                <w:b/>
                <w:lang w:val="en-US"/>
              </w:rPr>
            </w:pPr>
            <w:r w:rsidRPr="00567A95">
              <w:rPr>
                <w:rFonts w:ascii="Arial" w:hAnsi="Arial" w:cs="Arial"/>
                <w:b/>
              </w:rPr>
              <w:t xml:space="preserve"> Mun. Brăila</w:t>
            </w:r>
          </w:p>
        </w:tc>
        <w:tc>
          <w:tcPr>
            <w:tcW w:w="1273"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012F90" w:rsidRPr="00567A95" w:rsidRDefault="00012F90" w:rsidP="00012F90">
            <w:pPr>
              <w:tabs>
                <w:tab w:val="center" w:pos="4680"/>
                <w:tab w:val="right" w:pos="9360"/>
              </w:tabs>
              <w:jc w:val="center"/>
              <w:rPr>
                <w:rFonts w:ascii="Arial" w:hAnsi="Arial" w:cs="Arial"/>
                <w:b/>
                <w:lang w:val="en-US"/>
              </w:rPr>
            </w:pPr>
            <w:r w:rsidRPr="00567A95">
              <w:rPr>
                <w:rFonts w:ascii="Arial" w:hAnsi="Arial" w:cs="Arial"/>
                <w:b/>
                <w:lang w:val="en-US"/>
              </w:rPr>
              <w:t>2010</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012F90" w:rsidRPr="00567A95" w:rsidRDefault="00012F90" w:rsidP="00012F90">
            <w:pPr>
              <w:tabs>
                <w:tab w:val="center" w:pos="4680"/>
                <w:tab w:val="right" w:pos="9360"/>
              </w:tabs>
              <w:jc w:val="center"/>
              <w:rPr>
                <w:rFonts w:ascii="Arial" w:hAnsi="Arial" w:cs="Arial"/>
                <w:b/>
                <w:lang w:val="en-US"/>
              </w:rPr>
            </w:pPr>
            <w:r w:rsidRPr="00567A95">
              <w:rPr>
                <w:rFonts w:ascii="Arial" w:hAnsi="Arial" w:cs="Arial"/>
                <w:b/>
                <w:lang w:val="en-US"/>
              </w:rPr>
              <w:t>2011</w:t>
            </w:r>
          </w:p>
        </w:tc>
        <w:tc>
          <w:tcPr>
            <w:tcW w:w="127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012F90" w:rsidRPr="00567A95" w:rsidRDefault="00012F90" w:rsidP="00012F90">
            <w:pPr>
              <w:tabs>
                <w:tab w:val="center" w:pos="4680"/>
                <w:tab w:val="right" w:pos="9360"/>
              </w:tabs>
              <w:jc w:val="center"/>
              <w:rPr>
                <w:rFonts w:ascii="Arial" w:hAnsi="Arial" w:cs="Arial"/>
                <w:b/>
                <w:lang w:val="en-US"/>
              </w:rPr>
            </w:pPr>
            <w:r w:rsidRPr="00567A95">
              <w:rPr>
                <w:rFonts w:ascii="Arial" w:hAnsi="Arial" w:cs="Arial"/>
                <w:b/>
                <w:lang w:val="en-US"/>
              </w:rPr>
              <w:t>2012</w:t>
            </w:r>
          </w:p>
        </w:tc>
        <w:tc>
          <w:tcPr>
            <w:tcW w:w="1134"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012F90" w:rsidRPr="00567A95" w:rsidRDefault="00012F90" w:rsidP="00012F90">
            <w:pPr>
              <w:tabs>
                <w:tab w:val="center" w:pos="4680"/>
                <w:tab w:val="right" w:pos="9360"/>
              </w:tabs>
              <w:jc w:val="center"/>
              <w:rPr>
                <w:rFonts w:ascii="Arial" w:hAnsi="Arial" w:cs="Arial"/>
                <w:b/>
                <w:lang w:val="en-US"/>
              </w:rPr>
            </w:pPr>
            <w:r w:rsidRPr="00567A95">
              <w:rPr>
                <w:rFonts w:ascii="Arial" w:hAnsi="Arial" w:cs="Arial"/>
                <w:b/>
                <w:lang w:val="en-US"/>
              </w:rPr>
              <w:t>2013</w:t>
            </w:r>
          </w:p>
        </w:tc>
        <w:tc>
          <w:tcPr>
            <w:tcW w:w="1126" w:type="dxa"/>
            <w:tcBorders>
              <w:top w:val="single" w:sz="4" w:space="0" w:color="000000"/>
              <w:left w:val="single" w:sz="4" w:space="0" w:color="000000"/>
              <w:bottom w:val="single" w:sz="4" w:space="0" w:color="000000"/>
              <w:right w:val="single" w:sz="4" w:space="0" w:color="000000"/>
            </w:tcBorders>
            <w:shd w:val="clear" w:color="auto" w:fill="C2D69B" w:themeFill="accent3" w:themeFillTint="99"/>
            <w:vAlign w:val="center"/>
            <w:hideMark/>
          </w:tcPr>
          <w:p w:rsidR="00012F90" w:rsidRPr="00567A95" w:rsidRDefault="00012F90" w:rsidP="00012F90">
            <w:pPr>
              <w:tabs>
                <w:tab w:val="center" w:pos="4680"/>
                <w:tab w:val="right" w:pos="9360"/>
              </w:tabs>
              <w:jc w:val="center"/>
              <w:rPr>
                <w:rFonts w:ascii="Arial" w:hAnsi="Arial" w:cs="Arial"/>
                <w:b/>
                <w:lang w:val="en-US"/>
              </w:rPr>
            </w:pPr>
            <w:r w:rsidRPr="00567A95">
              <w:rPr>
                <w:rFonts w:ascii="Arial" w:hAnsi="Arial" w:cs="Arial"/>
                <w:b/>
                <w:lang w:val="en-US"/>
              </w:rPr>
              <w:t>2014</w:t>
            </w:r>
          </w:p>
        </w:tc>
      </w:tr>
      <w:tr w:rsidR="00012F90" w:rsidRPr="001C55D5"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012F90" w:rsidRPr="001C55D5" w:rsidRDefault="00012F90" w:rsidP="00012F90">
            <w:pPr>
              <w:tabs>
                <w:tab w:val="center" w:pos="4680"/>
                <w:tab w:val="right" w:pos="9360"/>
              </w:tabs>
              <w:rPr>
                <w:rFonts w:ascii="Arial" w:hAnsi="Arial" w:cs="Arial"/>
                <w:lang w:val="en-US"/>
              </w:rPr>
            </w:pPr>
            <w:r w:rsidRPr="001C55D5">
              <w:rPr>
                <w:rFonts w:ascii="Arial" w:hAnsi="Arial" w:cs="Arial"/>
                <w:lang w:val="en-US"/>
              </w:rPr>
              <w:t>Suprafaţa</w:t>
            </w:r>
            <w:r w:rsidRPr="001C55D5">
              <w:rPr>
                <w:rFonts w:ascii="Arial" w:hAnsi="Arial" w:cs="Arial"/>
              </w:rPr>
              <w:t xml:space="preserve"> totală</w:t>
            </w:r>
            <w:r w:rsidRPr="001C55D5">
              <w:rPr>
                <w:rFonts w:ascii="Arial" w:hAnsi="Arial" w:cs="Arial"/>
                <w:lang w:val="en-US"/>
              </w:rPr>
              <w:t xml:space="preserve"> spaţii verzi</w:t>
            </w:r>
            <w:r w:rsidRPr="001C55D5">
              <w:rPr>
                <w:rFonts w:ascii="Arial" w:hAnsi="Arial" w:cs="Arial"/>
                <w:b/>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471,46</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471,46</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471,46</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471,46</w:t>
            </w:r>
          </w:p>
        </w:tc>
      </w:tr>
      <w:tr w:rsidR="00012F90" w:rsidRPr="001C55D5"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012F90" w:rsidRPr="001C55D5" w:rsidRDefault="00012F90" w:rsidP="00012F90">
            <w:pPr>
              <w:tabs>
                <w:tab w:val="center" w:pos="4680"/>
                <w:tab w:val="right" w:pos="9360"/>
              </w:tabs>
              <w:rPr>
                <w:rFonts w:ascii="Arial" w:hAnsi="Arial" w:cs="Arial"/>
                <w:lang w:val="en-US"/>
              </w:rPr>
            </w:pPr>
            <w:r w:rsidRPr="001C55D5">
              <w:rPr>
                <w:rFonts w:ascii="Arial" w:hAnsi="Arial" w:cs="Arial"/>
                <w:lang w:val="en-US"/>
              </w:rPr>
              <w:t>Suprafață intravilan/</w:t>
            </w:r>
            <w:r w:rsidRPr="001C55D5">
              <w:rPr>
                <w:rFonts w:ascii="Arial" w:hAnsi="Arial" w:cs="Arial"/>
                <w:b/>
                <w:lang w:val="en-US"/>
              </w:rPr>
              <w:t>ha</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4201,41</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4201,41</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4201,41</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4201,41</w:t>
            </w:r>
          </w:p>
        </w:tc>
      </w:tr>
      <w:tr w:rsidR="00012F90" w:rsidRPr="001C55D5"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012F90" w:rsidRPr="001C55D5" w:rsidRDefault="00012F90" w:rsidP="00012F90">
            <w:pPr>
              <w:rPr>
                <w:rFonts w:ascii="Arial" w:hAnsi="Arial" w:cs="Arial"/>
                <w:lang w:val="en-US"/>
              </w:rPr>
            </w:pPr>
            <w:r w:rsidRPr="001C55D5">
              <w:rPr>
                <w:rFonts w:ascii="Arial" w:hAnsi="Arial" w:cs="Arial"/>
              </w:rPr>
              <w:t xml:space="preserve">Procentul </w:t>
            </w:r>
            <w:r w:rsidRPr="001C55D5">
              <w:rPr>
                <w:rFonts w:ascii="Arial" w:hAnsi="Arial" w:cs="Arial"/>
                <w:b/>
              </w:rPr>
              <w:t xml:space="preserve">(%) </w:t>
            </w:r>
            <w:r w:rsidRPr="001C55D5">
              <w:rPr>
                <w:rFonts w:ascii="Arial" w:hAnsi="Arial" w:cs="Arial"/>
              </w:rPr>
              <w:t xml:space="preserve">din suprafaţă intravilan reprezentat de </w:t>
            </w:r>
            <w:r w:rsidRPr="001C55D5">
              <w:rPr>
                <w:rFonts w:ascii="Arial" w:hAnsi="Arial" w:cs="Arial"/>
                <w:b/>
              </w:rPr>
              <w:t xml:space="preserve">suprafaţa totală de spaţii verzi  </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p>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p>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11,22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p>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11,22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p>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11,22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p>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11,22</w:t>
            </w:r>
          </w:p>
        </w:tc>
      </w:tr>
      <w:tr w:rsidR="00012F90" w:rsidRPr="001C55D5"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012F90" w:rsidRPr="001C55D5" w:rsidRDefault="00012F90" w:rsidP="00012F90">
            <w:pPr>
              <w:rPr>
                <w:rFonts w:ascii="Arial" w:hAnsi="Arial" w:cs="Arial"/>
                <w:lang w:val="en-US"/>
              </w:rPr>
            </w:pPr>
            <w:r w:rsidRPr="001C55D5">
              <w:rPr>
                <w:rFonts w:ascii="Arial" w:hAnsi="Arial" w:cs="Arial"/>
                <w:b/>
              </w:rPr>
              <w:t xml:space="preserve">Indicatorul </w:t>
            </w:r>
            <w:r w:rsidRPr="001C55D5">
              <w:rPr>
                <w:rFonts w:ascii="Arial" w:hAnsi="Arial" w:cs="Arial"/>
              </w:rPr>
              <w:t xml:space="preserve">– suprafaţă de spaţiu verde </w:t>
            </w:r>
            <w:r w:rsidRPr="001C55D5">
              <w:rPr>
                <w:rFonts w:ascii="Arial" w:hAnsi="Arial" w:cs="Arial"/>
                <w:b/>
              </w:rPr>
              <w:t xml:space="preserve"> m.p./locuitor</w:t>
            </w:r>
            <w:r w:rsidRPr="001C55D5">
              <w:rPr>
                <w:rFonts w:ascii="Arial" w:hAnsi="Arial" w:cs="Arial"/>
              </w:rPr>
              <w:t>;</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22,42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22,42</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26,14</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26,14</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26,14</w:t>
            </w:r>
          </w:p>
        </w:tc>
      </w:tr>
      <w:tr w:rsidR="00012F90" w:rsidRPr="001C55D5"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hideMark/>
          </w:tcPr>
          <w:p w:rsidR="00012F90" w:rsidRPr="001C55D5" w:rsidRDefault="00012F90" w:rsidP="00012F90">
            <w:pPr>
              <w:rPr>
                <w:rFonts w:ascii="Arial" w:hAnsi="Arial" w:cs="Arial"/>
              </w:rPr>
            </w:pPr>
            <w:r w:rsidRPr="001C55D5">
              <w:rPr>
                <w:rFonts w:ascii="Arial" w:hAnsi="Arial" w:cs="Arial"/>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210245</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210245</w:t>
            </w:r>
          </w:p>
        </w:tc>
        <w:tc>
          <w:tcPr>
            <w:tcW w:w="127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180302</w:t>
            </w:r>
          </w:p>
        </w:tc>
        <w:tc>
          <w:tcPr>
            <w:tcW w:w="113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180302</w:t>
            </w:r>
          </w:p>
        </w:tc>
        <w:tc>
          <w:tcPr>
            <w:tcW w:w="1126"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C55D5" w:rsidRDefault="00012F90" w:rsidP="00012F90">
            <w:pPr>
              <w:tabs>
                <w:tab w:val="center" w:pos="4680"/>
                <w:tab w:val="right" w:pos="9360"/>
              </w:tabs>
              <w:jc w:val="center"/>
              <w:rPr>
                <w:rFonts w:ascii="Arial" w:hAnsi="Arial" w:cs="Arial"/>
                <w:lang w:val="en-US"/>
              </w:rPr>
            </w:pPr>
            <w:r w:rsidRPr="001C55D5">
              <w:rPr>
                <w:rFonts w:ascii="Arial" w:hAnsi="Arial" w:cs="Arial"/>
                <w:lang w:val="en-US"/>
              </w:rPr>
              <w:t>180302</w:t>
            </w:r>
          </w:p>
        </w:tc>
      </w:tr>
    </w:tbl>
    <w:p w:rsidR="00012F90" w:rsidRPr="00446AEE" w:rsidRDefault="00012F90" w:rsidP="00012F90">
      <w:pPr>
        <w:jc w:val="both"/>
        <w:rPr>
          <w:rFonts w:ascii="Arial" w:hAnsi="Arial" w:cs="Arial"/>
        </w:rPr>
      </w:pPr>
    </w:p>
    <w:p w:rsidR="00012F90" w:rsidRPr="00446AEE" w:rsidRDefault="00012F90" w:rsidP="00012F90">
      <w:pPr>
        <w:jc w:val="center"/>
        <w:rPr>
          <w:rFonts w:ascii="Arial" w:hAnsi="Arial" w:cs="Arial"/>
          <w:b/>
        </w:rPr>
      </w:pPr>
      <w:r>
        <w:rPr>
          <w:rFonts w:ascii="Arial" w:hAnsi="Arial" w:cs="Arial"/>
          <w:b/>
          <w:noProof/>
          <w:lang w:val="ro-RO" w:eastAsia="ro-RO"/>
        </w:rPr>
        <w:lastRenderedPageBreak/>
        <w:drawing>
          <wp:inline distT="0" distB="0" distL="0" distR="0">
            <wp:extent cx="5497195" cy="2416810"/>
            <wp:effectExtent l="19050" t="0" r="27305" b="2540"/>
            <wp:docPr id="93" name="Chart 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7"/>
              </a:graphicData>
            </a:graphic>
          </wp:inline>
        </w:drawing>
      </w:r>
    </w:p>
    <w:p w:rsidR="00012F90" w:rsidRPr="006A2198" w:rsidRDefault="00012F90" w:rsidP="00012F90">
      <w:pPr>
        <w:jc w:val="center"/>
        <w:rPr>
          <w:rFonts w:ascii="Arial" w:hAnsi="Arial" w:cs="Arial"/>
          <w:b/>
        </w:rPr>
      </w:pPr>
      <w:r w:rsidRPr="006A2198">
        <w:rPr>
          <w:rFonts w:ascii="Arial" w:hAnsi="Arial" w:cs="Arial"/>
          <w:b/>
          <w:lang w:val="en-US"/>
        </w:rPr>
        <w:t xml:space="preserve">Figura nr. IX.1.4.1.-1 </w:t>
      </w:r>
      <w:r w:rsidRPr="006A2198">
        <w:rPr>
          <w:rFonts w:ascii="Arial" w:hAnsi="Arial" w:cs="Arial"/>
        </w:rPr>
        <w:t>Suprafaţa spaţii verzi din total intravilan (2010-2014) – mun. Brăila</w:t>
      </w:r>
    </w:p>
    <w:p w:rsidR="00012F90" w:rsidRPr="006A2198" w:rsidRDefault="00012F90" w:rsidP="00012F90">
      <w:pPr>
        <w:jc w:val="center"/>
        <w:rPr>
          <w:rFonts w:ascii="Arial" w:hAnsi="Arial" w:cs="Arial"/>
          <w:b/>
          <w:lang w:val="en-US"/>
        </w:rPr>
      </w:pPr>
    </w:p>
    <w:p w:rsidR="00012F90" w:rsidRPr="00446AEE" w:rsidRDefault="00012F90" w:rsidP="00012F90">
      <w:pPr>
        <w:jc w:val="center"/>
        <w:rPr>
          <w:rFonts w:ascii="Arial" w:hAnsi="Arial" w:cs="Arial"/>
          <w:b/>
        </w:rPr>
      </w:pPr>
      <w:r>
        <w:rPr>
          <w:rFonts w:ascii="Arial" w:hAnsi="Arial" w:cs="Arial"/>
          <w:b/>
          <w:noProof/>
          <w:lang w:val="ro-RO" w:eastAsia="ro-RO"/>
        </w:rPr>
        <w:drawing>
          <wp:inline distT="0" distB="0" distL="0" distR="0">
            <wp:extent cx="4953000" cy="2552700"/>
            <wp:effectExtent l="19050" t="0" r="19050" b="0"/>
            <wp:docPr id="94"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8"/>
              </a:graphicData>
            </a:graphic>
          </wp:inline>
        </w:drawing>
      </w:r>
    </w:p>
    <w:p w:rsidR="00012F90" w:rsidRDefault="00012F90" w:rsidP="00012F90">
      <w:pPr>
        <w:jc w:val="center"/>
        <w:rPr>
          <w:rFonts w:ascii="Arial" w:hAnsi="Arial" w:cs="Arial"/>
        </w:rPr>
      </w:pPr>
      <w:r w:rsidRPr="006A2198">
        <w:rPr>
          <w:rFonts w:ascii="Arial" w:hAnsi="Arial" w:cs="Arial"/>
          <w:b/>
          <w:lang w:val="en-US"/>
        </w:rPr>
        <w:t xml:space="preserve">Figura nr. IX.1.4.1. - 2 </w:t>
      </w:r>
      <w:r w:rsidRPr="006A2198">
        <w:rPr>
          <w:rFonts w:ascii="Arial" w:hAnsi="Arial" w:cs="Arial"/>
        </w:rPr>
        <w:t>Suprafața spațiu verde m.p./ cap de locuitor din mediul urban, tendința (2010-2014)</w:t>
      </w:r>
      <w:r w:rsidRPr="006A2198">
        <w:rPr>
          <w:rFonts w:ascii="Arial" w:hAnsi="Arial" w:cs="Arial"/>
          <w:b/>
        </w:rPr>
        <w:t xml:space="preserve"> </w:t>
      </w:r>
      <w:r w:rsidRPr="006A2198">
        <w:rPr>
          <w:rFonts w:ascii="Arial" w:hAnsi="Arial" w:cs="Arial"/>
        </w:rPr>
        <w:t>– mun. Brăila</w:t>
      </w:r>
    </w:p>
    <w:p w:rsidR="004E468C" w:rsidRPr="006A2198" w:rsidRDefault="004E468C" w:rsidP="00012F90">
      <w:pPr>
        <w:jc w:val="center"/>
        <w:rPr>
          <w:rFonts w:ascii="Arial" w:hAnsi="Arial" w:cs="Arial"/>
        </w:rPr>
      </w:pPr>
    </w:p>
    <w:p w:rsidR="00012F90" w:rsidRPr="006A2198" w:rsidRDefault="00012F90" w:rsidP="00012F90">
      <w:pPr>
        <w:jc w:val="center"/>
        <w:rPr>
          <w:rFonts w:ascii="Arial" w:hAnsi="Arial" w:cs="Arial"/>
        </w:rPr>
      </w:pPr>
    </w:p>
    <w:p w:rsidR="00012F90" w:rsidRPr="001C55D5" w:rsidRDefault="00012F90" w:rsidP="00012F90">
      <w:pPr>
        <w:jc w:val="both"/>
        <w:rPr>
          <w:rFonts w:ascii="Arial" w:hAnsi="Arial" w:cs="Arial"/>
          <w:lang w:val="it-IT"/>
        </w:rPr>
      </w:pPr>
      <w:r>
        <w:rPr>
          <w:rFonts w:ascii="Arial" w:hAnsi="Arial" w:cs="Arial"/>
          <w:b/>
          <w:lang w:val="en-US"/>
        </w:rPr>
        <w:t xml:space="preserve">  </w:t>
      </w:r>
      <w:r w:rsidRPr="000B6FBF">
        <w:rPr>
          <w:rFonts w:ascii="Arial" w:hAnsi="Arial" w:cs="Arial"/>
          <w:b/>
          <w:lang w:val="en-US"/>
        </w:rPr>
        <w:t xml:space="preserve">Tabel </w:t>
      </w:r>
      <w:r>
        <w:rPr>
          <w:rFonts w:ascii="Arial" w:hAnsi="Arial" w:cs="Arial"/>
          <w:b/>
          <w:lang w:val="en-US"/>
        </w:rPr>
        <w:t xml:space="preserve">nr. </w:t>
      </w:r>
      <w:r w:rsidRPr="000B6FBF">
        <w:rPr>
          <w:rFonts w:ascii="Arial" w:hAnsi="Arial" w:cs="Arial"/>
          <w:b/>
          <w:lang w:val="en-US"/>
        </w:rPr>
        <w:t>IX.1.</w:t>
      </w:r>
      <w:r>
        <w:rPr>
          <w:rFonts w:ascii="Arial" w:hAnsi="Arial" w:cs="Arial"/>
          <w:b/>
          <w:lang w:val="en-US"/>
        </w:rPr>
        <w:t>4</w:t>
      </w:r>
      <w:r w:rsidRPr="000B6FBF">
        <w:rPr>
          <w:rFonts w:ascii="Arial" w:hAnsi="Arial" w:cs="Arial"/>
          <w:b/>
          <w:lang w:val="en-US"/>
        </w:rPr>
        <w:t>.</w:t>
      </w:r>
      <w:r>
        <w:rPr>
          <w:rFonts w:ascii="Arial" w:hAnsi="Arial" w:cs="Arial"/>
          <w:b/>
          <w:lang w:val="en-US"/>
        </w:rPr>
        <w:t xml:space="preserve">1. - 2 </w:t>
      </w:r>
      <w:r w:rsidRPr="001C55D5">
        <w:rPr>
          <w:rFonts w:ascii="Arial" w:hAnsi="Arial" w:cs="Arial"/>
        </w:rPr>
        <w:t>Situația spațiilor verzi</w:t>
      </w:r>
      <w:r w:rsidRPr="001C55D5">
        <w:rPr>
          <w:rFonts w:ascii="Arial" w:hAnsi="Arial" w:cs="Arial"/>
          <w:lang w:val="it-IT"/>
        </w:rPr>
        <w:t xml:space="preserve"> aferente orașului Ianca</w:t>
      </w:r>
    </w:p>
    <w:tbl>
      <w:tblPr>
        <w:tblW w:w="0" w:type="auto"/>
        <w:jc w:val="center"/>
        <w:tblInd w:w="-721"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4222"/>
        <w:gridCol w:w="1084"/>
        <w:gridCol w:w="1084"/>
        <w:gridCol w:w="1224"/>
        <w:gridCol w:w="1285"/>
        <w:gridCol w:w="1084"/>
      </w:tblGrid>
      <w:tr w:rsidR="00012F90" w:rsidRPr="001E6183" w:rsidTr="00012F90">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012F90" w:rsidRPr="001E6183" w:rsidRDefault="00012F90" w:rsidP="00012F90">
            <w:pPr>
              <w:tabs>
                <w:tab w:val="center" w:pos="4680"/>
                <w:tab w:val="right" w:pos="9360"/>
              </w:tabs>
              <w:jc w:val="center"/>
              <w:rPr>
                <w:rFonts w:ascii="Arial" w:hAnsi="Arial" w:cs="Arial"/>
                <w:lang w:val="en-US"/>
              </w:rPr>
            </w:pP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A39B4" w:rsidRDefault="00012F90" w:rsidP="00012F90">
            <w:pPr>
              <w:tabs>
                <w:tab w:val="center" w:pos="4680"/>
                <w:tab w:val="right" w:pos="9360"/>
              </w:tabs>
              <w:jc w:val="center"/>
              <w:rPr>
                <w:rFonts w:ascii="Arial" w:hAnsi="Arial" w:cs="Arial"/>
                <w:b/>
                <w:lang w:val="en-US"/>
              </w:rPr>
            </w:pPr>
            <w:r w:rsidRPr="000A39B4">
              <w:rPr>
                <w:rFonts w:ascii="Arial" w:hAnsi="Arial" w:cs="Arial"/>
                <w:b/>
                <w:lang w:val="en-US"/>
              </w:rPr>
              <w:t>2010</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A39B4" w:rsidRDefault="00012F90" w:rsidP="00012F90">
            <w:pPr>
              <w:tabs>
                <w:tab w:val="center" w:pos="4680"/>
                <w:tab w:val="right" w:pos="9360"/>
              </w:tabs>
              <w:jc w:val="center"/>
              <w:rPr>
                <w:rFonts w:ascii="Arial" w:hAnsi="Arial" w:cs="Arial"/>
                <w:b/>
                <w:lang w:val="en-US"/>
              </w:rPr>
            </w:pPr>
            <w:r w:rsidRPr="000A39B4">
              <w:rPr>
                <w:rFonts w:ascii="Arial" w:hAnsi="Arial" w:cs="Arial"/>
                <w:b/>
                <w:lang w:val="en-US"/>
              </w:rPr>
              <w:t>2011</w:t>
            </w:r>
          </w:p>
        </w:tc>
        <w:tc>
          <w:tcPr>
            <w:tcW w:w="12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A39B4" w:rsidRDefault="00012F90" w:rsidP="00012F90">
            <w:pPr>
              <w:tabs>
                <w:tab w:val="center" w:pos="4680"/>
                <w:tab w:val="right" w:pos="9360"/>
              </w:tabs>
              <w:jc w:val="center"/>
              <w:rPr>
                <w:rFonts w:ascii="Arial" w:hAnsi="Arial" w:cs="Arial"/>
                <w:b/>
                <w:lang w:val="en-US"/>
              </w:rPr>
            </w:pPr>
            <w:r w:rsidRPr="000A39B4">
              <w:rPr>
                <w:rFonts w:ascii="Arial" w:hAnsi="Arial" w:cs="Arial"/>
                <w:b/>
                <w:lang w:val="en-US"/>
              </w:rPr>
              <w:t>2012</w:t>
            </w:r>
          </w:p>
        </w:tc>
        <w:tc>
          <w:tcPr>
            <w:tcW w:w="1285"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A39B4" w:rsidRDefault="00012F90" w:rsidP="00012F90">
            <w:pPr>
              <w:tabs>
                <w:tab w:val="center" w:pos="4680"/>
                <w:tab w:val="right" w:pos="9360"/>
              </w:tabs>
              <w:jc w:val="center"/>
              <w:rPr>
                <w:rFonts w:ascii="Arial" w:hAnsi="Arial" w:cs="Arial"/>
                <w:b/>
                <w:lang w:val="en-US"/>
              </w:rPr>
            </w:pPr>
            <w:r w:rsidRPr="000A39B4">
              <w:rPr>
                <w:rFonts w:ascii="Arial" w:hAnsi="Arial" w:cs="Arial"/>
                <w:b/>
                <w:lang w:val="en-US"/>
              </w:rPr>
              <w:t>2013</w:t>
            </w:r>
          </w:p>
        </w:tc>
        <w:tc>
          <w:tcPr>
            <w:tcW w:w="108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A39B4" w:rsidRDefault="00012F90" w:rsidP="00012F90">
            <w:pPr>
              <w:tabs>
                <w:tab w:val="center" w:pos="4680"/>
                <w:tab w:val="right" w:pos="9360"/>
              </w:tabs>
              <w:jc w:val="center"/>
              <w:rPr>
                <w:rFonts w:ascii="Arial" w:hAnsi="Arial" w:cs="Arial"/>
                <w:b/>
                <w:lang w:val="en-US"/>
              </w:rPr>
            </w:pPr>
            <w:r w:rsidRPr="000A39B4">
              <w:rPr>
                <w:rFonts w:ascii="Arial" w:hAnsi="Arial" w:cs="Arial"/>
                <w:b/>
                <w:lang w:val="en-US"/>
              </w:rPr>
              <w:t>2014</w:t>
            </w:r>
          </w:p>
        </w:tc>
      </w:tr>
      <w:tr w:rsidR="00012F90" w:rsidRPr="001E6183" w:rsidTr="00012F90">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tabs>
                <w:tab w:val="center" w:pos="4680"/>
                <w:tab w:val="right" w:pos="9360"/>
              </w:tabs>
              <w:rPr>
                <w:rFonts w:ascii="Arial" w:hAnsi="Arial" w:cs="Arial"/>
                <w:lang w:val="en-US"/>
              </w:rPr>
            </w:pPr>
            <w:r w:rsidRPr="001E6183">
              <w:rPr>
                <w:rFonts w:ascii="Arial" w:hAnsi="Arial" w:cs="Arial"/>
                <w:lang w:val="en-US"/>
              </w:rPr>
              <w:t>Suprafaţa</w:t>
            </w:r>
            <w:r w:rsidRPr="001E6183">
              <w:rPr>
                <w:rFonts w:ascii="Arial" w:hAnsi="Arial" w:cs="Arial"/>
              </w:rPr>
              <w:t xml:space="preserve"> totală</w:t>
            </w:r>
            <w:r w:rsidRPr="001E6183">
              <w:rPr>
                <w:rFonts w:ascii="Arial" w:hAnsi="Arial" w:cs="Arial"/>
                <w:lang w:val="en-US"/>
              </w:rPr>
              <w:t xml:space="preserve"> spaţii verzi/ha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29,06</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29,06</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37,15</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37,15</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38,28</w:t>
            </w:r>
          </w:p>
        </w:tc>
      </w:tr>
      <w:tr w:rsidR="00012F90" w:rsidRPr="001E6183" w:rsidTr="00012F90">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tabs>
                <w:tab w:val="center" w:pos="4680"/>
                <w:tab w:val="right" w:pos="9360"/>
              </w:tabs>
              <w:rPr>
                <w:rFonts w:ascii="Arial" w:hAnsi="Arial" w:cs="Arial"/>
                <w:lang w:val="en-US"/>
              </w:rPr>
            </w:pPr>
            <w:r w:rsidRPr="001E6183">
              <w:rPr>
                <w:rFonts w:ascii="Arial" w:hAnsi="Arial" w:cs="Arial"/>
                <w:lang w:val="en-US"/>
              </w:rPr>
              <w:t>Suprafață intravilan/ha</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1092,00</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1092,00</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1092,00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1092,00</w:t>
            </w:r>
          </w:p>
        </w:tc>
      </w:tr>
      <w:tr w:rsidR="00012F90" w:rsidRPr="001E6183" w:rsidTr="00012F90">
        <w:trPr>
          <w:trHeight w:val="894"/>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rPr>
                <w:rFonts w:ascii="Arial" w:hAnsi="Arial" w:cs="Arial"/>
                <w:lang w:val="en-US"/>
              </w:rPr>
            </w:pPr>
            <w:r w:rsidRPr="001E6183">
              <w:rPr>
                <w:rFonts w:ascii="Arial" w:hAnsi="Arial" w:cs="Arial"/>
              </w:rPr>
              <w:t xml:space="preserve">Procentul </w:t>
            </w:r>
            <w:r w:rsidRPr="001E6183">
              <w:rPr>
                <w:rFonts w:ascii="Arial" w:hAnsi="Arial" w:cs="Arial"/>
                <w:i/>
              </w:rPr>
              <w:t>(%)</w:t>
            </w:r>
            <w:r w:rsidRPr="001E6183">
              <w:rPr>
                <w:rFonts w:ascii="Arial" w:hAnsi="Arial" w:cs="Arial"/>
              </w:rPr>
              <w:t xml:space="preserve"> din suprafaţă intravilan reprezentat de </w:t>
            </w:r>
            <w:r w:rsidRPr="001E6183">
              <w:rPr>
                <w:rFonts w:ascii="Arial" w:hAnsi="Arial" w:cs="Arial"/>
                <w:i/>
              </w:rPr>
              <w:t>suprafaţa totală de spaţii verzi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p>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26,61</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p>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26,61</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p>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34,03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p>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34,03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p>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35,06</w:t>
            </w:r>
          </w:p>
        </w:tc>
      </w:tr>
      <w:tr w:rsidR="00012F90" w:rsidRPr="001E6183" w:rsidTr="00012F90">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rPr>
                <w:rFonts w:ascii="Arial" w:hAnsi="Arial" w:cs="Arial"/>
                <w:lang w:val="en-US"/>
              </w:rPr>
            </w:pPr>
            <w:r w:rsidRPr="001E6183">
              <w:rPr>
                <w:rFonts w:ascii="Arial" w:hAnsi="Arial" w:cs="Arial"/>
                <w:i/>
              </w:rPr>
              <w:t xml:space="preserve">Indicatorul </w:t>
            </w:r>
            <w:r w:rsidRPr="001E6183">
              <w:rPr>
                <w:rFonts w:ascii="Arial" w:hAnsi="Arial" w:cs="Arial"/>
              </w:rPr>
              <w:t xml:space="preserve">– suprafaţă de spaţiu verde  </w:t>
            </w:r>
            <w:r w:rsidRPr="001E6183">
              <w:rPr>
                <w:rFonts w:ascii="Arial" w:hAnsi="Arial" w:cs="Arial"/>
                <w:i/>
              </w:rPr>
              <w:t>m.p./locuitor</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26,15</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26,15</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35,92</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35,92</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37,01</w:t>
            </w:r>
          </w:p>
        </w:tc>
      </w:tr>
      <w:tr w:rsidR="00012F90" w:rsidRPr="001E6183" w:rsidTr="00012F90">
        <w:trPr>
          <w:jc w:val="center"/>
        </w:trPr>
        <w:tc>
          <w:tcPr>
            <w:tcW w:w="422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rPr>
                <w:rFonts w:ascii="Arial" w:hAnsi="Arial" w:cs="Arial"/>
              </w:rPr>
            </w:pPr>
            <w:r w:rsidRPr="001E6183">
              <w:rPr>
                <w:rFonts w:ascii="Arial" w:hAnsi="Arial" w:cs="Arial"/>
              </w:rPr>
              <w:t>Număr locuitori</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11110</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11110</w:t>
            </w:r>
          </w:p>
        </w:tc>
        <w:tc>
          <w:tcPr>
            <w:tcW w:w="12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10343</w:t>
            </w:r>
          </w:p>
        </w:tc>
        <w:tc>
          <w:tcPr>
            <w:tcW w:w="1285"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10343</w:t>
            </w:r>
          </w:p>
        </w:tc>
        <w:tc>
          <w:tcPr>
            <w:tcW w:w="108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10343</w:t>
            </w:r>
          </w:p>
        </w:tc>
      </w:tr>
    </w:tbl>
    <w:p w:rsidR="00012F90" w:rsidRPr="00446AEE" w:rsidRDefault="00012F90" w:rsidP="00012F90">
      <w:pPr>
        <w:jc w:val="both"/>
        <w:rPr>
          <w:rFonts w:ascii="Arial" w:hAnsi="Arial" w:cs="Arial"/>
          <w:b/>
        </w:rPr>
      </w:pPr>
    </w:p>
    <w:p w:rsidR="00012F90" w:rsidRPr="00446AEE" w:rsidRDefault="00012F90" w:rsidP="00012F90">
      <w:pPr>
        <w:jc w:val="center"/>
        <w:rPr>
          <w:rFonts w:ascii="Arial" w:hAnsi="Arial" w:cs="Arial"/>
          <w:b/>
        </w:rPr>
      </w:pPr>
      <w:r>
        <w:rPr>
          <w:rFonts w:ascii="Arial" w:hAnsi="Arial" w:cs="Arial"/>
          <w:b/>
          <w:noProof/>
          <w:lang w:val="ro-RO" w:eastAsia="ro-RO"/>
        </w:rPr>
        <w:lastRenderedPageBreak/>
        <w:drawing>
          <wp:inline distT="0" distB="0" distL="0" distR="0">
            <wp:extent cx="5067300" cy="2514600"/>
            <wp:effectExtent l="19050" t="0" r="19050" b="0"/>
            <wp:docPr id="95" name="Chart 1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29"/>
              </a:graphicData>
            </a:graphic>
          </wp:inline>
        </w:drawing>
      </w:r>
    </w:p>
    <w:p w:rsidR="00012F90" w:rsidRDefault="00012F90" w:rsidP="00012F90">
      <w:pPr>
        <w:jc w:val="both"/>
        <w:rPr>
          <w:rFonts w:ascii="Arial" w:hAnsi="Arial" w:cs="Arial"/>
          <w:b/>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- 3</w:t>
      </w:r>
      <w:r w:rsidRPr="000B6FBF">
        <w:rPr>
          <w:rFonts w:ascii="Arial" w:hAnsi="Arial" w:cs="Arial"/>
          <w:b/>
          <w:lang w:val="en-US"/>
        </w:rPr>
        <w:t xml:space="preserve"> </w:t>
      </w:r>
      <w:r w:rsidRPr="001E6183">
        <w:rPr>
          <w:rFonts w:ascii="Arial" w:hAnsi="Arial" w:cs="Arial"/>
        </w:rPr>
        <w:t xml:space="preserve">Suprafaţa spaţii verzi din total intravilan, 2010-2014 – </w:t>
      </w:r>
      <w:r w:rsidRPr="001E6183">
        <w:rPr>
          <w:rFonts w:ascii="Arial" w:hAnsi="Arial" w:cs="Arial"/>
          <w:b/>
        </w:rPr>
        <w:t>orașul Ianca</w:t>
      </w:r>
    </w:p>
    <w:p w:rsidR="004E468C" w:rsidRPr="001E6183" w:rsidRDefault="004E468C" w:rsidP="00012F90">
      <w:pPr>
        <w:jc w:val="both"/>
        <w:rPr>
          <w:rFonts w:ascii="Arial" w:hAnsi="Arial" w:cs="Arial"/>
          <w:b/>
        </w:rPr>
      </w:pPr>
    </w:p>
    <w:p w:rsidR="00012F90" w:rsidRPr="00446AEE" w:rsidRDefault="00012F90" w:rsidP="00012F90">
      <w:pPr>
        <w:jc w:val="center"/>
        <w:rPr>
          <w:rFonts w:ascii="Arial" w:hAnsi="Arial" w:cs="Arial"/>
        </w:rPr>
      </w:pPr>
      <w:r>
        <w:rPr>
          <w:rFonts w:ascii="Arial" w:hAnsi="Arial" w:cs="Arial"/>
          <w:noProof/>
          <w:lang w:val="ro-RO" w:eastAsia="ro-RO"/>
        </w:rPr>
        <w:drawing>
          <wp:inline distT="0" distB="0" distL="0" distR="0">
            <wp:extent cx="5334000" cy="2200275"/>
            <wp:effectExtent l="19050" t="0" r="19050" b="0"/>
            <wp:docPr id="96" name="Chart 14"/>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0"/>
              </a:graphicData>
            </a:graphic>
          </wp:inline>
        </w:drawing>
      </w:r>
    </w:p>
    <w:p w:rsidR="00012F90" w:rsidRDefault="00012F90" w:rsidP="00012F90">
      <w:pPr>
        <w:jc w:val="center"/>
        <w:rPr>
          <w:rFonts w:ascii="Arial" w:hAnsi="Arial" w:cs="Arial"/>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- 4</w:t>
      </w:r>
      <w:r w:rsidRPr="000B6FBF">
        <w:rPr>
          <w:rFonts w:ascii="Arial" w:hAnsi="Arial" w:cs="Arial"/>
          <w:b/>
          <w:lang w:val="en-US"/>
        </w:rPr>
        <w:t xml:space="preserve"> </w:t>
      </w:r>
      <w:r w:rsidRPr="001E6183">
        <w:rPr>
          <w:rFonts w:ascii="Arial" w:hAnsi="Arial" w:cs="Arial"/>
        </w:rPr>
        <w:t>Suprafața spațiu verde m.p./pe cap de locuitor din mediul urban, tendința 2010-</w:t>
      </w:r>
      <w:r>
        <w:rPr>
          <w:rFonts w:ascii="Arial" w:hAnsi="Arial" w:cs="Arial"/>
        </w:rPr>
        <w:t xml:space="preserve"> </w:t>
      </w:r>
      <w:r w:rsidRPr="001E6183">
        <w:rPr>
          <w:rFonts w:ascii="Arial" w:hAnsi="Arial" w:cs="Arial"/>
        </w:rPr>
        <w:t>2014 – orașul Ianca</w:t>
      </w:r>
    </w:p>
    <w:p w:rsidR="004E468C" w:rsidRPr="001E6183" w:rsidRDefault="004E468C" w:rsidP="00012F90">
      <w:pPr>
        <w:jc w:val="center"/>
        <w:rPr>
          <w:rFonts w:ascii="Arial" w:hAnsi="Arial" w:cs="Arial"/>
        </w:rPr>
      </w:pPr>
    </w:p>
    <w:p w:rsidR="00012F90" w:rsidRPr="000040F9" w:rsidRDefault="00012F90" w:rsidP="00012F90">
      <w:pPr>
        <w:jc w:val="both"/>
        <w:rPr>
          <w:rFonts w:ascii="Arial" w:hAnsi="Arial" w:cs="Arial"/>
          <w:b/>
          <w:lang w:val="it-IT"/>
        </w:rPr>
      </w:pPr>
      <w:r w:rsidRPr="000B6FBF">
        <w:rPr>
          <w:rFonts w:ascii="Arial" w:hAnsi="Arial" w:cs="Arial"/>
          <w:b/>
          <w:lang w:val="en-US"/>
        </w:rPr>
        <w:t xml:space="preserve">Tabel </w:t>
      </w:r>
      <w:r>
        <w:rPr>
          <w:rFonts w:ascii="Arial" w:hAnsi="Arial" w:cs="Arial"/>
          <w:b/>
          <w:lang w:val="en-US"/>
        </w:rPr>
        <w:t xml:space="preserve">nr. </w:t>
      </w:r>
      <w:r w:rsidRPr="000B6FBF">
        <w:rPr>
          <w:rFonts w:ascii="Arial" w:hAnsi="Arial" w:cs="Arial"/>
          <w:b/>
          <w:lang w:val="en-US"/>
        </w:rPr>
        <w:t>IX.1.</w:t>
      </w:r>
      <w:r>
        <w:rPr>
          <w:rFonts w:ascii="Arial" w:hAnsi="Arial" w:cs="Arial"/>
          <w:b/>
          <w:lang w:val="en-US"/>
        </w:rPr>
        <w:t>4</w:t>
      </w:r>
      <w:r w:rsidRPr="000B6FBF">
        <w:rPr>
          <w:rFonts w:ascii="Arial" w:hAnsi="Arial" w:cs="Arial"/>
          <w:b/>
          <w:lang w:val="en-US"/>
        </w:rPr>
        <w:t>.</w:t>
      </w:r>
      <w:r>
        <w:rPr>
          <w:rFonts w:ascii="Arial" w:hAnsi="Arial" w:cs="Arial"/>
          <w:b/>
          <w:lang w:val="en-US"/>
        </w:rPr>
        <w:t xml:space="preserve">1. - 3 </w:t>
      </w:r>
      <w:r w:rsidRPr="000040F9">
        <w:rPr>
          <w:rFonts w:ascii="Arial" w:hAnsi="Arial" w:cs="Arial"/>
        </w:rPr>
        <w:t>Situația spațiilor verzi</w:t>
      </w:r>
      <w:r w:rsidRPr="000040F9">
        <w:rPr>
          <w:rFonts w:ascii="Arial" w:hAnsi="Arial" w:cs="Arial"/>
          <w:lang w:val="it-IT"/>
        </w:rPr>
        <w:t xml:space="preserve"> aferente orașului </w:t>
      </w:r>
      <w:r w:rsidRPr="004A4EDC">
        <w:rPr>
          <w:rFonts w:ascii="Arial" w:hAnsi="Arial" w:cs="Arial"/>
          <w:lang w:val="it-IT"/>
        </w:rPr>
        <w:t>Însurăț</w:t>
      </w:r>
      <w:r w:rsidRPr="004A4EDC">
        <w:rPr>
          <w:rFonts w:ascii="Arial" w:hAnsi="Arial" w:cs="Arial"/>
          <w:b/>
          <w:lang w:val="it-IT"/>
        </w:rPr>
        <w:t>ei</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3"/>
        <w:gridCol w:w="1272"/>
        <w:gridCol w:w="1133"/>
        <w:gridCol w:w="1273"/>
        <w:gridCol w:w="1133"/>
        <w:gridCol w:w="1124"/>
      </w:tblGrid>
      <w:tr w:rsidR="00012F90" w:rsidRPr="001E6183"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tcPr>
          <w:p w:rsidR="00012F90" w:rsidRPr="000040F9" w:rsidRDefault="00012F90" w:rsidP="00012F90">
            <w:pPr>
              <w:tabs>
                <w:tab w:val="center" w:pos="4680"/>
                <w:tab w:val="right" w:pos="9360"/>
              </w:tabs>
              <w:jc w:val="center"/>
              <w:rPr>
                <w:rFonts w:ascii="Arial" w:hAnsi="Arial" w:cs="Arial"/>
                <w:b/>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040F9" w:rsidRDefault="00012F90" w:rsidP="00012F90">
            <w:pPr>
              <w:tabs>
                <w:tab w:val="center" w:pos="4680"/>
                <w:tab w:val="right" w:pos="9360"/>
              </w:tabs>
              <w:jc w:val="center"/>
              <w:rPr>
                <w:rFonts w:ascii="Arial" w:hAnsi="Arial" w:cs="Arial"/>
                <w:b/>
                <w:lang w:val="en-US"/>
              </w:rPr>
            </w:pPr>
            <w:r w:rsidRPr="000040F9">
              <w:rPr>
                <w:rFonts w:ascii="Arial" w:hAnsi="Arial" w:cs="Arial"/>
                <w:b/>
                <w:lang w:val="en-US"/>
              </w:rPr>
              <w:t>2010</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040F9" w:rsidRDefault="00012F90" w:rsidP="00012F90">
            <w:pPr>
              <w:tabs>
                <w:tab w:val="center" w:pos="4680"/>
                <w:tab w:val="right" w:pos="9360"/>
              </w:tabs>
              <w:jc w:val="center"/>
              <w:rPr>
                <w:rFonts w:ascii="Arial" w:hAnsi="Arial" w:cs="Arial"/>
                <w:b/>
                <w:lang w:val="en-US"/>
              </w:rPr>
            </w:pPr>
            <w:r w:rsidRPr="000040F9">
              <w:rPr>
                <w:rFonts w:ascii="Arial" w:hAnsi="Arial" w:cs="Arial"/>
                <w:b/>
                <w:lang w:val="en-US"/>
              </w:rPr>
              <w:t>2011</w:t>
            </w:r>
          </w:p>
        </w:tc>
        <w:tc>
          <w:tcPr>
            <w:tcW w:w="127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040F9" w:rsidRDefault="00012F90" w:rsidP="00012F90">
            <w:pPr>
              <w:tabs>
                <w:tab w:val="center" w:pos="4680"/>
                <w:tab w:val="right" w:pos="9360"/>
              </w:tabs>
              <w:jc w:val="center"/>
              <w:rPr>
                <w:rFonts w:ascii="Arial" w:hAnsi="Arial" w:cs="Arial"/>
                <w:b/>
                <w:lang w:val="en-US"/>
              </w:rPr>
            </w:pPr>
            <w:r w:rsidRPr="000040F9">
              <w:rPr>
                <w:rFonts w:ascii="Arial" w:hAnsi="Arial" w:cs="Arial"/>
                <w:b/>
                <w:lang w:val="en-US"/>
              </w:rPr>
              <w:t>2012</w:t>
            </w:r>
          </w:p>
        </w:tc>
        <w:tc>
          <w:tcPr>
            <w:tcW w:w="1133"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040F9" w:rsidRDefault="00012F90" w:rsidP="00012F90">
            <w:pPr>
              <w:tabs>
                <w:tab w:val="center" w:pos="4680"/>
                <w:tab w:val="right" w:pos="9360"/>
              </w:tabs>
              <w:jc w:val="center"/>
              <w:rPr>
                <w:rFonts w:ascii="Arial" w:hAnsi="Arial" w:cs="Arial"/>
                <w:b/>
                <w:lang w:val="en-US"/>
              </w:rPr>
            </w:pPr>
            <w:r w:rsidRPr="000040F9">
              <w:rPr>
                <w:rFonts w:ascii="Arial" w:hAnsi="Arial" w:cs="Arial"/>
                <w:b/>
                <w:lang w:val="en-US"/>
              </w:rPr>
              <w:t>2013</w:t>
            </w:r>
          </w:p>
        </w:tc>
        <w:tc>
          <w:tcPr>
            <w:tcW w:w="1124" w:type="dxa"/>
            <w:tcBorders>
              <w:top w:val="single" w:sz="4" w:space="0" w:color="000000"/>
              <w:left w:val="single" w:sz="4" w:space="0" w:color="000000"/>
              <w:bottom w:val="single" w:sz="4" w:space="0" w:color="000000"/>
              <w:right w:val="single" w:sz="4" w:space="0" w:color="000000"/>
            </w:tcBorders>
            <w:shd w:val="clear" w:color="auto" w:fill="D6E3BC" w:themeFill="accent3" w:themeFillTint="66"/>
            <w:vAlign w:val="center"/>
            <w:hideMark/>
          </w:tcPr>
          <w:p w:rsidR="00012F90" w:rsidRPr="000040F9" w:rsidRDefault="00012F90" w:rsidP="00012F90">
            <w:pPr>
              <w:tabs>
                <w:tab w:val="center" w:pos="4680"/>
                <w:tab w:val="right" w:pos="9360"/>
              </w:tabs>
              <w:jc w:val="center"/>
              <w:rPr>
                <w:rFonts w:ascii="Arial" w:hAnsi="Arial" w:cs="Arial"/>
                <w:b/>
                <w:lang w:val="en-US"/>
              </w:rPr>
            </w:pPr>
            <w:r w:rsidRPr="000040F9">
              <w:rPr>
                <w:rFonts w:ascii="Arial" w:hAnsi="Arial" w:cs="Arial"/>
                <w:b/>
                <w:lang w:val="en-US"/>
              </w:rPr>
              <w:t>2014</w:t>
            </w:r>
          </w:p>
        </w:tc>
      </w:tr>
      <w:tr w:rsidR="00012F90" w:rsidRPr="001E6183"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tabs>
                <w:tab w:val="center" w:pos="4680"/>
                <w:tab w:val="right" w:pos="9360"/>
              </w:tabs>
              <w:rPr>
                <w:rFonts w:ascii="Arial" w:hAnsi="Arial" w:cs="Arial"/>
                <w:lang w:val="en-US"/>
              </w:rPr>
            </w:pPr>
            <w:r w:rsidRPr="001E6183">
              <w:rPr>
                <w:rFonts w:ascii="Arial" w:hAnsi="Arial" w:cs="Arial"/>
                <w:lang w:val="en-US"/>
              </w:rPr>
              <w:t>Suprafaţa</w:t>
            </w:r>
            <w:r w:rsidRPr="001E6183">
              <w:rPr>
                <w:rFonts w:ascii="Arial" w:hAnsi="Arial" w:cs="Arial"/>
              </w:rPr>
              <w:t xml:space="preserve"> totală</w:t>
            </w:r>
            <w:r w:rsidRPr="001E6183">
              <w:rPr>
                <w:rFonts w:ascii="Arial" w:hAnsi="Arial" w:cs="Arial"/>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18,07</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18,07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18,07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18,07</w:t>
            </w:r>
          </w:p>
        </w:tc>
      </w:tr>
      <w:tr w:rsidR="00012F90" w:rsidRPr="001E6183"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tabs>
                <w:tab w:val="center" w:pos="4680"/>
                <w:tab w:val="right" w:pos="9360"/>
              </w:tabs>
              <w:rPr>
                <w:rFonts w:ascii="Arial" w:hAnsi="Arial" w:cs="Arial"/>
                <w:lang w:val="en-US"/>
              </w:rPr>
            </w:pPr>
            <w:r w:rsidRPr="001E6183">
              <w:rPr>
                <w:rFonts w:ascii="Arial" w:hAnsi="Arial" w:cs="Arial"/>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860,24</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860,24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860,24</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860,24</w:t>
            </w:r>
          </w:p>
        </w:tc>
      </w:tr>
      <w:tr w:rsidR="00012F90" w:rsidRPr="001E6183"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rPr>
                <w:rFonts w:ascii="Arial" w:hAnsi="Arial" w:cs="Arial"/>
                <w:lang w:val="en-US"/>
              </w:rPr>
            </w:pPr>
            <w:r w:rsidRPr="001E6183">
              <w:rPr>
                <w:rFonts w:ascii="Arial" w:hAnsi="Arial" w:cs="Arial"/>
              </w:rPr>
              <w:t xml:space="preserve">Procentul </w:t>
            </w:r>
            <w:r w:rsidRPr="001E6183">
              <w:rPr>
                <w:rFonts w:ascii="Arial" w:hAnsi="Arial" w:cs="Arial"/>
                <w:i/>
              </w:rPr>
              <w:t>(%)</w:t>
            </w:r>
            <w:r w:rsidRPr="001E6183">
              <w:rPr>
                <w:rFonts w:ascii="Arial" w:hAnsi="Arial" w:cs="Arial"/>
              </w:rPr>
              <w:t xml:space="preserve"> din suprafaţă intravilan reprezentat de </w:t>
            </w:r>
            <w:r w:rsidRPr="001E6183">
              <w:rPr>
                <w:rFonts w:ascii="Arial" w:hAnsi="Arial" w:cs="Arial"/>
                <w:i/>
              </w:rPr>
              <w:t>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2,1</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2,1</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2,1</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2,1</w:t>
            </w:r>
          </w:p>
        </w:tc>
      </w:tr>
      <w:tr w:rsidR="00012F90" w:rsidRPr="001E6183"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rPr>
                <w:rFonts w:ascii="Arial" w:hAnsi="Arial" w:cs="Arial"/>
                <w:lang w:val="en-US"/>
              </w:rPr>
            </w:pPr>
            <w:r w:rsidRPr="001E6183">
              <w:rPr>
                <w:rFonts w:ascii="Arial" w:hAnsi="Arial" w:cs="Arial"/>
                <w:i/>
              </w:rPr>
              <w:t xml:space="preserve">Indicatorul </w:t>
            </w:r>
            <w:r w:rsidRPr="001E6183">
              <w:rPr>
                <w:rFonts w:ascii="Arial" w:hAnsi="Arial" w:cs="Arial"/>
              </w:rPr>
              <w:t xml:space="preserve">– suprafaţă de spaţiu verde  </w:t>
            </w:r>
            <w:r w:rsidRPr="001E6183">
              <w:rPr>
                <w:rFonts w:ascii="Arial" w:hAnsi="Arial" w:cs="Arial"/>
                <w:i/>
              </w:rPr>
              <w:t>m.p./locuitor</w:t>
            </w:r>
            <w:r w:rsidRPr="001E6183">
              <w:rPr>
                <w:rFonts w:ascii="Arial" w:hAnsi="Arial" w:cs="Arial"/>
              </w:rPr>
              <w:t>;</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25,54</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25,54</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27,67</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27,67</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27,67</w:t>
            </w:r>
          </w:p>
        </w:tc>
      </w:tr>
      <w:tr w:rsidR="00012F90" w:rsidRPr="001E6183"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hideMark/>
          </w:tcPr>
          <w:p w:rsidR="00012F90" w:rsidRPr="001E6183" w:rsidRDefault="00012F90" w:rsidP="00012F90">
            <w:pPr>
              <w:rPr>
                <w:rFonts w:ascii="Arial" w:hAnsi="Arial" w:cs="Arial"/>
              </w:rPr>
            </w:pPr>
            <w:r w:rsidRPr="001E6183">
              <w:rPr>
                <w:rFonts w:ascii="Arial" w:hAnsi="Arial" w:cs="Arial"/>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7072</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7072</w:t>
            </w:r>
          </w:p>
        </w:tc>
        <w:tc>
          <w:tcPr>
            <w:tcW w:w="127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6258</w:t>
            </w:r>
          </w:p>
        </w:tc>
        <w:tc>
          <w:tcPr>
            <w:tcW w:w="1133"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6528</w:t>
            </w:r>
          </w:p>
        </w:tc>
        <w:tc>
          <w:tcPr>
            <w:tcW w:w="1124" w:type="dxa"/>
            <w:tcBorders>
              <w:top w:val="single" w:sz="4" w:space="0" w:color="000000"/>
              <w:left w:val="single" w:sz="4" w:space="0" w:color="000000"/>
              <w:bottom w:val="single" w:sz="4" w:space="0" w:color="000000"/>
              <w:right w:val="single" w:sz="4" w:space="0" w:color="000000"/>
            </w:tcBorders>
            <w:shd w:val="clear" w:color="auto" w:fill="EAF1DD" w:themeFill="accent3"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6528</w:t>
            </w:r>
          </w:p>
        </w:tc>
      </w:tr>
    </w:tbl>
    <w:p w:rsidR="00012F90" w:rsidRPr="00446AEE" w:rsidRDefault="00012F90" w:rsidP="00012F90">
      <w:pPr>
        <w:jc w:val="both"/>
        <w:rPr>
          <w:rFonts w:ascii="Arial" w:hAnsi="Arial" w:cs="Arial"/>
        </w:rPr>
      </w:pPr>
    </w:p>
    <w:p w:rsidR="00012F90" w:rsidRPr="00446AEE" w:rsidRDefault="00012F90" w:rsidP="00012F90">
      <w:pPr>
        <w:jc w:val="center"/>
        <w:rPr>
          <w:rFonts w:ascii="Arial" w:hAnsi="Arial" w:cs="Arial"/>
          <w:lang w:val="en-US"/>
        </w:rPr>
      </w:pPr>
      <w:r>
        <w:rPr>
          <w:rFonts w:ascii="Arial" w:hAnsi="Arial" w:cs="Arial"/>
          <w:noProof/>
          <w:lang w:val="ro-RO" w:eastAsia="ro-RO"/>
        </w:rPr>
        <w:lastRenderedPageBreak/>
        <w:drawing>
          <wp:inline distT="0" distB="0" distL="0" distR="0">
            <wp:extent cx="5162550" cy="2152650"/>
            <wp:effectExtent l="19050" t="0" r="19050" b="0"/>
            <wp:docPr id="97" name="Chart 15"/>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1"/>
              </a:graphicData>
            </a:graphic>
          </wp:inline>
        </w:drawing>
      </w:r>
    </w:p>
    <w:p w:rsidR="00012F90" w:rsidRDefault="00012F90" w:rsidP="00012F90">
      <w:pPr>
        <w:jc w:val="center"/>
        <w:rPr>
          <w:rFonts w:ascii="Arial" w:hAnsi="Arial" w:cs="Arial"/>
          <w:b/>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- 5</w:t>
      </w:r>
      <w:r w:rsidRPr="000B6FBF">
        <w:rPr>
          <w:rFonts w:ascii="Arial" w:hAnsi="Arial" w:cs="Arial"/>
          <w:b/>
          <w:lang w:val="en-US"/>
        </w:rPr>
        <w:t xml:space="preserve"> </w:t>
      </w:r>
      <w:r w:rsidRPr="001E6183">
        <w:rPr>
          <w:rFonts w:ascii="Arial" w:hAnsi="Arial" w:cs="Arial"/>
        </w:rPr>
        <w:t xml:space="preserve">Suprafaţa spaţii verzi din total intravilan, 2010-2014 – </w:t>
      </w:r>
      <w:r w:rsidRPr="000040F9">
        <w:rPr>
          <w:rFonts w:ascii="Arial" w:hAnsi="Arial" w:cs="Arial"/>
          <w:b/>
        </w:rPr>
        <w:t>orașul Însurăței</w:t>
      </w:r>
    </w:p>
    <w:p w:rsidR="004E468C" w:rsidRPr="00446AEE" w:rsidRDefault="004E468C" w:rsidP="00012F90">
      <w:pPr>
        <w:jc w:val="center"/>
        <w:rPr>
          <w:rFonts w:ascii="Arial" w:hAnsi="Arial" w:cs="Arial"/>
          <w:b/>
        </w:rPr>
      </w:pPr>
    </w:p>
    <w:p w:rsidR="00012F90" w:rsidRPr="00446AEE" w:rsidRDefault="00012F90" w:rsidP="00012F90">
      <w:pPr>
        <w:jc w:val="center"/>
        <w:rPr>
          <w:rFonts w:ascii="Arial" w:hAnsi="Arial" w:cs="Arial"/>
          <w:b/>
          <w:lang w:val="it-IT"/>
        </w:rPr>
      </w:pPr>
      <w:r>
        <w:rPr>
          <w:rFonts w:ascii="Arial" w:hAnsi="Arial" w:cs="Arial"/>
          <w:b/>
          <w:noProof/>
          <w:lang w:val="ro-RO" w:eastAsia="ro-RO"/>
        </w:rPr>
        <w:drawing>
          <wp:inline distT="0" distB="0" distL="0" distR="0">
            <wp:extent cx="5287645" cy="2273935"/>
            <wp:effectExtent l="19050" t="0" r="27305" b="0"/>
            <wp:docPr id="98" name="Chart 17"/>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2"/>
              </a:graphicData>
            </a:graphic>
          </wp:inline>
        </w:drawing>
      </w:r>
    </w:p>
    <w:p w:rsidR="00012F90" w:rsidRDefault="00012F90" w:rsidP="00012F90">
      <w:pPr>
        <w:jc w:val="center"/>
        <w:rPr>
          <w:rFonts w:ascii="Arial" w:hAnsi="Arial" w:cs="Arial"/>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- 6</w:t>
      </w:r>
      <w:r w:rsidRPr="000B6FBF">
        <w:rPr>
          <w:rFonts w:ascii="Arial" w:hAnsi="Arial" w:cs="Arial"/>
          <w:b/>
          <w:lang w:val="en-US"/>
        </w:rPr>
        <w:t xml:space="preserve"> </w:t>
      </w:r>
      <w:r w:rsidRPr="001E6183">
        <w:rPr>
          <w:rFonts w:ascii="Arial" w:hAnsi="Arial" w:cs="Arial"/>
        </w:rPr>
        <w:t>Suprafața spațiu verde m.p./pe cap de locuitor din mediul urban, tendința 2010-2014 – orașul Însurăței</w:t>
      </w:r>
    </w:p>
    <w:p w:rsidR="004E468C" w:rsidRPr="00446AEE" w:rsidRDefault="004E468C" w:rsidP="00012F90">
      <w:pPr>
        <w:jc w:val="center"/>
        <w:rPr>
          <w:rFonts w:ascii="Arial" w:hAnsi="Arial" w:cs="Arial"/>
          <w:b/>
          <w:lang w:val="it-IT"/>
        </w:rPr>
      </w:pPr>
    </w:p>
    <w:p w:rsidR="00012F90" w:rsidRPr="00446AEE" w:rsidRDefault="00012F90" w:rsidP="00012F90">
      <w:pPr>
        <w:jc w:val="both"/>
        <w:rPr>
          <w:rFonts w:ascii="Arial" w:hAnsi="Arial" w:cs="Arial"/>
          <w:b/>
          <w:lang w:val="it-IT"/>
        </w:rPr>
      </w:pPr>
      <w:r w:rsidRPr="000B6FBF">
        <w:rPr>
          <w:rFonts w:ascii="Arial" w:hAnsi="Arial" w:cs="Arial"/>
          <w:b/>
          <w:lang w:val="en-US"/>
        </w:rPr>
        <w:t xml:space="preserve">Tabel </w:t>
      </w:r>
      <w:r>
        <w:rPr>
          <w:rFonts w:ascii="Arial" w:hAnsi="Arial" w:cs="Arial"/>
          <w:b/>
          <w:lang w:val="en-US"/>
        </w:rPr>
        <w:t xml:space="preserve">nr. </w:t>
      </w:r>
      <w:r w:rsidRPr="000B6FBF">
        <w:rPr>
          <w:rFonts w:ascii="Arial" w:hAnsi="Arial" w:cs="Arial"/>
          <w:b/>
          <w:lang w:val="en-US"/>
        </w:rPr>
        <w:t>IX.1.</w:t>
      </w:r>
      <w:r>
        <w:rPr>
          <w:rFonts w:ascii="Arial" w:hAnsi="Arial" w:cs="Arial"/>
          <w:b/>
          <w:lang w:val="en-US"/>
        </w:rPr>
        <w:t>4</w:t>
      </w:r>
      <w:r w:rsidRPr="000B6FBF">
        <w:rPr>
          <w:rFonts w:ascii="Arial" w:hAnsi="Arial" w:cs="Arial"/>
          <w:b/>
          <w:lang w:val="en-US"/>
        </w:rPr>
        <w:t>.</w:t>
      </w:r>
      <w:r>
        <w:rPr>
          <w:rFonts w:ascii="Arial" w:hAnsi="Arial" w:cs="Arial"/>
          <w:b/>
          <w:lang w:val="en-US"/>
        </w:rPr>
        <w:t xml:space="preserve">1. – 4 </w:t>
      </w:r>
      <w:r w:rsidRPr="001E6183">
        <w:rPr>
          <w:rFonts w:ascii="Arial" w:hAnsi="Arial" w:cs="Arial"/>
        </w:rPr>
        <w:t>Situația spațiilor verzi</w:t>
      </w:r>
      <w:r w:rsidRPr="001E6183">
        <w:rPr>
          <w:rFonts w:ascii="Arial" w:hAnsi="Arial" w:cs="Arial"/>
          <w:lang w:val="it-IT"/>
        </w:rPr>
        <w:t xml:space="preserve"> aferente orașului Făurei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53"/>
        <w:gridCol w:w="1272"/>
        <w:gridCol w:w="1133"/>
        <w:gridCol w:w="1273"/>
        <w:gridCol w:w="1133"/>
        <w:gridCol w:w="1124"/>
      </w:tblGrid>
      <w:tr w:rsidR="00012F90" w:rsidRPr="007918D2"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12F90" w:rsidRPr="007918D2" w:rsidRDefault="00012F90" w:rsidP="00012F90">
            <w:pPr>
              <w:tabs>
                <w:tab w:val="center" w:pos="4680"/>
                <w:tab w:val="right" w:pos="9360"/>
              </w:tabs>
              <w:jc w:val="center"/>
              <w:rPr>
                <w:rFonts w:ascii="Arial" w:hAnsi="Arial" w:cs="Arial"/>
                <w:lang w:val="en-US"/>
              </w:rPr>
            </w:pPr>
          </w:p>
        </w:tc>
        <w:tc>
          <w:tcPr>
            <w:tcW w:w="1272"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2010</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2011</w:t>
            </w: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2012</w:t>
            </w:r>
          </w:p>
        </w:tc>
        <w:tc>
          <w:tcPr>
            <w:tcW w:w="113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2013</w:t>
            </w:r>
          </w:p>
        </w:tc>
        <w:tc>
          <w:tcPr>
            <w:tcW w:w="112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2014</w:t>
            </w:r>
          </w:p>
        </w:tc>
      </w:tr>
      <w:tr w:rsidR="00012F90" w:rsidRPr="007918D2"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7918D2" w:rsidRDefault="00012F90" w:rsidP="00012F90">
            <w:pPr>
              <w:tabs>
                <w:tab w:val="center" w:pos="4680"/>
                <w:tab w:val="right" w:pos="9360"/>
              </w:tabs>
              <w:rPr>
                <w:rFonts w:ascii="Arial" w:hAnsi="Arial" w:cs="Arial"/>
                <w:lang w:val="en-US"/>
              </w:rPr>
            </w:pPr>
            <w:r w:rsidRPr="007918D2">
              <w:rPr>
                <w:rFonts w:ascii="Arial" w:hAnsi="Arial" w:cs="Arial"/>
                <w:lang w:val="en-US"/>
              </w:rPr>
              <w:t>Suprafaţa</w:t>
            </w:r>
            <w:r w:rsidRPr="007918D2">
              <w:rPr>
                <w:rFonts w:ascii="Arial" w:hAnsi="Arial" w:cs="Arial"/>
              </w:rPr>
              <w:t xml:space="preserve"> totală</w:t>
            </w:r>
            <w:r w:rsidRPr="007918D2">
              <w:rPr>
                <w:rFonts w:ascii="Arial" w:hAnsi="Arial" w:cs="Arial"/>
                <w:lang w:val="en-US"/>
              </w:rPr>
              <w:t xml:space="preserve"> spaţii verzi/ha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5,63</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5,63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5,63</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5,63</w:t>
            </w:r>
          </w:p>
        </w:tc>
      </w:tr>
      <w:tr w:rsidR="00012F90" w:rsidRPr="007918D2"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7918D2" w:rsidRDefault="00012F90" w:rsidP="00012F90">
            <w:pPr>
              <w:tabs>
                <w:tab w:val="center" w:pos="4680"/>
                <w:tab w:val="right" w:pos="9360"/>
              </w:tabs>
              <w:rPr>
                <w:rFonts w:ascii="Arial" w:hAnsi="Arial" w:cs="Arial"/>
                <w:lang w:val="en-US"/>
              </w:rPr>
            </w:pPr>
            <w:r w:rsidRPr="007918D2">
              <w:rPr>
                <w:rFonts w:ascii="Arial" w:hAnsi="Arial" w:cs="Arial"/>
                <w:lang w:val="en-US"/>
              </w:rPr>
              <w:t>Suprafață intravilan/ha</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296,47</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296,47</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296,47</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296,47</w:t>
            </w:r>
          </w:p>
        </w:tc>
      </w:tr>
      <w:tr w:rsidR="00012F90" w:rsidRPr="007918D2"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7918D2" w:rsidRDefault="00012F90" w:rsidP="00012F90">
            <w:pPr>
              <w:rPr>
                <w:rFonts w:ascii="Arial" w:hAnsi="Arial" w:cs="Arial"/>
                <w:lang w:val="en-US"/>
              </w:rPr>
            </w:pPr>
            <w:r w:rsidRPr="007918D2">
              <w:rPr>
                <w:rFonts w:ascii="Arial" w:hAnsi="Arial" w:cs="Arial"/>
              </w:rPr>
              <w:t>Procentul (%) din suprafaţă intravilan reprezentat de suprafaţa totală de spaţii verzi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p>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p>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1,9</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p>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1,9</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p>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1,9</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p>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1,9296</w:t>
            </w:r>
          </w:p>
        </w:tc>
      </w:tr>
      <w:tr w:rsidR="00012F90" w:rsidRPr="007918D2"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7918D2" w:rsidRDefault="00012F90" w:rsidP="00012F90">
            <w:pPr>
              <w:rPr>
                <w:rFonts w:ascii="Arial" w:hAnsi="Arial" w:cs="Arial"/>
                <w:lang w:val="en-US"/>
              </w:rPr>
            </w:pPr>
            <w:r w:rsidRPr="007918D2">
              <w:rPr>
                <w:rFonts w:ascii="Arial" w:hAnsi="Arial" w:cs="Arial"/>
              </w:rPr>
              <w:t>Indicatorul – suprafaţă de spaţiu verde  m.p./locuitor;</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14,03</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14,03</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15,68</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15,68</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15,68</w:t>
            </w:r>
          </w:p>
        </w:tc>
      </w:tr>
      <w:tr w:rsidR="00012F90" w:rsidRPr="007918D2" w:rsidTr="00012F90">
        <w:trPr>
          <w:jc w:val="center"/>
        </w:trPr>
        <w:tc>
          <w:tcPr>
            <w:tcW w:w="335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7918D2" w:rsidRDefault="00012F90" w:rsidP="00012F90">
            <w:pPr>
              <w:rPr>
                <w:rFonts w:ascii="Arial" w:hAnsi="Arial" w:cs="Arial"/>
              </w:rPr>
            </w:pPr>
            <w:r w:rsidRPr="007918D2">
              <w:rPr>
                <w:rFonts w:ascii="Arial" w:hAnsi="Arial" w:cs="Arial"/>
              </w:rPr>
              <w:t>Număr locuitori</w:t>
            </w:r>
          </w:p>
        </w:tc>
        <w:tc>
          <w:tcPr>
            <w:tcW w:w="1272"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4015</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4015</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3592</w:t>
            </w:r>
          </w:p>
        </w:tc>
        <w:tc>
          <w:tcPr>
            <w:tcW w:w="113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3592</w:t>
            </w:r>
          </w:p>
        </w:tc>
        <w:tc>
          <w:tcPr>
            <w:tcW w:w="112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7918D2" w:rsidRDefault="00012F90" w:rsidP="00012F90">
            <w:pPr>
              <w:tabs>
                <w:tab w:val="center" w:pos="4680"/>
                <w:tab w:val="right" w:pos="9360"/>
              </w:tabs>
              <w:jc w:val="center"/>
              <w:rPr>
                <w:rFonts w:ascii="Arial" w:hAnsi="Arial" w:cs="Arial"/>
                <w:lang w:val="en-US"/>
              </w:rPr>
            </w:pPr>
            <w:r w:rsidRPr="007918D2">
              <w:rPr>
                <w:rFonts w:ascii="Arial" w:hAnsi="Arial" w:cs="Arial"/>
                <w:lang w:val="en-US"/>
              </w:rPr>
              <w:t>3592</w:t>
            </w:r>
          </w:p>
        </w:tc>
      </w:tr>
    </w:tbl>
    <w:p w:rsidR="00012F90" w:rsidRPr="00446AEE" w:rsidRDefault="00012F90" w:rsidP="00012F90">
      <w:pPr>
        <w:jc w:val="both"/>
        <w:rPr>
          <w:rFonts w:ascii="Arial" w:hAnsi="Arial" w:cs="Arial"/>
        </w:rPr>
      </w:pPr>
    </w:p>
    <w:p w:rsidR="00012F90" w:rsidRDefault="00012F90" w:rsidP="00012F90">
      <w:pPr>
        <w:jc w:val="center"/>
        <w:rPr>
          <w:rFonts w:ascii="Arial" w:hAnsi="Arial" w:cs="Arial"/>
          <w:lang w:val="en-US"/>
        </w:rPr>
      </w:pPr>
      <w:r w:rsidRPr="00F31BB6">
        <w:rPr>
          <w:rFonts w:ascii="Arial" w:hAnsi="Arial" w:cs="Arial"/>
          <w:noProof/>
          <w:shd w:val="clear" w:color="auto" w:fill="DAEEF3" w:themeFill="accent5" w:themeFillTint="33"/>
          <w:lang w:val="ro-RO" w:eastAsia="ro-RO"/>
        </w:rPr>
        <w:lastRenderedPageBreak/>
        <w:drawing>
          <wp:inline distT="0" distB="0" distL="0" distR="0">
            <wp:extent cx="5497195" cy="2220595"/>
            <wp:effectExtent l="19050" t="0" r="27305" b="8255"/>
            <wp:docPr id="99" name="Chart 18"/>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3"/>
              </a:graphicData>
            </a:graphic>
          </wp:inline>
        </w:drawing>
      </w:r>
    </w:p>
    <w:p w:rsidR="004E468C" w:rsidRPr="00446AEE" w:rsidRDefault="004E468C" w:rsidP="00012F90">
      <w:pPr>
        <w:jc w:val="center"/>
        <w:rPr>
          <w:rFonts w:ascii="Arial" w:hAnsi="Arial" w:cs="Arial"/>
          <w:lang w:val="en-US"/>
        </w:rPr>
      </w:pPr>
    </w:p>
    <w:p w:rsidR="00012F90" w:rsidRDefault="00012F90" w:rsidP="00012F90">
      <w:pPr>
        <w:jc w:val="center"/>
        <w:rPr>
          <w:rFonts w:ascii="Arial" w:hAnsi="Arial" w:cs="Arial"/>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- 7</w:t>
      </w:r>
      <w:r w:rsidRPr="000B6FBF">
        <w:rPr>
          <w:rFonts w:ascii="Arial" w:hAnsi="Arial" w:cs="Arial"/>
          <w:b/>
          <w:lang w:val="en-US"/>
        </w:rPr>
        <w:t xml:space="preserve"> </w:t>
      </w:r>
      <w:r w:rsidRPr="001E6183">
        <w:rPr>
          <w:rFonts w:ascii="Arial" w:hAnsi="Arial" w:cs="Arial"/>
        </w:rPr>
        <w:t>Suprafaţa spaţii verzi din total intravilan</w:t>
      </w:r>
      <w:r>
        <w:rPr>
          <w:rFonts w:ascii="Arial" w:hAnsi="Arial" w:cs="Arial"/>
        </w:rPr>
        <w:t xml:space="preserve"> </w:t>
      </w:r>
      <w:r w:rsidRPr="001E6183">
        <w:rPr>
          <w:rFonts w:ascii="Arial" w:hAnsi="Arial" w:cs="Arial"/>
        </w:rPr>
        <w:t>( 2010-20114) – orașul Făurei</w:t>
      </w:r>
    </w:p>
    <w:p w:rsidR="004E468C" w:rsidRPr="001E6183" w:rsidRDefault="004E468C" w:rsidP="00012F90">
      <w:pPr>
        <w:jc w:val="center"/>
        <w:rPr>
          <w:rFonts w:ascii="Arial" w:hAnsi="Arial" w:cs="Arial"/>
        </w:rPr>
      </w:pPr>
    </w:p>
    <w:p w:rsidR="00012F90" w:rsidRPr="00446AEE" w:rsidRDefault="00012F90" w:rsidP="00012F90">
      <w:pPr>
        <w:jc w:val="center"/>
        <w:rPr>
          <w:rFonts w:ascii="Arial" w:hAnsi="Arial" w:cs="Arial"/>
          <w:lang w:val="en-US"/>
        </w:rPr>
      </w:pPr>
      <w:r>
        <w:rPr>
          <w:rFonts w:ascii="Arial" w:hAnsi="Arial" w:cs="Arial"/>
          <w:noProof/>
          <w:lang w:val="ro-RO" w:eastAsia="ro-RO"/>
        </w:rPr>
        <w:drawing>
          <wp:inline distT="0" distB="0" distL="0" distR="0">
            <wp:extent cx="5507990" cy="2275205"/>
            <wp:effectExtent l="19050" t="0" r="16510" b="0"/>
            <wp:docPr id="100" name="Chart 1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4"/>
              </a:graphicData>
            </a:graphic>
          </wp:inline>
        </w:drawing>
      </w:r>
    </w:p>
    <w:p w:rsidR="00012F90" w:rsidRDefault="00012F90" w:rsidP="00012F90">
      <w:pPr>
        <w:jc w:val="both"/>
        <w:rPr>
          <w:rFonts w:ascii="Arial" w:hAnsi="Arial" w:cs="Arial"/>
          <w:lang w:val="it-IT"/>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- 8</w:t>
      </w:r>
      <w:r w:rsidRPr="000B6FBF">
        <w:rPr>
          <w:rFonts w:ascii="Arial" w:hAnsi="Arial" w:cs="Arial"/>
          <w:b/>
          <w:lang w:val="en-US"/>
        </w:rPr>
        <w:t xml:space="preserve"> </w:t>
      </w:r>
      <w:r w:rsidRPr="001E6183">
        <w:rPr>
          <w:rFonts w:ascii="Arial" w:hAnsi="Arial" w:cs="Arial"/>
        </w:rPr>
        <w:t>Suprafața spațiu verde m.p./pe cap de locuitor din mediul urban, tendința (2010-2014) – orașul Făurei</w:t>
      </w:r>
      <w:r w:rsidRPr="001E6183">
        <w:rPr>
          <w:rFonts w:ascii="Arial" w:hAnsi="Arial" w:cs="Arial"/>
          <w:lang w:val="it-IT"/>
        </w:rPr>
        <w:t xml:space="preserve"> </w:t>
      </w:r>
    </w:p>
    <w:p w:rsidR="004E468C" w:rsidRPr="001E6183" w:rsidRDefault="004E468C" w:rsidP="00012F90">
      <w:pPr>
        <w:jc w:val="both"/>
        <w:rPr>
          <w:rFonts w:ascii="Arial" w:hAnsi="Arial" w:cs="Arial"/>
          <w:lang w:val="it-IT"/>
        </w:rPr>
      </w:pPr>
    </w:p>
    <w:p w:rsidR="00012F90" w:rsidRPr="00F31BB6" w:rsidRDefault="00012F90" w:rsidP="00012F90">
      <w:pPr>
        <w:jc w:val="both"/>
        <w:rPr>
          <w:rFonts w:ascii="Arial" w:hAnsi="Arial" w:cs="Arial"/>
          <w:b/>
          <w:lang w:val="it-IT"/>
        </w:rPr>
      </w:pPr>
      <w:r w:rsidRPr="000B6FBF">
        <w:rPr>
          <w:rFonts w:ascii="Arial" w:hAnsi="Arial" w:cs="Arial"/>
          <w:b/>
          <w:lang w:val="en-US"/>
        </w:rPr>
        <w:t xml:space="preserve">Tabel </w:t>
      </w:r>
      <w:r>
        <w:rPr>
          <w:rFonts w:ascii="Arial" w:hAnsi="Arial" w:cs="Arial"/>
          <w:b/>
          <w:lang w:val="en-US"/>
        </w:rPr>
        <w:t xml:space="preserve">nr. </w:t>
      </w:r>
      <w:r w:rsidRPr="000B6FBF">
        <w:rPr>
          <w:rFonts w:ascii="Arial" w:hAnsi="Arial" w:cs="Arial"/>
          <w:b/>
          <w:lang w:val="en-US"/>
        </w:rPr>
        <w:t>IX.1.</w:t>
      </w:r>
      <w:r>
        <w:rPr>
          <w:rFonts w:ascii="Arial" w:hAnsi="Arial" w:cs="Arial"/>
          <w:b/>
          <w:lang w:val="en-US"/>
        </w:rPr>
        <w:t>4</w:t>
      </w:r>
      <w:r w:rsidRPr="000B6FBF">
        <w:rPr>
          <w:rFonts w:ascii="Arial" w:hAnsi="Arial" w:cs="Arial"/>
          <w:b/>
          <w:lang w:val="en-US"/>
        </w:rPr>
        <w:t>.</w:t>
      </w:r>
      <w:r>
        <w:rPr>
          <w:rFonts w:ascii="Arial" w:hAnsi="Arial" w:cs="Arial"/>
          <w:b/>
          <w:lang w:val="en-US"/>
        </w:rPr>
        <w:t xml:space="preserve">1. – 5  </w:t>
      </w:r>
      <w:r w:rsidRPr="00F31BB6">
        <w:rPr>
          <w:rFonts w:ascii="Arial" w:hAnsi="Arial" w:cs="Arial"/>
        </w:rPr>
        <w:t>Evoluţia suprafeţei totale a spaţiilor verzi din aglomerările urbane, pentru o perioadă de cinci ani (2010-2014) respectiv evoluţia suprafeţei spaţiilor verzi pe cap de locuitor din mediul urban, tendinţă în ultimii cinci ani (2010-2014), la nivelul județului Brăila :</w:t>
      </w: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347"/>
        <w:gridCol w:w="1273"/>
        <w:gridCol w:w="1134"/>
        <w:gridCol w:w="1274"/>
        <w:gridCol w:w="1134"/>
        <w:gridCol w:w="1126"/>
      </w:tblGrid>
      <w:tr w:rsidR="00012F90" w:rsidRPr="001E6183"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tcPr>
          <w:p w:rsidR="00012F90" w:rsidRDefault="00012F90" w:rsidP="00012F90">
            <w:pPr>
              <w:ind w:firstLine="708"/>
              <w:jc w:val="center"/>
              <w:rPr>
                <w:rFonts w:ascii="Arial" w:hAnsi="Arial" w:cs="Arial"/>
                <w:b/>
              </w:rPr>
            </w:pPr>
          </w:p>
          <w:p w:rsidR="00012F90" w:rsidRPr="00F31BB6" w:rsidRDefault="00012F90" w:rsidP="00012F90">
            <w:pPr>
              <w:ind w:firstLine="708"/>
              <w:jc w:val="center"/>
              <w:rPr>
                <w:rFonts w:ascii="Arial" w:hAnsi="Arial" w:cs="Arial"/>
                <w:b/>
                <w:lang w:val="it-IT"/>
              </w:rPr>
            </w:pPr>
            <w:r>
              <w:rPr>
                <w:rFonts w:ascii="Arial" w:hAnsi="Arial" w:cs="Arial"/>
                <w:b/>
              </w:rPr>
              <w:t>N</w:t>
            </w:r>
            <w:r w:rsidRPr="00F31BB6">
              <w:rPr>
                <w:rFonts w:ascii="Arial" w:hAnsi="Arial" w:cs="Arial"/>
                <w:b/>
              </w:rPr>
              <w:t>ivel județ Brăila</w:t>
            </w:r>
          </w:p>
          <w:p w:rsidR="00012F90" w:rsidRPr="00F31BB6" w:rsidRDefault="00012F90" w:rsidP="00012F90">
            <w:pPr>
              <w:tabs>
                <w:tab w:val="center" w:pos="4680"/>
                <w:tab w:val="right" w:pos="9360"/>
              </w:tabs>
              <w:jc w:val="center"/>
              <w:rPr>
                <w:rFonts w:ascii="Arial" w:hAnsi="Arial" w:cs="Arial"/>
                <w:b/>
                <w:lang w:val="en-US"/>
              </w:rPr>
            </w:pPr>
          </w:p>
        </w:tc>
        <w:tc>
          <w:tcPr>
            <w:tcW w:w="1273"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F31BB6" w:rsidRDefault="00012F90" w:rsidP="00012F90">
            <w:pPr>
              <w:tabs>
                <w:tab w:val="center" w:pos="4680"/>
                <w:tab w:val="right" w:pos="9360"/>
              </w:tabs>
              <w:jc w:val="center"/>
              <w:rPr>
                <w:rFonts w:ascii="Arial" w:hAnsi="Arial" w:cs="Arial"/>
                <w:b/>
                <w:lang w:val="en-US"/>
              </w:rPr>
            </w:pPr>
            <w:r w:rsidRPr="00F31BB6">
              <w:rPr>
                <w:rFonts w:ascii="Arial" w:hAnsi="Arial" w:cs="Arial"/>
                <w:b/>
                <w:lang w:val="en-US"/>
              </w:rPr>
              <w:t>2010</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F31BB6" w:rsidRDefault="00012F90" w:rsidP="00012F90">
            <w:pPr>
              <w:tabs>
                <w:tab w:val="center" w:pos="4680"/>
                <w:tab w:val="right" w:pos="9360"/>
              </w:tabs>
              <w:jc w:val="center"/>
              <w:rPr>
                <w:rFonts w:ascii="Arial" w:hAnsi="Arial" w:cs="Arial"/>
                <w:b/>
                <w:lang w:val="en-US"/>
              </w:rPr>
            </w:pPr>
            <w:r w:rsidRPr="00F31BB6">
              <w:rPr>
                <w:rFonts w:ascii="Arial" w:hAnsi="Arial" w:cs="Arial"/>
                <w:b/>
                <w:lang w:val="en-US"/>
              </w:rPr>
              <w:t>2011</w:t>
            </w:r>
          </w:p>
        </w:tc>
        <w:tc>
          <w:tcPr>
            <w:tcW w:w="127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F31BB6" w:rsidRDefault="00012F90" w:rsidP="00012F90">
            <w:pPr>
              <w:tabs>
                <w:tab w:val="center" w:pos="4680"/>
                <w:tab w:val="right" w:pos="9360"/>
              </w:tabs>
              <w:jc w:val="center"/>
              <w:rPr>
                <w:rFonts w:ascii="Arial" w:hAnsi="Arial" w:cs="Arial"/>
                <w:b/>
                <w:lang w:val="en-US"/>
              </w:rPr>
            </w:pPr>
            <w:r w:rsidRPr="00F31BB6">
              <w:rPr>
                <w:rFonts w:ascii="Arial" w:hAnsi="Arial" w:cs="Arial"/>
                <w:b/>
                <w:lang w:val="en-US"/>
              </w:rPr>
              <w:t>2012</w:t>
            </w:r>
          </w:p>
        </w:tc>
        <w:tc>
          <w:tcPr>
            <w:tcW w:w="1134"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F31BB6" w:rsidRDefault="00012F90" w:rsidP="00012F90">
            <w:pPr>
              <w:tabs>
                <w:tab w:val="center" w:pos="4680"/>
                <w:tab w:val="right" w:pos="9360"/>
              </w:tabs>
              <w:jc w:val="center"/>
              <w:rPr>
                <w:rFonts w:ascii="Arial" w:hAnsi="Arial" w:cs="Arial"/>
                <w:b/>
                <w:lang w:val="en-US"/>
              </w:rPr>
            </w:pPr>
            <w:r w:rsidRPr="00F31BB6">
              <w:rPr>
                <w:rFonts w:ascii="Arial" w:hAnsi="Arial" w:cs="Arial"/>
                <w:b/>
                <w:lang w:val="en-US"/>
              </w:rPr>
              <w:t>2013</w:t>
            </w:r>
          </w:p>
        </w:tc>
        <w:tc>
          <w:tcPr>
            <w:tcW w:w="1126" w:type="dxa"/>
            <w:tcBorders>
              <w:top w:val="single" w:sz="4" w:space="0" w:color="000000"/>
              <w:left w:val="single" w:sz="4" w:space="0" w:color="000000"/>
              <w:bottom w:val="single" w:sz="4" w:space="0" w:color="000000"/>
              <w:right w:val="single" w:sz="4" w:space="0" w:color="000000"/>
            </w:tcBorders>
            <w:shd w:val="clear" w:color="auto" w:fill="FBD4B4" w:themeFill="accent6" w:themeFillTint="66"/>
            <w:vAlign w:val="center"/>
            <w:hideMark/>
          </w:tcPr>
          <w:p w:rsidR="00012F90" w:rsidRPr="00F31BB6" w:rsidRDefault="00012F90" w:rsidP="00012F90">
            <w:pPr>
              <w:tabs>
                <w:tab w:val="center" w:pos="4680"/>
                <w:tab w:val="right" w:pos="9360"/>
              </w:tabs>
              <w:jc w:val="center"/>
              <w:rPr>
                <w:rFonts w:ascii="Arial" w:hAnsi="Arial" w:cs="Arial"/>
                <w:b/>
                <w:lang w:val="en-US"/>
              </w:rPr>
            </w:pPr>
            <w:r w:rsidRPr="00F31BB6">
              <w:rPr>
                <w:rFonts w:ascii="Arial" w:hAnsi="Arial" w:cs="Arial"/>
                <w:b/>
                <w:lang w:val="en-US"/>
              </w:rPr>
              <w:t>2014</w:t>
            </w:r>
          </w:p>
        </w:tc>
      </w:tr>
      <w:tr w:rsidR="00012F90" w:rsidRPr="001E6183"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1E6183" w:rsidRDefault="00012F90" w:rsidP="00012F90">
            <w:pPr>
              <w:tabs>
                <w:tab w:val="center" w:pos="4680"/>
                <w:tab w:val="right" w:pos="9360"/>
              </w:tabs>
              <w:rPr>
                <w:rFonts w:ascii="Arial" w:hAnsi="Arial" w:cs="Arial"/>
                <w:lang w:val="en-US"/>
              </w:rPr>
            </w:pPr>
            <w:r w:rsidRPr="001E6183">
              <w:rPr>
                <w:rFonts w:ascii="Arial" w:hAnsi="Arial" w:cs="Arial"/>
                <w:lang w:val="en-US"/>
              </w:rPr>
              <w:t>Suprafaţa</w:t>
            </w:r>
            <w:r w:rsidRPr="001E6183">
              <w:rPr>
                <w:rFonts w:ascii="Arial" w:hAnsi="Arial" w:cs="Arial"/>
              </w:rPr>
              <w:t xml:space="preserve"> totală</w:t>
            </w:r>
            <w:r w:rsidRPr="001E6183">
              <w:rPr>
                <w:rFonts w:ascii="Arial" w:hAnsi="Arial" w:cs="Arial"/>
                <w:lang w:val="en-US"/>
              </w:rPr>
              <w:t xml:space="preserve"> spaţii verzi/ha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524,22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524,22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532,31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532,31</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533,44</w:t>
            </w:r>
          </w:p>
        </w:tc>
      </w:tr>
      <w:tr w:rsidR="00012F90" w:rsidRPr="001E6183"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1E6183" w:rsidRDefault="00012F90" w:rsidP="00012F90">
            <w:pPr>
              <w:tabs>
                <w:tab w:val="center" w:pos="4680"/>
                <w:tab w:val="right" w:pos="9360"/>
              </w:tabs>
              <w:rPr>
                <w:rFonts w:ascii="Arial" w:hAnsi="Arial" w:cs="Arial"/>
                <w:lang w:val="en-US"/>
              </w:rPr>
            </w:pPr>
            <w:r w:rsidRPr="001E6183">
              <w:rPr>
                <w:rFonts w:ascii="Arial" w:hAnsi="Arial" w:cs="Arial"/>
                <w:lang w:val="en-US"/>
              </w:rPr>
              <w:t>Suprafață intravilan/ha</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6450,12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6450,12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6450,12</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6450,12</w:t>
            </w:r>
          </w:p>
        </w:tc>
      </w:tr>
      <w:tr w:rsidR="00012F90" w:rsidRPr="001E6183"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1E6183" w:rsidRDefault="00012F90" w:rsidP="00012F90">
            <w:pPr>
              <w:rPr>
                <w:rFonts w:ascii="Arial" w:hAnsi="Arial" w:cs="Arial"/>
                <w:lang w:val="en-US"/>
              </w:rPr>
            </w:pPr>
            <w:r w:rsidRPr="001E6183">
              <w:rPr>
                <w:rFonts w:ascii="Arial" w:hAnsi="Arial" w:cs="Arial"/>
              </w:rPr>
              <w:t>Procentul (%) din suprafaţă intravilan reprezentat de suprafaţa totală de spaţii verzi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8,02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8,02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8,14</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8,14</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8,16</w:t>
            </w:r>
          </w:p>
        </w:tc>
      </w:tr>
      <w:tr w:rsidR="00012F90" w:rsidRPr="001E6183"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1E6183" w:rsidRDefault="00012F90" w:rsidP="00012F90">
            <w:pPr>
              <w:rPr>
                <w:rFonts w:ascii="Arial" w:hAnsi="Arial" w:cs="Arial"/>
                <w:lang w:val="en-US"/>
              </w:rPr>
            </w:pPr>
            <w:r w:rsidRPr="001E6183">
              <w:rPr>
                <w:rFonts w:ascii="Arial" w:hAnsi="Arial" w:cs="Arial"/>
              </w:rPr>
              <w:t>Indicatorul – suprafaţă de spaţiu verde  m.p./locuitor</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22,55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22,55</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26,51</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26,51</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26,57</w:t>
            </w:r>
          </w:p>
        </w:tc>
      </w:tr>
      <w:tr w:rsidR="00012F90" w:rsidRPr="001E6183" w:rsidTr="00012F90">
        <w:trPr>
          <w:jc w:val="center"/>
        </w:trPr>
        <w:tc>
          <w:tcPr>
            <w:tcW w:w="3347"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hideMark/>
          </w:tcPr>
          <w:p w:rsidR="00012F90" w:rsidRPr="001E6183" w:rsidRDefault="00012F90" w:rsidP="00012F90">
            <w:pPr>
              <w:rPr>
                <w:rFonts w:ascii="Arial" w:hAnsi="Arial" w:cs="Arial"/>
              </w:rPr>
            </w:pPr>
            <w:r w:rsidRPr="001E6183">
              <w:rPr>
                <w:rFonts w:ascii="Arial" w:hAnsi="Arial" w:cs="Arial"/>
              </w:rPr>
              <w:t>Număr locuitori</w:t>
            </w:r>
          </w:p>
        </w:tc>
        <w:tc>
          <w:tcPr>
            <w:tcW w:w="1273"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232442</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232442</w:t>
            </w:r>
          </w:p>
        </w:tc>
        <w:tc>
          <w:tcPr>
            <w:tcW w:w="127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200765</w:t>
            </w:r>
          </w:p>
        </w:tc>
        <w:tc>
          <w:tcPr>
            <w:tcW w:w="1134"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200765</w:t>
            </w:r>
          </w:p>
        </w:tc>
        <w:tc>
          <w:tcPr>
            <w:tcW w:w="1126" w:type="dxa"/>
            <w:tcBorders>
              <w:top w:val="single" w:sz="4" w:space="0" w:color="000000"/>
              <w:left w:val="single" w:sz="4" w:space="0" w:color="000000"/>
              <w:bottom w:val="single" w:sz="4" w:space="0" w:color="000000"/>
              <w:right w:val="single" w:sz="4" w:space="0" w:color="000000"/>
            </w:tcBorders>
            <w:shd w:val="clear" w:color="auto" w:fill="FDE9D9" w:themeFill="accent6" w:themeFillTint="33"/>
            <w:vAlign w:val="center"/>
          </w:tcPr>
          <w:p w:rsidR="00012F90" w:rsidRPr="001E6183" w:rsidRDefault="00012F90" w:rsidP="00012F90">
            <w:pPr>
              <w:tabs>
                <w:tab w:val="center" w:pos="4680"/>
                <w:tab w:val="right" w:pos="9360"/>
              </w:tabs>
              <w:jc w:val="center"/>
              <w:rPr>
                <w:rFonts w:ascii="Arial" w:hAnsi="Arial" w:cs="Arial"/>
                <w:lang w:val="en-US"/>
              </w:rPr>
            </w:pPr>
            <w:r w:rsidRPr="001E6183">
              <w:rPr>
                <w:rFonts w:ascii="Arial" w:hAnsi="Arial" w:cs="Arial"/>
                <w:lang w:val="en-US"/>
              </w:rPr>
              <w:t>200765</w:t>
            </w:r>
          </w:p>
        </w:tc>
      </w:tr>
    </w:tbl>
    <w:p w:rsidR="00012F90" w:rsidRPr="00446AEE" w:rsidRDefault="00012F90" w:rsidP="00012F90">
      <w:pPr>
        <w:pStyle w:val="Heading4"/>
        <w:tabs>
          <w:tab w:val="num" w:pos="709"/>
          <w:tab w:val="left" w:pos="851"/>
        </w:tabs>
        <w:spacing w:before="0" w:after="0" w:line="276" w:lineRule="auto"/>
        <w:ind w:left="709" w:hanging="709"/>
        <w:jc w:val="both"/>
        <w:rPr>
          <w:rFonts w:ascii="Arial" w:hAnsi="Arial" w:cs="Arial"/>
          <w:color w:val="000000"/>
          <w:sz w:val="24"/>
          <w:szCs w:val="24"/>
          <w:lang w:val="ro-RO"/>
        </w:rPr>
      </w:pPr>
    </w:p>
    <w:p w:rsidR="00012F90" w:rsidRPr="00446AEE" w:rsidRDefault="00012F90" w:rsidP="00012F90">
      <w:pPr>
        <w:ind w:right="-567"/>
        <w:jc w:val="center"/>
        <w:rPr>
          <w:rFonts w:ascii="Arial" w:hAnsi="Arial" w:cs="Arial"/>
        </w:rPr>
      </w:pPr>
      <w:r w:rsidRPr="00F31BB6">
        <w:rPr>
          <w:rFonts w:ascii="Arial" w:hAnsi="Arial" w:cs="Arial"/>
          <w:noProof/>
          <w:shd w:val="clear" w:color="auto" w:fill="F2DBDB" w:themeFill="accent2" w:themeFillTint="33"/>
          <w:lang w:val="ro-RO" w:eastAsia="ro-RO"/>
        </w:rPr>
        <w:drawing>
          <wp:inline distT="0" distB="0" distL="0" distR="0">
            <wp:extent cx="4924425" cy="2571750"/>
            <wp:effectExtent l="19050" t="0" r="9525" b="0"/>
            <wp:docPr id="101" name="Chart 20"/>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5"/>
              </a:graphicData>
            </a:graphic>
          </wp:inline>
        </w:drawing>
      </w:r>
    </w:p>
    <w:p w:rsidR="00012F90" w:rsidRDefault="00012F90" w:rsidP="00012F90">
      <w:pPr>
        <w:rPr>
          <w:rFonts w:ascii="Arial" w:hAnsi="Arial" w:cs="Arial"/>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- 9</w:t>
      </w:r>
      <w:r w:rsidRPr="000B6FBF">
        <w:rPr>
          <w:rFonts w:ascii="Arial" w:hAnsi="Arial" w:cs="Arial"/>
          <w:b/>
          <w:lang w:val="en-US"/>
        </w:rPr>
        <w:t xml:space="preserve"> </w:t>
      </w:r>
      <w:r w:rsidRPr="00F31BB6">
        <w:rPr>
          <w:rFonts w:ascii="Arial" w:hAnsi="Arial" w:cs="Arial"/>
        </w:rPr>
        <w:t>Suprafaţa spaţii verzi din total intravilan ( 2010-2014) - județul Brăila</w:t>
      </w:r>
    </w:p>
    <w:p w:rsidR="004E468C" w:rsidRPr="00F31BB6" w:rsidRDefault="004E468C" w:rsidP="00012F90">
      <w:pPr>
        <w:rPr>
          <w:rFonts w:ascii="Arial" w:hAnsi="Arial" w:cs="Arial"/>
        </w:rPr>
      </w:pPr>
    </w:p>
    <w:p w:rsidR="00012F90" w:rsidRPr="00446AEE" w:rsidRDefault="00012F90" w:rsidP="00012F90">
      <w:pPr>
        <w:jc w:val="center"/>
        <w:rPr>
          <w:rFonts w:ascii="Arial" w:hAnsi="Arial" w:cs="Arial"/>
        </w:rPr>
      </w:pPr>
      <w:r>
        <w:rPr>
          <w:rFonts w:ascii="Arial" w:hAnsi="Arial" w:cs="Arial"/>
          <w:noProof/>
          <w:lang w:val="ro-RO" w:eastAsia="ro-RO"/>
        </w:rPr>
        <w:drawing>
          <wp:inline distT="0" distB="0" distL="0" distR="0">
            <wp:extent cx="4924425" cy="2619375"/>
            <wp:effectExtent l="19050" t="0" r="9525" b="0"/>
            <wp:docPr id="102" name="Chart 21"/>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36"/>
              </a:graphicData>
            </a:graphic>
          </wp:inline>
        </w:drawing>
      </w:r>
    </w:p>
    <w:p w:rsidR="00012F90" w:rsidRPr="00F31BB6" w:rsidRDefault="00012F90" w:rsidP="00012F90">
      <w:pPr>
        <w:jc w:val="center"/>
        <w:rPr>
          <w:rFonts w:ascii="Arial" w:hAnsi="Arial" w:cs="Arial"/>
        </w:rPr>
      </w:pPr>
      <w:r>
        <w:rPr>
          <w:rFonts w:ascii="Arial" w:hAnsi="Arial" w:cs="Arial"/>
          <w:b/>
          <w:lang w:val="en-US"/>
        </w:rPr>
        <w:t>Figura nr.</w:t>
      </w:r>
      <w:r w:rsidRPr="000B6FBF">
        <w:rPr>
          <w:rFonts w:ascii="Arial" w:hAnsi="Arial" w:cs="Arial"/>
          <w:b/>
          <w:lang w:val="en-US"/>
        </w:rPr>
        <w:t xml:space="preserve"> IX.1.</w:t>
      </w:r>
      <w:r>
        <w:rPr>
          <w:rFonts w:ascii="Arial" w:hAnsi="Arial" w:cs="Arial"/>
          <w:b/>
          <w:lang w:val="en-US"/>
        </w:rPr>
        <w:t>4</w:t>
      </w:r>
      <w:r w:rsidRPr="000B6FBF">
        <w:rPr>
          <w:rFonts w:ascii="Arial" w:hAnsi="Arial" w:cs="Arial"/>
          <w:b/>
          <w:lang w:val="en-US"/>
        </w:rPr>
        <w:t>.</w:t>
      </w:r>
      <w:r>
        <w:rPr>
          <w:rFonts w:ascii="Arial" w:hAnsi="Arial" w:cs="Arial"/>
          <w:b/>
          <w:lang w:val="en-US"/>
        </w:rPr>
        <w:t>1. - 10</w:t>
      </w:r>
      <w:r w:rsidRPr="000B6FBF">
        <w:rPr>
          <w:rFonts w:ascii="Arial" w:hAnsi="Arial" w:cs="Arial"/>
          <w:b/>
          <w:lang w:val="en-US"/>
        </w:rPr>
        <w:t xml:space="preserve"> </w:t>
      </w:r>
      <w:r w:rsidRPr="00F31BB6">
        <w:rPr>
          <w:rFonts w:ascii="Arial" w:hAnsi="Arial" w:cs="Arial"/>
        </w:rPr>
        <w:t>Suprafața spațiu verde m.p./pe cap de locuitor din mediul urban, tendința (2010-2014) – județul Brăila</w:t>
      </w:r>
    </w:p>
    <w:p w:rsidR="00012F90" w:rsidRDefault="00012F90" w:rsidP="00012F90">
      <w:pPr>
        <w:jc w:val="both"/>
        <w:rPr>
          <w:rFonts w:ascii="Arial" w:hAnsi="Arial" w:cs="Arial"/>
        </w:rPr>
      </w:pPr>
    </w:p>
    <w:p w:rsidR="00012F90" w:rsidRPr="001E6183" w:rsidRDefault="00012F90" w:rsidP="00012F90">
      <w:pPr>
        <w:jc w:val="both"/>
        <w:rPr>
          <w:rFonts w:ascii="Arial" w:hAnsi="Arial" w:cs="Arial"/>
        </w:rPr>
      </w:pPr>
      <w:r w:rsidRPr="001E6183">
        <w:rPr>
          <w:rFonts w:ascii="Arial" w:hAnsi="Arial" w:cs="Arial"/>
        </w:rPr>
        <w:t xml:space="preserve">Suprafaţa totală de spaţii verzi a municipiului Brăila este de </w:t>
      </w:r>
      <w:r w:rsidRPr="00002442">
        <w:rPr>
          <w:rFonts w:ascii="Arial" w:hAnsi="Arial" w:cs="Arial"/>
          <w:bCs/>
        </w:rPr>
        <w:t>4.714.634,16 mp (471,76 ha)</w:t>
      </w:r>
      <w:r w:rsidRPr="001E6183">
        <w:rPr>
          <w:rFonts w:ascii="Arial" w:hAnsi="Arial" w:cs="Arial"/>
          <w:bCs/>
        </w:rPr>
        <w:t xml:space="preserve"> </w:t>
      </w:r>
      <w:r w:rsidRPr="001E6183">
        <w:rPr>
          <w:rFonts w:ascii="Arial" w:hAnsi="Arial" w:cs="Arial"/>
        </w:rPr>
        <w:t>.</w:t>
      </w:r>
    </w:p>
    <w:p w:rsidR="00012F90" w:rsidRPr="001E6183" w:rsidRDefault="00012F90" w:rsidP="00012F90">
      <w:pPr>
        <w:jc w:val="both"/>
        <w:rPr>
          <w:rFonts w:ascii="Arial" w:hAnsi="Arial" w:cs="Arial"/>
        </w:rPr>
      </w:pPr>
      <w:r w:rsidRPr="001E6183">
        <w:rPr>
          <w:rFonts w:ascii="Arial" w:hAnsi="Arial" w:cs="Arial"/>
        </w:rPr>
        <w:t xml:space="preserve">Suprafaţa de spaţiu verde este de </w:t>
      </w:r>
      <w:r w:rsidRPr="001E6183">
        <w:rPr>
          <w:rFonts w:ascii="Arial" w:hAnsi="Arial" w:cs="Arial"/>
          <w:b/>
          <w:bCs/>
          <w:iCs/>
        </w:rPr>
        <w:t>26,14 m.p.</w:t>
      </w:r>
      <w:r>
        <w:rPr>
          <w:rFonts w:ascii="Arial" w:hAnsi="Arial" w:cs="Arial"/>
          <w:b/>
          <w:bCs/>
          <w:iCs/>
        </w:rPr>
        <w:t>/</w:t>
      </w:r>
      <w:r w:rsidRPr="001E6183">
        <w:rPr>
          <w:rFonts w:ascii="Arial" w:hAnsi="Arial" w:cs="Arial"/>
          <w:bCs/>
          <w:iCs/>
        </w:rPr>
        <w:t>cap de locuitor</w:t>
      </w:r>
      <w:r w:rsidRPr="001E6183">
        <w:rPr>
          <w:rFonts w:ascii="Arial" w:hAnsi="Arial" w:cs="Arial"/>
        </w:rPr>
        <w:t xml:space="preserve"> reprezentând </w:t>
      </w:r>
      <w:r w:rsidRPr="001E6183">
        <w:rPr>
          <w:rFonts w:ascii="Arial" w:hAnsi="Arial" w:cs="Arial"/>
          <w:b/>
        </w:rPr>
        <w:t>11,22 %</w:t>
      </w:r>
      <w:r w:rsidRPr="001E6183">
        <w:rPr>
          <w:rFonts w:ascii="Arial" w:hAnsi="Arial" w:cs="Arial"/>
        </w:rPr>
        <w:t xml:space="preserve"> din suprafaţa terenului intravilan al municipiului.</w:t>
      </w:r>
    </w:p>
    <w:p w:rsidR="00012F90" w:rsidRPr="001E6183" w:rsidRDefault="00012F90" w:rsidP="00012F90">
      <w:pPr>
        <w:jc w:val="both"/>
        <w:rPr>
          <w:rFonts w:ascii="Arial" w:hAnsi="Arial" w:cs="Arial"/>
          <w:lang w:val="it-IT"/>
        </w:rPr>
      </w:pPr>
      <w:r w:rsidRPr="001E6183">
        <w:rPr>
          <w:rFonts w:ascii="Arial" w:hAnsi="Arial" w:cs="Arial"/>
        </w:rPr>
        <w:t>Spa</w:t>
      </w:r>
      <w:r>
        <w:rPr>
          <w:rFonts w:ascii="Arial" w:hAnsi="Arial" w:cs="Arial"/>
        </w:rPr>
        <w:t>ț</w:t>
      </w:r>
      <w:r w:rsidRPr="001E6183">
        <w:rPr>
          <w:rFonts w:ascii="Arial" w:hAnsi="Arial" w:cs="Arial"/>
        </w:rPr>
        <w:t>iile verzi</w:t>
      </w:r>
      <w:r w:rsidRPr="001E6183">
        <w:rPr>
          <w:rFonts w:ascii="Arial" w:hAnsi="Arial" w:cs="Arial"/>
          <w:lang w:val="it-IT"/>
        </w:rPr>
        <w:t xml:space="preserve"> din mediul urban ordonate pe categorii conform Legii nr.24/2007 modificat</w:t>
      </w:r>
      <w:r>
        <w:rPr>
          <w:rFonts w:ascii="Arial" w:hAnsi="Arial" w:cs="Arial"/>
          <w:lang w:val="it-IT"/>
        </w:rPr>
        <w:t>ă</w:t>
      </w:r>
      <w:r w:rsidRPr="001E6183">
        <w:rPr>
          <w:rFonts w:ascii="Arial" w:hAnsi="Arial" w:cs="Arial"/>
          <w:lang w:val="it-IT"/>
        </w:rPr>
        <w:t xml:space="preserve"> </w:t>
      </w:r>
      <w:r>
        <w:rPr>
          <w:rFonts w:ascii="Arial" w:hAnsi="Arial" w:cs="Arial"/>
          <w:lang w:val="it-IT"/>
        </w:rPr>
        <w:t>ș</w:t>
      </w:r>
      <w:r w:rsidRPr="001E6183">
        <w:rPr>
          <w:rFonts w:ascii="Arial" w:hAnsi="Arial" w:cs="Arial"/>
          <w:lang w:val="it-IT"/>
        </w:rPr>
        <w:t>i completat</w:t>
      </w:r>
      <w:r>
        <w:rPr>
          <w:rFonts w:ascii="Arial" w:hAnsi="Arial" w:cs="Arial"/>
          <w:lang w:val="it-IT"/>
        </w:rPr>
        <w:t>ă</w:t>
      </w:r>
      <w:r w:rsidRPr="001E6183">
        <w:rPr>
          <w:rFonts w:ascii="Arial" w:hAnsi="Arial" w:cs="Arial"/>
          <w:lang w:val="it-IT"/>
        </w:rPr>
        <w:t>:</w:t>
      </w:r>
    </w:p>
    <w:p w:rsidR="00012F90" w:rsidRPr="00002442" w:rsidRDefault="00012F90" w:rsidP="00012F90">
      <w:pPr>
        <w:jc w:val="both"/>
        <w:rPr>
          <w:rFonts w:ascii="Arial" w:hAnsi="Arial" w:cs="Arial"/>
          <w:bCs/>
        </w:rPr>
      </w:pPr>
      <w:r>
        <w:rPr>
          <w:rFonts w:ascii="Arial" w:hAnsi="Arial" w:cs="Arial"/>
          <w:bCs/>
        </w:rPr>
        <w:t>a) Spaț</w:t>
      </w:r>
      <w:r w:rsidRPr="001E6183">
        <w:rPr>
          <w:rFonts w:ascii="Arial" w:hAnsi="Arial" w:cs="Arial"/>
          <w:bCs/>
        </w:rPr>
        <w:t xml:space="preserve">ii verzi publice cu acces nelimitat </w:t>
      </w:r>
      <w:r w:rsidRPr="00002442">
        <w:rPr>
          <w:rFonts w:ascii="Arial" w:hAnsi="Arial" w:cs="Arial"/>
          <w:bCs/>
        </w:rPr>
        <w:t>:  2.686.208,42 mp</w:t>
      </w:r>
    </w:p>
    <w:p w:rsidR="00012F90" w:rsidRPr="001E6183" w:rsidRDefault="00012F90" w:rsidP="00012F90">
      <w:pPr>
        <w:ind w:left="708"/>
        <w:jc w:val="both"/>
        <w:rPr>
          <w:rFonts w:ascii="Arial" w:hAnsi="Arial" w:cs="Arial"/>
          <w:bCs/>
        </w:rPr>
      </w:pPr>
      <w:r w:rsidRPr="001E6183">
        <w:rPr>
          <w:rFonts w:ascii="Arial" w:hAnsi="Arial" w:cs="Arial"/>
          <w:bCs/>
        </w:rPr>
        <w:t>1. Parcuri: 775.351,5 mp</w:t>
      </w:r>
    </w:p>
    <w:p w:rsidR="00012F90" w:rsidRPr="001E6183" w:rsidRDefault="00012F90" w:rsidP="00012F90">
      <w:pPr>
        <w:ind w:left="708"/>
        <w:jc w:val="both"/>
        <w:rPr>
          <w:rFonts w:ascii="Arial" w:hAnsi="Arial" w:cs="Arial"/>
        </w:rPr>
      </w:pPr>
      <w:r w:rsidRPr="001E6183">
        <w:rPr>
          <w:rFonts w:ascii="Arial" w:hAnsi="Arial" w:cs="Arial"/>
          <w:bCs/>
        </w:rPr>
        <w:t>2. Gr</w:t>
      </w:r>
      <w:r>
        <w:rPr>
          <w:rFonts w:ascii="Arial" w:hAnsi="Arial" w:cs="Arial"/>
          <w:bCs/>
        </w:rPr>
        <w:t>ă</w:t>
      </w:r>
      <w:r w:rsidRPr="001E6183">
        <w:rPr>
          <w:rFonts w:ascii="Arial" w:hAnsi="Arial" w:cs="Arial"/>
          <w:bCs/>
        </w:rPr>
        <w:t>dini</w:t>
      </w:r>
      <w:r>
        <w:rPr>
          <w:rFonts w:ascii="Arial" w:hAnsi="Arial" w:cs="Arial"/>
          <w:bCs/>
        </w:rPr>
        <w:t xml:space="preserve"> </w:t>
      </w:r>
      <w:r w:rsidRPr="001E6183">
        <w:rPr>
          <w:rFonts w:ascii="Arial" w:hAnsi="Arial" w:cs="Arial"/>
          <w:bCs/>
        </w:rPr>
        <w:t>(Spaţii verzi aferente locuintelor de tip condominiu)</w:t>
      </w:r>
      <w:r w:rsidRPr="001E6183">
        <w:rPr>
          <w:rFonts w:ascii="Arial" w:hAnsi="Arial" w:cs="Arial"/>
        </w:rPr>
        <w:t xml:space="preserve"> – 1.397.517,92 mp</w:t>
      </w:r>
    </w:p>
    <w:p w:rsidR="00012F90" w:rsidRPr="001E6183" w:rsidRDefault="00012F90" w:rsidP="00012F90">
      <w:pPr>
        <w:ind w:left="708"/>
        <w:jc w:val="both"/>
        <w:rPr>
          <w:rFonts w:ascii="Arial" w:hAnsi="Arial" w:cs="Arial"/>
          <w:bCs/>
        </w:rPr>
      </w:pPr>
      <w:r w:rsidRPr="001E6183">
        <w:rPr>
          <w:rFonts w:ascii="Arial" w:hAnsi="Arial" w:cs="Arial"/>
          <w:bCs/>
        </w:rPr>
        <w:t>3. Scuaruri : 95.806,00 mp</w:t>
      </w:r>
    </w:p>
    <w:p w:rsidR="00012F90" w:rsidRPr="00002442" w:rsidRDefault="00012F90" w:rsidP="00012F90">
      <w:pPr>
        <w:ind w:firstLine="708"/>
        <w:jc w:val="both"/>
        <w:rPr>
          <w:rFonts w:ascii="Arial" w:hAnsi="Arial" w:cs="Arial"/>
        </w:rPr>
      </w:pPr>
      <w:r w:rsidRPr="001E6183">
        <w:rPr>
          <w:rFonts w:ascii="Arial" w:hAnsi="Arial" w:cs="Arial"/>
          <w:bCs/>
        </w:rPr>
        <w:t>4. F</w:t>
      </w:r>
      <w:r>
        <w:rPr>
          <w:rFonts w:ascii="Arial" w:hAnsi="Arial" w:cs="Arial"/>
          <w:bCs/>
        </w:rPr>
        <w:t>â</w:t>
      </w:r>
      <w:r w:rsidRPr="001E6183">
        <w:rPr>
          <w:rFonts w:ascii="Arial" w:hAnsi="Arial" w:cs="Arial"/>
          <w:bCs/>
        </w:rPr>
        <w:t>sii plantate</w:t>
      </w:r>
      <w:r>
        <w:rPr>
          <w:rFonts w:ascii="Arial" w:hAnsi="Arial" w:cs="Arial"/>
          <w:bCs/>
        </w:rPr>
        <w:t xml:space="preserve"> </w:t>
      </w:r>
      <w:r w:rsidRPr="001E6183">
        <w:rPr>
          <w:rFonts w:ascii="Arial" w:hAnsi="Arial" w:cs="Arial"/>
          <w:bCs/>
        </w:rPr>
        <w:t>(Aliniamente stradale)</w:t>
      </w:r>
      <w:r w:rsidRPr="001E6183">
        <w:rPr>
          <w:rFonts w:ascii="Arial" w:hAnsi="Arial" w:cs="Arial"/>
        </w:rPr>
        <w:t xml:space="preserve"> – </w:t>
      </w:r>
      <w:r w:rsidRPr="00002442">
        <w:rPr>
          <w:rFonts w:ascii="Arial" w:hAnsi="Arial" w:cs="Arial"/>
        </w:rPr>
        <w:t>417.533,00 mp</w:t>
      </w:r>
    </w:p>
    <w:p w:rsidR="00012F90" w:rsidRPr="00002442" w:rsidRDefault="00012F90" w:rsidP="00012F90">
      <w:pPr>
        <w:jc w:val="both"/>
        <w:rPr>
          <w:rFonts w:ascii="Arial" w:hAnsi="Arial" w:cs="Arial"/>
        </w:rPr>
      </w:pPr>
      <w:r w:rsidRPr="00002442">
        <w:rPr>
          <w:rFonts w:ascii="Arial" w:hAnsi="Arial" w:cs="Arial"/>
        </w:rPr>
        <w:t>b) Spații verzi publice de folosință specializată: 1.210.891,79 mp</w:t>
      </w:r>
    </w:p>
    <w:p w:rsidR="00012F90" w:rsidRPr="00002442" w:rsidRDefault="00012F90" w:rsidP="00012F90">
      <w:pPr>
        <w:ind w:left="708"/>
        <w:jc w:val="both"/>
        <w:rPr>
          <w:rFonts w:ascii="Arial" w:hAnsi="Arial" w:cs="Arial"/>
        </w:rPr>
      </w:pPr>
      <w:r w:rsidRPr="00002442">
        <w:rPr>
          <w:rFonts w:ascii="Arial" w:hAnsi="Arial" w:cs="Arial"/>
        </w:rPr>
        <w:t>1. Grădini botanice si zoologice (Parc Zoologic):45.559 mp</w:t>
      </w:r>
    </w:p>
    <w:p w:rsidR="00012F90" w:rsidRPr="00002442" w:rsidRDefault="00012F90" w:rsidP="00012F90">
      <w:pPr>
        <w:ind w:left="708"/>
        <w:jc w:val="both"/>
        <w:rPr>
          <w:rFonts w:ascii="Arial" w:hAnsi="Arial" w:cs="Arial"/>
        </w:rPr>
      </w:pPr>
      <w:r w:rsidRPr="00002442">
        <w:rPr>
          <w:rFonts w:ascii="Arial" w:hAnsi="Arial" w:cs="Arial"/>
          <w:bCs/>
        </w:rPr>
        <w:t xml:space="preserve">2. Spații verzi </w:t>
      </w:r>
      <w:r w:rsidRPr="00002442">
        <w:rPr>
          <w:rFonts w:ascii="Arial" w:hAnsi="Arial" w:cs="Arial"/>
        </w:rPr>
        <w:t>aferente dotărilor publice(creşe, grădiniţe, şcoli, unităţi sanitare sau de protecţie socială, instituţii culturale, edificii de cult, cimitire, etc.) – 1.129.267,33 mp</w:t>
      </w:r>
    </w:p>
    <w:p w:rsidR="00012F90" w:rsidRPr="00002442" w:rsidRDefault="00012F90" w:rsidP="00012F90">
      <w:pPr>
        <w:ind w:left="708"/>
        <w:rPr>
          <w:rFonts w:ascii="Arial" w:hAnsi="Arial" w:cs="Arial"/>
        </w:rPr>
      </w:pPr>
      <w:r w:rsidRPr="00002442">
        <w:rPr>
          <w:rFonts w:ascii="Arial" w:hAnsi="Arial" w:cs="Arial"/>
        </w:rPr>
        <w:t>3. Baze sau parcuri sportive pentru practicarea sportului de performanta: 36.065 mp</w:t>
      </w:r>
    </w:p>
    <w:p w:rsidR="00012F90" w:rsidRPr="00002442" w:rsidRDefault="00012F90" w:rsidP="00012F90">
      <w:pPr>
        <w:jc w:val="both"/>
        <w:rPr>
          <w:rFonts w:ascii="Arial" w:hAnsi="Arial" w:cs="Arial"/>
        </w:rPr>
      </w:pPr>
      <w:r w:rsidRPr="00002442">
        <w:rPr>
          <w:rFonts w:ascii="Arial" w:hAnsi="Arial" w:cs="Arial"/>
        </w:rPr>
        <w:t>c) Spații verzi pentru agrement</w:t>
      </w:r>
      <w:r>
        <w:rPr>
          <w:rFonts w:ascii="Arial" w:hAnsi="Arial" w:cs="Arial"/>
        </w:rPr>
        <w:t xml:space="preserve"> </w:t>
      </w:r>
      <w:r w:rsidRPr="00002442">
        <w:rPr>
          <w:rFonts w:ascii="Arial" w:hAnsi="Arial" w:cs="Arial"/>
        </w:rPr>
        <w:t>(Staţiunea Lacul Sărat)</w:t>
      </w:r>
      <w:r w:rsidRPr="00002442">
        <w:rPr>
          <w:rFonts w:ascii="Arial" w:hAnsi="Arial" w:cs="Arial"/>
          <w:bCs/>
        </w:rPr>
        <w:t xml:space="preserve">: </w:t>
      </w:r>
      <w:r w:rsidRPr="00002442">
        <w:rPr>
          <w:rFonts w:ascii="Arial" w:hAnsi="Arial" w:cs="Arial"/>
        </w:rPr>
        <w:t>337.533,95 mp.</w:t>
      </w:r>
    </w:p>
    <w:p w:rsidR="00012F90" w:rsidRPr="00002442" w:rsidRDefault="00012F90" w:rsidP="00012F90">
      <w:pPr>
        <w:jc w:val="both"/>
        <w:rPr>
          <w:rFonts w:ascii="Arial" w:hAnsi="Arial" w:cs="Arial"/>
        </w:rPr>
      </w:pPr>
      <w:r w:rsidRPr="00002442">
        <w:rPr>
          <w:rFonts w:ascii="Arial" w:hAnsi="Arial" w:cs="Arial"/>
        </w:rPr>
        <w:lastRenderedPageBreak/>
        <w:t>d) Spații verzi pentru protecția lacurilor și a cursurilor de apă: 480.000 mp</w:t>
      </w:r>
    </w:p>
    <w:p w:rsidR="00012F90" w:rsidRPr="001E6183" w:rsidRDefault="00012F90" w:rsidP="00012F90">
      <w:pPr>
        <w:pStyle w:val="BodyText"/>
        <w:spacing w:after="0" w:line="240" w:lineRule="auto"/>
        <w:jc w:val="both"/>
        <w:rPr>
          <w:rFonts w:ascii="Arial" w:hAnsi="Arial" w:cs="Arial"/>
          <w:sz w:val="24"/>
          <w:szCs w:val="24"/>
        </w:rPr>
      </w:pPr>
      <w:r w:rsidRPr="00002442">
        <w:rPr>
          <w:rFonts w:ascii="Arial" w:hAnsi="Arial" w:cs="Arial"/>
          <w:sz w:val="24"/>
          <w:szCs w:val="24"/>
        </w:rPr>
        <w:t>Speciile de arbori, arbuşti şi plante ornamentale care compun vegetaţia parcurilor şi scuarurilor  sunt atât indigene, cât şi exotice. Dintre speciile rare sau exotice se remarcă magnolia-Magnolya yulan, ginco-Ginkgo biloba, tisa-Taxus baccata, laricele (zada)-Larix decidua var. polonica, platanul-Platanus acerifolia, salcâmul japonez-Sophora japonica. Tocmai pentru raritatea unor specii sau pentru vârsta lor, 116 arbori au fost declaraţi</w:t>
      </w:r>
      <w:r w:rsidRPr="001E6183">
        <w:rPr>
          <w:rFonts w:ascii="Arial" w:hAnsi="Arial" w:cs="Arial"/>
          <w:sz w:val="24"/>
          <w:szCs w:val="24"/>
        </w:rPr>
        <w:t xml:space="preserve"> monumente ale naturii .</w:t>
      </w:r>
    </w:p>
    <w:p w:rsidR="00012F90" w:rsidRPr="001E6183" w:rsidRDefault="00012F90" w:rsidP="00012F90">
      <w:pPr>
        <w:jc w:val="both"/>
        <w:rPr>
          <w:rFonts w:ascii="Arial" w:hAnsi="Arial" w:cs="Arial"/>
          <w:lang w:val="es-ES"/>
        </w:rPr>
      </w:pPr>
      <w:r w:rsidRPr="001E6183">
        <w:rPr>
          <w:rFonts w:ascii="Arial" w:hAnsi="Arial" w:cs="Arial"/>
          <w:lang w:val="es-ES"/>
        </w:rPr>
        <w:t>Obiectivele şi măsurile propuse vizeaza conservarea respectiv extinderea spaţiilor verzi in vederea  îndeplinirii  programului privind asigurarea necesarului de suprafeţe de spaţiu verde, conform prevederilor O.U.G. nr. 114/2007.</w:t>
      </w:r>
    </w:p>
    <w:p w:rsidR="00012F90" w:rsidRPr="001E6183" w:rsidRDefault="00012F90" w:rsidP="00012F90">
      <w:pPr>
        <w:jc w:val="both"/>
        <w:outlineLvl w:val="0"/>
        <w:rPr>
          <w:rFonts w:ascii="Arial" w:hAnsi="Arial" w:cs="Arial"/>
          <w:b/>
          <w:lang w:val="es-ES"/>
        </w:rPr>
      </w:pPr>
      <w:r w:rsidRPr="001E6183">
        <w:rPr>
          <w:rFonts w:ascii="Arial" w:hAnsi="Arial" w:cs="Arial"/>
          <w:lang w:val="es-ES"/>
        </w:rPr>
        <w:t xml:space="preserve">În acest sens pe parcursul anului 2011 a fost  derulat proiectul </w:t>
      </w:r>
      <w:r w:rsidRPr="001E6183">
        <w:rPr>
          <w:rFonts w:ascii="Arial" w:hAnsi="Arial" w:cs="Arial"/>
          <w:b/>
          <w:lang w:val="es-ES"/>
        </w:rPr>
        <w:t>“Extindere spaţii verzi prin realizarea unui Parc în Cartierul Lacu Dulce – Municipiul Brăila”:</w:t>
      </w:r>
    </w:p>
    <w:p w:rsidR="00012F90" w:rsidRPr="00501E2C" w:rsidRDefault="00012F90" w:rsidP="005E6B2E">
      <w:pPr>
        <w:pStyle w:val="ListParagraph"/>
        <w:numPr>
          <w:ilvl w:val="0"/>
          <w:numId w:val="54"/>
        </w:numPr>
        <w:jc w:val="both"/>
        <w:rPr>
          <w:rFonts w:ascii="Arial" w:hAnsi="Arial" w:cs="Arial"/>
          <w:lang w:val="fr-FR"/>
        </w:rPr>
      </w:pPr>
      <w:r w:rsidRPr="00501E2C">
        <w:rPr>
          <w:rFonts w:ascii="Arial" w:hAnsi="Arial" w:cs="Arial"/>
        </w:rPr>
        <w:t>Acest proiect a fost finalizat in anul 2011, finanțare</w:t>
      </w:r>
      <w:r w:rsidRPr="00501E2C">
        <w:rPr>
          <w:rFonts w:ascii="Arial" w:hAnsi="Arial" w:cs="Arial"/>
          <w:lang w:val="fr-FR"/>
        </w:rPr>
        <w:t xml:space="preserve"> 2.000.000 lei</w:t>
      </w:r>
      <w:r w:rsidRPr="00501E2C">
        <w:rPr>
          <w:rFonts w:ascii="Arial" w:hAnsi="Arial" w:cs="Arial"/>
        </w:rPr>
        <w:t xml:space="preserve"> de la bugetul de stat prin Fondul pentru Mediu;</w:t>
      </w:r>
    </w:p>
    <w:p w:rsidR="00012F90" w:rsidRPr="00501E2C" w:rsidRDefault="00012F90" w:rsidP="005E6B2E">
      <w:pPr>
        <w:pStyle w:val="ListParagraph"/>
        <w:numPr>
          <w:ilvl w:val="0"/>
          <w:numId w:val="54"/>
        </w:numPr>
        <w:jc w:val="both"/>
        <w:rPr>
          <w:rFonts w:ascii="Arial" w:hAnsi="Arial" w:cs="Arial"/>
          <w:lang w:val="it-IT"/>
        </w:rPr>
      </w:pPr>
      <w:r w:rsidRPr="00501E2C">
        <w:rPr>
          <w:rFonts w:ascii="Arial" w:hAnsi="Arial" w:cs="Arial"/>
        </w:rPr>
        <w:t xml:space="preserve">Suprafața totala a parcului este de </w:t>
      </w:r>
      <w:r w:rsidRPr="00501E2C">
        <w:rPr>
          <w:rFonts w:ascii="Arial" w:hAnsi="Arial" w:cs="Arial"/>
          <w:b/>
          <w:lang w:val="es-ES"/>
        </w:rPr>
        <w:t>40.699 m</w:t>
      </w:r>
      <w:r w:rsidRPr="00501E2C">
        <w:rPr>
          <w:rFonts w:ascii="Arial" w:hAnsi="Arial" w:cs="Arial"/>
          <w:b/>
          <w:vertAlign w:val="superscript"/>
          <w:lang w:val="es-ES"/>
        </w:rPr>
        <w:t>2</w:t>
      </w:r>
      <w:r w:rsidRPr="00501E2C">
        <w:rPr>
          <w:rFonts w:ascii="Arial" w:hAnsi="Arial" w:cs="Arial"/>
        </w:rPr>
        <w:t xml:space="preserve"> si cuprinde material arbu</w:t>
      </w:r>
      <w:r>
        <w:rPr>
          <w:rFonts w:ascii="Arial" w:hAnsi="Arial" w:cs="Arial"/>
        </w:rPr>
        <w:t>ș</w:t>
      </w:r>
      <w:r w:rsidRPr="00501E2C">
        <w:rPr>
          <w:rFonts w:ascii="Arial" w:hAnsi="Arial" w:cs="Arial"/>
        </w:rPr>
        <w:t xml:space="preserve">ti si arborescent din flora autohtona, gazon. </w:t>
      </w:r>
    </w:p>
    <w:p w:rsidR="00012F90" w:rsidRPr="00501E2C" w:rsidRDefault="00012F90" w:rsidP="005E6B2E">
      <w:pPr>
        <w:pStyle w:val="ListParagraph"/>
        <w:numPr>
          <w:ilvl w:val="0"/>
          <w:numId w:val="54"/>
        </w:numPr>
        <w:jc w:val="both"/>
        <w:rPr>
          <w:rFonts w:ascii="Arial" w:hAnsi="Arial" w:cs="Arial"/>
          <w:lang w:val="it-IT"/>
        </w:rPr>
      </w:pPr>
      <w:r w:rsidRPr="00501E2C">
        <w:rPr>
          <w:rFonts w:ascii="Arial" w:hAnsi="Arial" w:cs="Arial"/>
        </w:rPr>
        <w:t>Pentru acest parc s-a prevăzut</w:t>
      </w:r>
      <w:r>
        <w:rPr>
          <w:rFonts w:ascii="Arial" w:hAnsi="Arial" w:cs="Arial"/>
        </w:rPr>
        <w:t xml:space="preserve"> si o fatâ</w:t>
      </w:r>
      <w:r w:rsidRPr="00501E2C">
        <w:rPr>
          <w:rFonts w:ascii="Arial" w:hAnsi="Arial" w:cs="Arial"/>
        </w:rPr>
        <w:t>na</w:t>
      </w:r>
      <w:r>
        <w:rPr>
          <w:rFonts w:ascii="Arial" w:hAnsi="Arial" w:cs="Arial"/>
        </w:rPr>
        <w:t xml:space="preserve"> </w:t>
      </w:r>
      <w:r w:rsidRPr="00501E2C">
        <w:rPr>
          <w:rFonts w:ascii="Arial" w:hAnsi="Arial" w:cs="Arial"/>
        </w:rPr>
        <w:t xml:space="preserve"> arteziana, stâlpi de iluminat, bănci, fântâni cu apa potabila, vegetație cu caracter ornamental si WC-uri ecologice. </w:t>
      </w:r>
    </w:p>
    <w:p w:rsidR="00012F90" w:rsidRPr="001E6183" w:rsidRDefault="00012F90" w:rsidP="00012F90">
      <w:pPr>
        <w:jc w:val="both"/>
        <w:outlineLvl w:val="0"/>
        <w:rPr>
          <w:rFonts w:ascii="Arial" w:hAnsi="Arial" w:cs="Arial"/>
          <w:lang w:val="it-IT"/>
        </w:rPr>
      </w:pPr>
      <w:r w:rsidRPr="001E6183">
        <w:rPr>
          <w:rFonts w:ascii="Arial" w:hAnsi="Arial" w:cs="Arial"/>
          <w:lang w:val="it-IT"/>
        </w:rPr>
        <w:t>Cele mai importante zone verzi din municipiul Brăila sunt:</w:t>
      </w:r>
    </w:p>
    <w:p w:rsidR="00012F90" w:rsidRPr="00501E2C" w:rsidRDefault="00012F90" w:rsidP="005E6B2E">
      <w:pPr>
        <w:pStyle w:val="ListParagraph"/>
        <w:numPr>
          <w:ilvl w:val="0"/>
          <w:numId w:val="53"/>
        </w:numPr>
        <w:jc w:val="both"/>
        <w:outlineLvl w:val="0"/>
        <w:rPr>
          <w:rFonts w:ascii="Arial" w:hAnsi="Arial" w:cs="Arial"/>
          <w:lang w:val="it-IT"/>
        </w:rPr>
      </w:pPr>
      <w:r w:rsidRPr="00501E2C">
        <w:rPr>
          <w:rFonts w:ascii="Arial" w:hAnsi="Arial" w:cs="Arial"/>
          <w:lang w:val="it-IT"/>
        </w:rPr>
        <w:t>Parcul Monument – 53 ha</w:t>
      </w:r>
    </w:p>
    <w:p w:rsidR="00012F90" w:rsidRPr="00501E2C" w:rsidRDefault="00012F90" w:rsidP="005E6B2E">
      <w:pPr>
        <w:pStyle w:val="ListParagraph"/>
        <w:numPr>
          <w:ilvl w:val="0"/>
          <w:numId w:val="53"/>
        </w:numPr>
        <w:jc w:val="both"/>
        <w:outlineLvl w:val="0"/>
        <w:rPr>
          <w:rFonts w:ascii="Arial" w:hAnsi="Arial" w:cs="Arial"/>
          <w:lang w:val="it-IT"/>
        </w:rPr>
      </w:pPr>
      <w:r w:rsidRPr="00501E2C">
        <w:rPr>
          <w:rFonts w:ascii="Arial" w:hAnsi="Arial" w:cs="Arial"/>
          <w:lang w:val="it-IT"/>
        </w:rPr>
        <w:t>Grădina Publică – 5,2 ha</w:t>
      </w:r>
    </w:p>
    <w:p w:rsidR="00012F90" w:rsidRPr="00501E2C" w:rsidRDefault="00012F90" w:rsidP="005E6B2E">
      <w:pPr>
        <w:pStyle w:val="ListParagraph"/>
        <w:numPr>
          <w:ilvl w:val="0"/>
          <w:numId w:val="53"/>
        </w:numPr>
        <w:jc w:val="both"/>
        <w:outlineLvl w:val="0"/>
        <w:rPr>
          <w:rFonts w:ascii="Arial" w:hAnsi="Arial" w:cs="Arial"/>
          <w:lang w:val="it-IT"/>
        </w:rPr>
      </w:pPr>
      <w:r w:rsidRPr="00501E2C">
        <w:rPr>
          <w:rFonts w:ascii="Arial" w:hAnsi="Arial" w:cs="Arial"/>
          <w:lang w:val="it-IT"/>
        </w:rPr>
        <w:t>Grădina Zoologică – 4,55 ha</w:t>
      </w:r>
    </w:p>
    <w:p w:rsidR="00012F90" w:rsidRPr="00501E2C" w:rsidRDefault="00012F90" w:rsidP="005E6B2E">
      <w:pPr>
        <w:pStyle w:val="ListParagraph"/>
        <w:numPr>
          <w:ilvl w:val="0"/>
          <w:numId w:val="53"/>
        </w:numPr>
        <w:jc w:val="both"/>
        <w:outlineLvl w:val="0"/>
        <w:rPr>
          <w:rFonts w:ascii="Arial" w:hAnsi="Arial" w:cs="Arial"/>
          <w:lang w:val="it-IT"/>
        </w:rPr>
      </w:pPr>
      <w:r w:rsidRPr="00501E2C">
        <w:rPr>
          <w:rFonts w:ascii="Arial" w:hAnsi="Arial" w:cs="Arial"/>
          <w:lang w:val="it-IT"/>
        </w:rPr>
        <w:t>Parc în Cartierul Lacu Dulce – 4,07 ha</w:t>
      </w:r>
    </w:p>
    <w:p w:rsidR="00012F90" w:rsidRPr="00501E2C" w:rsidRDefault="00012F90" w:rsidP="005E6B2E">
      <w:pPr>
        <w:pStyle w:val="ListParagraph"/>
        <w:numPr>
          <w:ilvl w:val="0"/>
          <w:numId w:val="53"/>
        </w:numPr>
        <w:jc w:val="both"/>
        <w:outlineLvl w:val="0"/>
        <w:rPr>
          <w:rFonts w:ascii="Arial" w:hAnsi="Arial" w:cs="Arial"/>
          <w:lang w:val="es-ES"/>
        </w:rPr>
      </w:pPr>
      <w:r w:rsidRPr="00501E2C">
        <w:rPr>
          <w:rFonts w:ascii="Arial" w:hAnsi="Arial" w:cs="Arial"/>
          <w:lang w:val="es-ES"/>
        </w:rPr>
        <w:t>Faleza Dunării  - 12,8 ha</w:t>
      </w:r>
    </w:p>
    <w:p w:rsidR="00012F90" w:rsidRPr="00501E2C" w:rsidRDefault="00012F90" w:rsidP="005E6B2E">
      <w:pPr>
        <w:pStyle w:val="ListParagraph"/>
        <w:numPr>
          <w:ilvl w:val="0"/>
          <w:numId w:val="53"/>
        </w:numPr>
        <w:jc w:val="both"/>
        <w:outlineLvl w:val="0"/>
        <w:rPr>
          <w:rFonts w:ascii="Arial" w:hAnsi="Arial" w:cs="Arial"/>
          <w:lang w:val="es-ES"/>
        </w:rPr>
      </w:pPr>
      <w:r w:rsidRPr="00501E2C">
        <w:rPr>
          <w:rFonts w:ascii="Arial" w:hAnsi="Arial" w:cs="Arial"/>
          <w:lang w:val="es-ES"/>
        </w:rPr>
        <w:t>Esplanada Dunării – 1,26 ha</w:t>
      </w:r>
    </w:p>
    <w:p w:rsidR="00012F90" w:rsidRPr="00501E2C" w:rsidRDefault="00012F90" w:rsidP="005E6B2E">
      <w:pPr>
        <w:pStyle w:val="ListParagraph"/>
        <w:numPr>
          <w:ilvl w:val="0"/>
          <w:numId w:val="53"/>
        </w:numPr>
        <w:jc w:val="both"/>
        <w:outlineLvl w:val="0"/>
        <w:rPr>
          <w:rFonts w:ascii="Arial" w:hAnsi="Arial" w:cs="Arial"/>
        </w:rPr>
      </w:pPr>
      <w:r w:rsidRPr="00501E2C">
        <w:rPr>
          <w:rFonts w:ascii="Arial" w:hAnsi="Arial" w:cs="Arial"/>
          <w:lang w:val="es-ES"/>
        </w:rPr>
        <w:t xml:space="preserve">Scuarul din </w:t>
      </w:r>
      <w:r w:rsidRPr="00501E2C">
        <w:rPr>
          <w:rFonts w:ascii="Arial" w:hAnsi="Arial" w:cs="Arial"/>
        </w:rPr>
        <w:t>Piaţa Traian – 1,14 ha</w:t>
      </w:r>
    </w:p>
    <w:p w:rsidR="00012F90" w:rsidRPr="001E6183" w:rsidRDefault="00012F90" w:rsidP="00012F90">
      <w:pPr>
        <w:pStyle w:val="BodyText2"/>
        <w:spacing w:after="0" w:line="240" w:lineRule="auto"/>
        <w:jc w:val="both"/>
        <w:rPr>
          <w:rFonts w:ascii="Arial" w:hAnsi="Arial" w:cs="Arial"/>
        </w:rPr>
      </w:pPr>
    </w:p>
    <w:p w:rsidR="00012F90" w:rsidRPr="001E6183" w:rsidRDefault="00012F90" w:rsidP="00012F90">
      <w:pPr>
        <w:jc w:val="both"/>
        <w:rPr>
          <w:rFonts w:ascii="Arial" w:hAnsi="Arial" w:cs="Arial"/>
        </w:rPr>
      </w:pPr>
      <w:r w:rsidRPr="001E6183">
        <w:rPr>
          <w:rFonts w:ascii="Arial" w:hAnsi="Arial" w:cs="Arial"/>
        </w:rPr>
        <w:t>Parcul Monument, cu o suprafaţă de 53 ha, este cel mai mare parc al municipiului Brăila, acesta existând încă din anul 1862, o contribuţie majoră în amenajarea acestuia având generalul Kiseleff,  parcul purtând pentru mult timp numele acestuia.</w:t>
      </w:r>
    </w:p>
    <w:p w:rsidR="00012F90" w:rsidRPr="001E6183" w:rsidRDefault="00012F90" w:rsidP="00012F90">
      <w:pPr>
        <w:jc w:val="both"/>
        <w:rPr>
          <w:rFonts w:ascii="Arial" w:hAnsi="Arial" w:cs="Arial"/>
        </w:rPr>
      </w:pPr>
      <w:r w:rsidRPr="001E6183">
        <w:rPr>
          <w:rFonts w:ascii="Arial" w:hAnsi="Arial" w:cs="Arial"/>
        </w:rPr>
        <w:t>În perimetrul acestuia există Muzeul de Ştiinţe ale Naturii în vecinătatea căruia există un parc dendrologic cu specii exotice. Pe amplasamentul acestui parc ar fi oportună înfiinţarea unui complex muzeal care să integreze vechiul muzeu precum şi o mică grădină botanică. De asemenea, în perimetrul Parcului Monument există o sală de sport polivalentă, terenuri de sport, un stadion, alei pietonale, un parc de distracţii pentru copii şi un restaurant fapt ce fac din acesta principala zona de agrement a oraşului, atrăgând atât populaţia tânără cât şi vârstnicii. În parc este dominantă vegetaţia arboricolă, existând deopotrivă specii indigene şi exotice.</w:t>
      </w:r>
      <w:r>
        <w:rPr>
          <w:rFonts w:ascii="Arial" w:hAnsi="Arial" w:cs="Arial"/>
        </w:rPr>
        <w:t xml:space="preserve"> </w:t>
      </w:r>
      <w:r w:rsidRPr="001E6183">
        <w:rPr>
          <w:rFonts w:ascii="Arial" w:hAnsi="Arial" w:cs="Arial"/>
        </w:rPr>
        <w:t xml:space="preserve">Administraţia publică locală a făcut eforturi pentru conservarea vegetaţiei şi prevenirea deteriorării prin închiderea cu gard de beton, asigurarea pazei şi extinderea perimetrului prin plantări de arbori pe cca </w:t>
      </w:r>
      <w:smartTag w:uri="urn:schemas-microsoft-com:office:smarttags" w:element="metricconverter">
        <w:smartTagPr>
          <w:attr w:name="ProductID" w:val="1,2 ha"/>
        </w:smartTagPr>
        <w:r w:rsidRPr="001E6183">
          <w:rPr>
            <w:rFonts w:ascii="Arial" w:hAnsi="Arial" w:cs="Arial"/>
          </w:rPr>
          <w:t>1,2 ha</w:t>
        </w:r>
      </w:smartTag>
      <w:r w:rsidRPr="001E6183">
        <w:rPr>
          <w:rFonts w:ascii="Arial" w:hAnsi="Arial" w:cs="Arial"/>
        </w:rPr>
        <w:t>. Aceste măsuri au avut menirea de a stopa tăierile abuzive şi deteriorarea vegetaţiei ierboase şi forestiere prin păşunatul ovinelor de către locuitorii cartierelor din vecinătate.</w:t>
      </w:r>
    </w:p>
    <w:p w:rsidR="00012F90" w:rsidRPr="001E6183" w:rsidRDefault="00012F90" w:rsidP="00012F90">
      <w:pPr>
        <w:jc w:val="both"/>
        <w:rPr>
          <w:rFonts w:ascii="Arial" w:hAnsi="Arial" w:cs="Arial"/>
        </w:rPr>
      </w:pPr>
      <w:r w:rsidRPr="001E6183">
        <w:rPr>
          <w:rFonts w:ascii="Arial" w:hAnsi="Arial" w:cs="Arial"/>
        </w:rPr>
        <w:t>De asemenea s-au făcut amenajări de eliminare a excesului de umiditate care afecta o importantă suprafaţă a parcului determinând băltiri şi instalarea vegetaţiei specifice de baltă (stuf în special), iar pe de altă parte punea în pericol stabilitatea liniei de tramvai ce traversează parcul.</w:t>
      </w:r>
    </w:p>
    <w:p w:rsidR="00012F90" w:rsidRPr="001E6183" w:rsidRDefault="00012F90" w:rsidP="00012F90">
      <w:pPr>
        <w:jc w:val="both"/>
        <w:rPr>
          <w:rFonts w:ascii="Arial" w:hAnsi="Arial" w:cs="Arial"/>
          <w:lang w:val="it-IT"/>
        </w:rPr>
      </w:pPr>
      <w:r w:rsidRPr="001E6183">
        <w:rPr>
          <w:rFonts w:ascii="Arial" w:hAnsi="Arial" w:cs="Arial"/>
        </w:rPr>
        <w:t>Pe parcursul anului</w:t>
      </w:r>
      <w:r>
        <w:rPr>
          <w:rFonts w:ascii="Arial" w:hAnsi="Arial" w:cs="Arial"/>
        </w:rPr>
        <w:t xml:space="preserve"> </w:t>
      </w:r>
      <w:r w:rsidRPr="001E6183">
        <w:rPr>
          <w:rFonts w:ascii="Arial" w:hAnsi="Arial" w:cs="Arial"/>
        </w:rPr>
        <w:t>2013 s-a derulat proiectul</w:t>
      </w:r>
      <w:r>
        <w:rPr>
          <w:rFonts w:ascii="Arial" w:hAnsi="Arial" w:cs="Arial"/>
        </w:rPr>
        <w:t xml:space="preserve"> </w:t>
      </w:r>
      <w:r w:rsidRPr="001E6183">
        <w:rPr>
          <w:rFonts w:ascii="Arial" w:hAnsi="Arial" w:cs="Arial"/>
          <w:b/>
          <w:bCs/>
          <w:i/>
          <w:iCs/>
        </w:rPr>
        <w:t>„Reabilitare si modernizare</w:t>
      </w:r>
      <w:r w:rsidRPr="001E6183">
        <w:rPr>
          <w:rFonts w:ascii="Arial" w:hAnsi="Arial" w:cs="Arial"/>
          <w:b/>
          <w:bCs/>
          <w:i/>
          <w:iCs/>
          <w:lang w:val="it-IT"/>
        </w:rPr>
        <w:t xml:space="preserve"> </w:t>
      </w:r>
      <w:r w:rsidRPr="001E6183">
        <w:rPr>
          <w:rFonts w:ascii="Arial" w:hAnsi="Arial" w:cs="Arial"/>
          <w:b/>
          <w:bCs/>
          <w:i/>
          <w:iCs/>
        </w:rPr>
        <w:t xml:space="preserve">Parc Monument”din cadrul </w:t>
      </w:r>
      <w:r w:rsidRPr="001E6183">
        <w:rPr>
          <w:rFonts w:ascii="Arial" w:hAnsi="Arial" w:cs="Arial"/>
          <w:b/>
          <w:i/>
          <w:iCs/>
        </w:rPr>
        <w:t>Programului Operaţional Regional</w:t>
      </w:r>
      <w:r w:rsidRPr="001E6183">
        <w:rPr>
          <w:rFonts w:ascii="Arial" w:hAnsi="Arial" w:cs="Arial"/>
          <w:b/>
          <w:i/>
          <w:iCs/>
          <w:lang w:val="it-IT"/>
        </w:rPr>
        <w:t>,</w:t>
      </w:r>
      <w:r w:rsidRPr="001E6183">
        <w:rPr>
          <w:rFonts w:ascii="Arial" w:hAnsi="Arial" w:cs="Arial"/>
          <w:b/>
          <w:i/>
          <w:iCs/>
        </w:rPr>
        <w:t xml:space="preserve"> Domeniului Major de intervenţie 1.1.- Planuri integrate de dezvoltare urbană, </w:t>
      </w:r>
      <w:r>
        <w:rPr>
          <w:rFonts w:ascii="Arial" w:hAnsi="Arial" w:cs="Arial"/>
          <w:iCs/>
        </w:rPr>
        <w:t>cu o valoare de investiți</w:t>
      </w:r>
      <w:r w:rsidRPr="001E6183">
        <w:rPr>
          <w:rFonts w:ascii="Arial" w:hAnsi="Arial" w:cs="Arial"/>
          <w:iCs/>
        </w:rPr>
        <w:t>e</w:t>
      </w:r>
      <w:r w:rsidRPr="001E6183">
        <w:rPr>
          <w:rFonts w:ascii="Arial" w:hAnsi="Arial" w:cs="Arial"/>
          <w:iCs/>
          <w:lang w:val="it-IT"/>
        </w:rPr>
        <w:t xml:space="preserve"> de </w:t>
      </w:r>
      <w:r w:rsidRPr="001E6183">
        <w:rPr>
          <w:rFonts w:ascii="Arial" w:hAnsi="Arial" w:cs="Arial"/>
          <w:iCs/>
        </w:rPr>
        <w:t>10.028.908</w:t>
      </w:r>
      <w:r w:rsidRPr="001E6183">
        <w:rPr>
          <w:rFonts w:ascii="Arial" w:hAnsi="Arial" w:cs="Arial"/>
          <w:iCs/>
          <w:lang w:val="it-IT"/>
        </w:rPr>
        <w:t xml:space="preserve"> lei</w:t>
      </w:r>
      <w:r w:rsidRPr="001E6183">
        <w:rPr>
          <w:rFonts w:ascii="Arial" w:hAnsi="Arial" w:cs="Arial"/>
          <w:i/>
          <w:iCs/>
          <w:lang w:val="it-IT"/>
        </w:rPr>
        <w:t xml:space="preserve">, </w:t>
      </w:r>
      <w:r w:rsidRPr="001E6183">
        <w:rPr>
          <w:rFonts w:ascii="Arial" w:hAnsi="Arial" w:cs="Arial"/>
          <w:iCs/>
          <w:lang w:val="it-IT"/>
        </w:rPr>
        <w:t xml:space="preserve">in cadrul caruia au fost </w:t>
      </w:r>
      <w:r w:rsidRPr="001E6183">
        <w:rPr>
          <w:rFonts w:ascii="Arial" w:hAnsi="Arial" w:cs="Arial"/>
        </w:rPr>
        <w:t>realizate urmatoarele lucr</w:t>
      </w:r>
      <w:r>
        <w:rPr>
          <w:rFonts w:ascii="Arial" w:hAnsi="Arial" w:cs="Arial"/>
        </w:rPr>
        <w:t>ă</w:t>
      </w:r>
      <w:r w:rsidRPr="001E6183">
        <w:rPr>
          <w:rFonts w:ascii="Arial" w:hAnsi="Arial" w:cs="Arial"/>
        </w:rPr>
        <w:t>ri:</w:t>
      </w:r>
    </w:p>
    <w:p w:rsidR="00012F90" w:rsidRPr="00501E2C" w:rsidRDefault="00012F90" w:rsidP="005E6B2E">
      <w:pPr>
        <w:pStyle w:val="ListParagraph"/>
        <w:numPr>
          <w:ilvl w:val="0"/>
          <w:numId w:val="55"/>
        </w:numPr>
        <w:jc w:val="both"/>
        <w:rPr>
          <w:rFonts w:ascii="Arial" w:hAnsi="Arial" w:cs="Arial"/>
          <w:lang w:val="it-IT"/>
        </w:rPr>
      </w:pPr>
      <w:r w:rsidRPr="00501E2C">
        <w:rPr>
          <w:rFonts w:ascii="Arial" w:hAnsi="Arial" w:cs="Arial"/>
        </w:rPr>
        <w:t>reamenajarea sistemului de irigat cu ap</w:t>
      </w:r>
      <w:r>
        <w:rPr>
          <w:rFonts w:ascii="Arial" w:hAnsi="Arial" w:cs="Arial"/>
        </w:rPr>
        <w:t>ă</w:t>
      </w:r>
      <w:r w:rsidRPr="00501E2C">
        <w:rPr>
          <w:rFonts w:ascii="Arial" w:hAnsi="Arial" w:cs="Arial"/>
        </w:rPr>
        <w:t xml:space="preserve"> brută din Dun</w:t>
      </w:r>
      <w:r>
        <w:rPr>
          <w:rFonts w:ascii="Arial" w:hAnsi="Arial" w:cs="Arial"/>
        </w:rPr>
        <w:t>ă</w:t>
      </w:r>
      <w:r w:rsidRPr="00501E2C">
        <w:rPr>
          <w:rFonts w:ascii="Arial" w:hAnsi="Arial" w:cs="Arial"/>
        </w:rPr>
        <w:t>re</w:t>
      </w:r>
    </w:p>
    <w:p w:rsidR="00012F90" w:rsidRPr="00501E2C" w:rsidRDefault="00012F90" w:rsidP="005E6B2E">
      <w:pPr>
        <w:pStyle w:val="ListParagraph"/>
        <w:numPr>
          <w:ilvl w:val="0"/>
          <w:numId w:val="55"/>
        </w:numPr>
        <w:jc w:val="both"/>
        <w:rPr>
          <w:rFonts w:ascii="Arial" w:hAnsi="Arial" w:cs="Arial"/>
        </w:rPr>
      </w:pPr>
      <w:r w:rsidRPr="00501E2C">
        <w:rPr>
          <w:rFonts w:ascii="Arial" w:hAnsi="Arial" w:cs="Arial"/>
        </w:rPr>
        <w:t>modernizarea re</w:t>
      </w:r>
      <w:r>
        <w:rPr>
          <w:rFonts w:ascii="Arial" w:hAnsi="Arial" w:cs="Arial"/>
        </w:rPr>
        <w:t>ț</w:t>
      </w:r>
      <w:r w:rsidRPr="00501E2C">
        <w:rPr>
          <w:rFonts w:ascii="Arial" w:hAnsi="Arial" w:cs="Arial"/>
        </w:rPr>
        <w:t>elei de ap</w:t>
      </w:r>
      <w:r>
        <w:rPr>
          <w:rFonts w:ascii="Arial" w:hAnsi="Arial" w:cs="Arial"/>
        </w:rPr>
        <w:t>ă</w:t>
      </w:r>
      <w:r w:rsidRPr="00501E2C">
        <w:rPr>
          <w:rFonts w:ascii="Arial" w:hAnsi="Arial" w:cs="Arial"/>
        </w:rPr>
        <w:t>;</w:t>
      </w:r>
    </w:p>
    <w:p w:rsidR="00012F90" w:rsidRPr="00501E2C" w:rsidRDefault="00012F90" w:rsidP="005E6B2E">
      <w:pPr>
        <w:pStyle w:val="ListParagraph"/>
        <w:numPr>
          <w:ilvl w:val="0"/>
          <w:numId w:val="55"/>
        </w:numPr>
        <w:jc w:val="both"/>
        <w:rPr>
          <w:rFonts w:ascii="Arial" w:hAnsi="Arial" w:cs="Arial"/>
        </w:rPr>
      </w:pPr>
      <w:r w:rsidRPr="00501E2C">
        <w:rPr>
          <w:rFonts w:ascii="Arial" w:hAnsi="Arial" w:cs="Arial"/>
        </w:rPr>
        <w:lastRenderedPageBreak/>
        <w:t>modernizarea re</w:t>
      </w:r>
      <w:r>
        <w:rPr>
          <w:rFonts w:ascii="Arial" w:hAnsi="Arial" w:cs="Arial"/>
        </w:rPr>
        <w:t>ț</w:t>
      </w:r>
      <w:r w:rsidRPr="00501E2C">
        <w:rPr>
          <w:rFonts w:ascii="Arial" w:hAnsi="Arial" w:cs="Arial"/>
        </w:rPr>
        <w:t>elei de canalizare;</w:t>
      </w:r>
    </w:p>
    <w:p w:rsidR="00012F90" w:rsidRPr="00501E2C" w:rsidRDefault="00012F90" w:rsidP="005E6B2E">
      <w:pPr>
        <w:pStyle w:val="ListParagraph"/>
        <w:numPr>
          <w:ilvl w:val="0"/>
          <w:numId w:val="55"/>
        </w:numPr>
        <w:jc w:val="both"/>
        <w:rPr>
          <w:rFonts w:ascii="Arial" w:hAnsi="Arial" w:cs="Arial"/>
        </w:rPr>
      </w:pPr>
      <w:r w:rsidRPr="00501E2C">
        <w:rPr>
          <w:rFonts w:ascii="Arial" w:hAnsi="Arial" w:cs="Arial"/>
        </w:rPr>
        <w:t>reabilitare bazin (f</w:t>
      </w:r>
      <w:r>
        <w:rPr>
          <w:rFonts w:ascii="Arial" w:hAnsi="Arial" w:cs="Arial"/>
        </w:rPr>
        <w:t>â</w:t>
      </w:r>
      <w:r w:rsidRPr="00501E2C">
        <w:rPr>
          <w:rFonts w:ascii="Arial" w:hAnsi="Arial" w:cs="Arial"/>
        </w:rPr>
        <w:t>nt</w:t>
      </w:r>
      <w:r>
        <w:rPr>
          <w:rFonts w:ascii="Arial" w:hAnsi="Arial" w:cs="Arial"/>
        </w:rPr>
        <w:t>â</w:t>
      </w:r>
      <w:r w:rsidRPr="00501E2C">
        <w:rPr>
          <w:rFonts w:ascii="Arial" w:hAnsi="Arial" w:cs="Arial"/>
        </w:rPr>
        <w:t>n</w:t>
      </w:r>
      <w:r>
        <w:rPr>
          <w:rFonts w:ascii="Arial" w:hAnsi="Arial" w:cs="Arial"/>
        </w:rPr>
        <w:t>ă</w:t>
      </w:r>
      <w:r w:rsidRPr="00501E2C">
        <w:rPr>
          <w:rFonts w:ascii="Arial" w:hAnsi="Arial" w:cs="Arial"/>
        </w:rPr>
        <w:t xml:space="preserve"> artezian</w:t>
      </w:r>
      <w:r>
        <w:rPr>
          <w:rFonts w:ascii="Arial" w:hAnsi="Arial" w:cs="Arial"/>
        </w:rPr>
        <w:t>ă</w:t>
      </w:r>
      <w:r w:rsidRPr="00501E2C">
        <w:rPr>
          <w:rFonts w:ascii="Arial" w:hAnsi="Arial" w:cs="Arial"/>
        </w:rPr>
        <w:t>);</w:t>
      </w:r>
    </w:p>
    <w:p w:rsidR="00012F90" w:rsidRPr="00501E2C" w:rsidRDefault="00012F90" w:rsidP="005E6B2E">
      <w:pPr>
        <w:pStyle w:val="ListParagraph"/>
        <w:numPr>
          <w:ilvl w:val="0"/>
          <w:numId w:val="55"/>
        </w:numPr>
        <w:jc w:val="both"/>
        <w:rPr>
          <w:rFonts w:ascii="Arial" w:hAnsi="Arial" w:cs="Arial"/>
        </w:rPr>
      </w:pPr>
      <w:r w:rsidRPr="00501E2C">
        <w:rPr>
          <w:rFonts w:ascii="Arial" w:hAnsi="Arial" w:cs="Arial"/>
        </w:rPr>
        <w:t>reabilitare gard prefabricat din beton;</w:t>
      </w:r>
    </w:p>
    <w:p w:rsidR="00012F90" w:rsidRPr="00501E2C" w:rsidRDefault="00012F90" w:rsidP="005E6B2E">
      <w:pPr>
        <w:pStyle w:val="ListParagraph"/>
        <w:numPr>
          <w:ilvl w:val="0"/>
          <w:numId w:val="55"/>
        </w:numPr>
        <w:jc w:val="both"/>
        <w:rPr>
          <w:rFonts w:ascii="Arial" w:hAnsi="Arial" w:cs="Arial"/>
        </w:rPr>
      </w:pPr>
      <w:r w:rsidRPr="00501E2C">
        <w:rPr>
          <w:rFonts w:ascii="Arial" w:hAnsi="Arial" w:cs="Arial"/>
        </w:rPr>
        <w:t xml:space="preserve">refacere aleii carosabile </w:t>
      </w:r>
      <w:r>
        <w:rPr>
          <w:rFonts w:ascii="Arial" w:hAnsi="Arial" w:cs="Arial"/>
        </w:rPr>
        <w:t>ș</w:t>
      </w:r>
      <w:r w:rsidRPr="00501E2C">
        <w:rPr>
          <w:rFonts w:ascii="Arial" w:hAnsi="Arial" w:cs="Arial"/>
        </w:rPr>
        <w:t>i pietonale;</w:t>
      </w:r>
    </w:p>
    <w:p w:rsidR="00012F90" w:rsidRPr="00501E2C" w:rsidRDefault="00012F90" w:rsidP="005E6B2E">
      <w:pPr>
        <w:pStyle w:val="ListParagraph"/>
        <w:numPr>
          <w:ilvl w:val="0"/>
          <w:numId w:val="55"/>
        </w:numPr>
        <w:jc w:val="both"/>
        <w:rPr>
          <w:rFonts w:ascii="Arial" w:hAnsi="Arial" w:cs="Arial"/>
        </w:rPr>
      </w:pPr>
      <w:r w:rsidRPr="00501E2C">
        <w:rPr>
          <w:rFonts w:ascii="Arial" w:hAnsi="Arial" w:cs="Arial"/>
        </w:rPr>
        <w:t>amenajare peisager</w:t>
      </w:r>
      <w:r>
        <w:rPr>
          <w:rFonts w:ascii="Arial" w:hAnsi="Arial" w:cs="Arial"/>
        </w:rPr>
        <w:t>ă</w:t>
      </w:r>
      <w:r w:rsidRPr="00501E2C">
        <w:rPr>
          <w:rFonts w:ascii="Arial" w:hAnsi="Arial" w:cs="Arial"/>
        </w:rPr>
        <w:t xml:space="preserve"> (toaletarea </w:t>
      </w:r>
      <w:r>
        <w:rPr>
          <w:rFonts w:ascii="Arial" w:hAnsi="Arial" w:cs="Arial"/>
        </w:rPr>
        <w:t>ș</w:t>
      </w:r>
      <w:r w:rsidRPr="00501E2C">
        <w:rPr>
          <w:rFonts w:ascii="Arial" w:hAnsi="Arial" w:cs="Arial"/>
        </w:rPr>
        <w:t xml:space="preserve">i </w:t>
      </w:r>
      <w:r>
        <w:rPr>
          <w:rFonts w:ascii="Arial" w:hAnsi="Arial" w:cs="Arial"/>
        </w:rPr>
        <w:t>î</w:t>
      </w:r>
      <w:r w:rsidRPr="00501E2C">
        <w:rPr>
          <w:rFonts w:ascii="Arial" w:hAnsi="Arial" w:cs="Arial"/>
        </w:rPr>
        <w:t>nlocuirea vegeta</w:t>
      </w:r>
      <w:r>
        <w:rPr>
          <w:rFonts w:ascii="Arial" w:hAnsi="Arial" w:cs="Arial"/>
        </w:rPr>
        <w:t>ț</w:t>
      </w:r>
      <w:r w:rsidRPr="00501E2C">
        <w:rPr>
          <w:rFonts w:ascii="Arial" w:hAnsi="Arial" w:cs="Arial"/>
        </w:rPr>
        <w:t>iei existente);</w:t>
      </w:r>
    </w:p>
    <w:p w:rsidR="00012F90" w:rsidRPr="00501E2C" w:rsidRDefault="00012F90" w:rsidP="005E6B2E">
      <w:pPr>
        <w:pStyle w:val="ListParagraph"/>
        <w:numPr>
          <w:ilvl w:val="0"/>
          <w:numId w:val="55"/>
        </w:numPr>
        <w:jc w:val="both"/>
        <w:rPr>
          <w:rFonts w:ascii="Arial" w:hAnsi="Arial" w:cs="Arial"/>
          <w:lang w:val="it-IT"/>
        </w:rPr>
      </w:pPr>
      <w:r w:rsidRPr="00501E2C">
        <w:rPr>
          <w:rFonts w:ascii="Arial" w:hAnsi="Arial" w:cs="Arial"/>
        </w:rPr>
        <w:t>dot</w:t>
      </w:r>
      <w:r>
        <w:rPr>
          <w:rFonts w:ascii="Arial" w:hAnsi="Arial" w:cs="Arial"/>
        </w:rPr>
        <w:t>ă</w:t>
      </w:r>
      <w:r w:rsidRPr="00501E2C">
        <w:rPr>
          <w:rFonts w:ascii="Arial" w:hAnsi="Arial" w:cs="Arial"/>
        </w:rPr>
        <w:t xml:space="preserve">ri – locuri de relaxare </w:t>
      </w:r>
      <w:r>
        <w:rPr>
          <w:rFonts w:ascii="Arial" w:hAnsi="Arial" w:cs="Arial"/>
        </w:rPr>
        <w:t>ș</w:t>
      </w:r>
      <w:r w:rsidRPr="00501E2C">
        <w:rPr>
          <w:rFonts w:ascii="Arial" w:hAnsi="Arial" w:cs="Arial"/>
        </w:rPr>
        <w:t>i locuri de joac</w:t>
      </w:r>
      <w:r>
        <w:rPr>
          <w:rFonts w:ascii="Arial" w:hAnsi="Arial" w:cs="Arial"/>
        </w:rPr>
        <w:t>ă</w:t>
      </w:r>
      <w:r w:rsidRPr="00501E2C">
        <w:rPr>
          <w:rFonts w:ascii="Arial" w:hAnsi="Arial" w:cs="Arial"/>
        </w:rPr>
        <w:t xml:space="preserve"> pentru copii precum </w:t>
      </w:r>
      <w:r>
        <w:rPr>
          <w:rFonts w:ascii="Arial" w:hAnsi="Arial" w:cs="Arial"/>
        </w:rPr>
        <w:t>ș</w:t>
      </w:r>
      <w:r w:rsidRPr="00501E2C">
        <w:rPr>
          <w:rFonts w:ascii="Arial" w:hAnsi="Arial" w:cs="Arial"/>
        </w:rPr>
        <w:t xml:space="preserve">i montarea de mobilier stradal </w:t>
      </w:r>
      <w:r>
        <w:rPr>
          <w:rFonts w:ascii="Arial" w:hAnsi="Arial" w:cs="Arial"/>
        </w:rPr>
        <w:t>î</w:t>
      </w:r>
      <w:r w:rsidRPr="00501E2C">
        <w:rPr>
          <w:rFonts w:ascii="Arial" w:hAnsi="Arial" w:cs="Arial"/>
        </w:rPr>
        <w:t xml:space="preserve">n lungul aleilor. </w:t>
      </w:r>
    </w:p>
    <w:p w:rsidR="00012F90" w:rsidRDefault="00012F90" w:rsidP="00012F90">
      <w:pPr>
        <w:jc w:val="both"/>
        <w:rPr>
          <w:rFonts w:ascii="Arial" w:hAnsi="Arial" w:cs="Arial"/>
          <w:lang w:val="it-IT"/>
        </w:rPr>
      </w:pPr>
    </w:p>
    <w:p w:rsidR="00012F90" w:rsidRPr="001E6183" w:rsidRDefault="00012F90" w:rsidP="00012F90">
      <w:pPr>
        <w:jc w:val="both"/>
        <w:rPr>
          <w:rFonts w:ascii="Arial" w:hAnsi="Arial" w:cs="Arial"/>
          <w:lang w:val="it-IT"/>
        </w:rPr>
      </w:pPr>
      <w:r w:rsidRPr="001E6183">
        <w:rPr>
          <w:rFonts w:ascii="Arial" w:hAnsi="Arial" w:cs="Arial"/>
          <w:lang w:val="it-IT"/>
        </w:rPr>
        <w:t xml:space="preserve">Totodată in Parcul Monument </w:t>
      </w:r>
      <w:r w:rsidRPr="001E6183">
        <w:rPr>
          <w:rFonts w:ascii="Arial" w:hAnsi="Arial" w:cs="Arial"/>
        </w:rPr>
        <w:t xml:space="preserve">a fost realizată și </w:t>
      </w:r>
      <w:r w:rsidRPr="001E6183">
        <w:rPr>
          <w:rFonts w:ascii="Arial" w:hAnsi="Arial" w:cs="Arial"/>
          <w:lang w:val="it-IT"/>
        </w:rPr>
        <w:t>o pista de biciclete de 1000 m  cu 2 direcții de mers av</w:t>
      </w:r>
      <w:r>
        <w:rPr>
          <w:rFonts w:ascii="Arial" w:hAnsi="Arial" w:cs="Arial"/>
          <w:lang w:val="it-IT"/>
        </w:rPr>
        <w:t>â</w:t>
      </w:r>
      <w:r w:rsidRPr="001E6183">
        <w:rPr>
          <w:rFonts w:ascii="Arial" w:hAnsi="Arial" w:cs="Arial"/>
          <w:lang w:val="it-IT"/>
        </w:rPr>
        <w:t>nd l</w:t>
      </w:r>
      <w:r>
        <w:rPr>
          <w:rFonts w:ascii="Arial" w:hAnsi="Arial" w:cs="Arial"/>
          <w:lang w:val="it-IT"/>
        </w:rPr>
        <w:t>ăț</w:t>
      </w:r>
      <w:r w:rsidRPr="001E6183">
        <w:rPr>
          <w:rFonts w:ascii="Arial" w:hAnsi="Arial" w:cs="Arial"/>
          <w:lang w:val="it-IT"/>
        </w:rPr>
        <w:t>imea de 2 m.</w:t>
      </w:r>
    </w:p>
    <w:p w:rsidR="00012F90" w:rsidRPr="001E6183" w:rsidRDefault="00012F90" w:rsidP="00012F90">
      <w:pPr>
        <w:jc w:val="both"/>
        <w:rPr>
          <w:rFonts w:ascii="Arial" w:hAnsi="Arial" w:cs="Arial"/>
        </w:rPr>
      </w:pPr>
      <w:r w:rsidRPr="001E6183">
        <w:rPr>
          <w:rFonts w:ascii="Arial" w:hAnsi="Arial" w:cs="Arial"/>
        </w:rPr>
        <w:t>Prin suprafaţa şi diversitatea arhitecturii peisagere, Grădina Publică (</w:t>
      </w:r>
      <w:smartTag w:uri="urn:schemas-microsoft-com:office:smarttags" w:element="metricconverter">
        <w:smartTagPr>
          <w:attr w:name="ProductID" w:val="7,5 ha"/>
        </w:smartTagPr>
        <w:r w:rsidRPr="001E6183">
          <w:rPr>
            <w:rFonts w:ascii="Arial" w:hAnsi="Arial" w:cs="Arial"/>
          </w:rPr>
          <w:t>7,5 ha</w:t>
        </w:r>
      </w:smartTag>
      <w:r w:rsidRPr="001E6183">
        <w:rPr>
          <w:rFonts w:ascii="Arial" w:hAnsi="Arial" w:cs="Arial"/>
        </w:rPr>
        <w:t xml:space="preserve">), Grădina zoologică (4,55 ha) şi zona verde de pe Faleza Dunării (12,8ha)  şi Esplanada </w:t>
      </w:r>
      <w:r w:rsidRPr="001E6183">
        <w:rPr>
          <w:rFonts w:ascii="Arial" w:hAnsi="Arial" w:cs="Arial"/>
          <w:lang w:val="es-ES"/>
        </w:rPr>
        <w:t>Dunării</w:t>
      </w:r>
      <w:r w:rsidRPr="001E6183">
        <w:rPr>
          <w:rFonts w:ascii="Arial" w:hAnsi="Arial" w:cs="Arial"/>
        </w:rPr>
        <w:t xml:space="preserve"> (1,26ha) pot fi de asemenea incluse în categoria parcurilor. </w:t>
      </w:r>
    </w:p>
    <w:p w:rsidR="00012F90" w:rsidRPr="001E6183" w:rsidRDefault="00012F90" w:rsidP="00012F90">
      <w:pPr>
        <w:pStyle w:val="BodyText"/>
        <w:spacing w:after="0" w:line="240" w:lineRule="auto"/>
        <w:jc w:val="both"/>
        <w:rPr>
          <w:rFonts w:ascii="Arial" w:hAnsi="Arial" w:cs="Arial"/>
          <w:sz w:val="24"/>
          <w:szCs w:val="24"/>
        </w:rPr>
      </w:pPr>
      <w:r w:rsidRPr="001E6183">
        <w:rPr>
          <w:rFonts w:ascii="Arial" w:hAnsi="Arial" w:cs="Arial"/>
          <w:sz w:val="24"/>
          <w:szCs w:val="24"/>
        </w:rPr>
        <w:t xml:space="preserve">Staţiunea Lacu Sărat, amplasată la cca. </w:t>
      </w:r>
      <w:smartTag w:uri="urn:schemas-microsoft-com:office:smarttags" w:element="metricconverter">
        <w:smartTagPr>
          <w:attr w:name="ProductID" w:val="7 km"/>
        </w:smartTagPr>
        <w:r w:rsidRPr="001E6183">
          <w:rPr>
            <w:rFonts w:ascii="Arial" w:hAnsi="Arial" w:cs="Arial"/>
            <w:sz w:val="24"/>
            <w:szCs w:val="24"/>
          </w:rPr>
          <w:t>7 km</w:t>
        </w:r>
      </w:smartTag>
      <w:r w:rsidRPr="001E6183">
        <w:rPr>
          <w:rFonts w:ascii="Arial" w:hAnsi="Arial" w:cs="Arial"/>
          <w:sz w:val="24"/>
          <w:szCs w:val="24"/>
        </w:rPr>
        <w:t xml:space="preserve"> de Brăila, cu o suprafaţă de </w:t>
      </w:r>
      <w:smartTag w:uri="urn:schemas-microsoft-com:office:smarttags" w:element="metricconverter">
        <w:smartTagPr>
          <w:attr w:name="ProductID" w:val="33,85 ha"/>
        </w:smartTagPr>
        <w:r w:rsidRPr="001E6183">
          <w:rPr>
            <w:rFonts w:ascii="Arial" w:hAnsi="Arial" w:cs="Arial"/>
            <w:sz w:val="24"/>
            <w:szCs w:val="24"/>
          </w:rPr>
          <w:t>33,85 ha</w:t>
        </w:r>
      </w:smartTag>
      <w:r w:rsidRPr="001E6183">
        <w:rPr>
          <w:rFonts w:ascii="Arial" w:hAnsi="Arial" w:cs="Arial"/>
          <w:sz w:val="24"/>
          <w:szCs w:val="24"/>
        </w:rPr>
        <w:t xml:space="preserve"> este foarte frecventată de către populaţia brăileană mai ales pe parcursul sezonului de vară.</w:t>
      </w:r>
      <w:r w:rsidRPr="001E6183">
        <w:rPr>
          <w:rFonts w:ascii="Arial" w:hAnsi="Arial" w:cs="Arial"/>
          <w:bCs/>
          <w:sz w:val="24"/>
          <w:szCs w:val="24"/>
        </w:rPr>
        <w:t xml:space="preserve"> </w:t>
      </w:r>
      <w:r w:rsidRPr="001E6183">
        <w:rPr>
          <w:rFonts w:ascii="Arial" w:hAnsi="Arial" w:cs="Arial"/>
          <w:sz w:val="24"/>
          <w:szCs w:val="24"/>
        </w:rPr>
        <w:t xml:space="preserve">Municipiul beneficiază şi de plantaţiile din apropierea limitei teritorial administrativ: Pădurea Stejarul şi lizierele din zona dig mal. </w:t>
      </w:r>
    </w:p>
    <w:p w:rsidR="00012F90" w:rsidRPr="001E6183" w:rsidRDefault="00012F90" w:rsidP="00012F90">
      <w:pPr>
        <w:pStyle w:val="BodyText"/>
        <w:spacing w:after="0" w:line="240" w:lineRule="auto"/>
        <w:jc w:val="both"/>
        <w:rPr>
          <w:rFonts w:ascii="Arial" w:hAnsi="Arial" w:cs="Arial"/>
          <w:bCs/>
          <w:sz w:val="24"/>
          <w:szCs w:val="24"/>
        </w:rPr>
      </w:pPr>
      <w:r w:rsidRPr="001E6183">
        <w:rPr>
          <w:rFonts w:ascii="Arial" w:hAnsi="Arial" w:cs="Arial"/>
          <w:bCs/>
          <w:sz w:val="24"/>
          <w:szCs w:val="24"/>
        </w:rPr>
        <w:t xml:space="preserve">În oraşele Ianca şi Însurăţei au fost amenajate parcuri, dar acestea au suprafaţă mică ( </w:t>
      </w:r>
      <w:smartTag w:uri="urn:schemas-microsoft-com:office:smarttags" w:element="metricconverter">
        <w:smartTagPr>
          <w:attr w:name="ProductID" w:val="2,56 ha"/>
        </w:smartTagPr>
        <w:r w:rsidRPr="001E6183">
          <w:rPr>
            <w:rFonts w:ascii="Arial" w:hAnsi="Arial" w:cs="Arial"/>
            <w:bCs/>
            <w:sz w:val="24"/>
            <w:szCs w:val="24"/>
          </w:rPr>
          <w:t>2,56 ha</w:t>
        </w:r>
      </w:smartTag>
      <w:r w:rsidRPr="001E6183">
        <w:rPr>
          <w:rFonts w:ascii="Arial" w:hAnsi="Arial" w:cs="Arial"/>
          <w:bCs/>
          <w:sz w:val="24"/>
          <w:szCs w:val="24"/>
        </w:rPr>
        <w:t xml:space="preserve"> parcul din Ianca) şi varietate mică de specii forestiere ornamentale. </w:t>
      </w:r>
    </w:p>
    <w:p w:rsidR="00012F90" w:rsidRPr="001E6183" w:rsidRDefault="00012F90" w:rsidP="00012F90">
      <w:pPr>
        <w:jc w:val="both"/>
        <w:rPr>
          <w:rFonts w:ascii="Arial" w:hAnsi="Arial" w:cs="Arial"/>
        </w:rPr>
      </w:pPr>
      <w:r w:rsidRPr="001E6183">
        <w:rPr>
          <w:rFonts w:ascii="Arial" w:hAnsi="Arial" w:cs="Arial"/>
        </w:rPr>
        <w:t xml:space="preserve">Pentru extinderea suprafeţei spaţiilor verzi, astfel încât să se acopere deficitul existent, în municipiul Brăila au fost propuse realizarea de perdele de protecţie (pe zonele improprii construcţiilor) şi realizarea de noi aliniamente stradale. </w:t>
      </w:r>
    </w:p>
    <w:p w:rsidR="00012F90" w:rsidRPr="001E6183" w:rsidRDefault="00012F90" w:rsidP="00012F90">
      <w:pPr>
        <w:pStyle w:val="BlockText"/>
        <w:ind w:left="0" w:right="0" w:firstLine="0"/>
        <w:rPr>
          <w:rFonts w:ascii="Arial" w:hAnsi="Arial" w:cs="Arial"/>
          <w:sz w:val="24"/>
          <w:szCs w:val="24"/>
          <w:lang w:val="ro-RO"/>
        </w:rPr>
      </w:pPr>
      <w:r w:rsidRPr="001E6183">
        <w:rPr>
          <w:rFonts w:ascii="Arial" w:hAnsi="Arial" w:cs="Arial"/>
          <w:sz w:val="24"/>
          <w:szCs w:val="24"/>
          <w:lang w:val="ro-RO"/>
        </w:rPr>
        <w:t>Şi în extravilan s-ar putea extinde spaţiile verzi şi de agrement prin amenajarea Pădurii Stejarul, realizarea unor dotări pentru sporturi nautice în zona “Cărămidăriei” sau amenajarea zonei dig mal aferentă DJ 221A cu spaţii de cazare, de alimentaţie publică şi amenajări pentru pescuit, soluţii care au fost propuse cu ani în urmă, dar care nu au fost implementate.</w:t>
      </w:r>
    </w:p>
    <w:p w:rsidR="00012F90" w:rsidRDefault="00012F90" w:rsidP="00012F90">
      <w:pPr>
        <w:jc w:val="both"/>
        <w:rPr>
          <w:rFonts w:ascii="Arial" w:hAnsi="Arial" w:cs="Arial"/>
        </w:rPr>
      </w:pPr>
      <w:r w:rsidRPr="001E6183">
        <w:rPr>
          <w:rFonts w:ascii="Arial" w:hAnsi="Arial" w:cs="Arial"/>
        </w:rPr>
        <w:t xml:space="preserve">Pentru prevenirea unor efecte ale schimbărilor climatice cu care  ne confruntăm, pe lângă împăduririle care se fac în fond forestier sau pe terenuri degradate prin reconstrucţie ecologică, trebuie realizate perdele de protecţie precum şi extinderea spaţiilor verzi în mediul urban şi în intravilanul tuturor localităţilor </w:t>
      </w:r>
      <w:r>
        <w:rPr>
          <w:rFonts w:ascii="Arial" w:hAnsi="Arial" w:cs="Arial"/>
        </w:rPr>
        <w:t>î</w:t>
      </w:r>
      <w:r w:rsidRPr="001E6183">
        <w:rPr>
          <w:rFonts w:ascii="Arial" w:hAnsi="Arial" w:cs="Arial"/>
          <w:lang w:val="es-ES"/>
        </w:rPr>
        <w:t>n vederea  îndeplinirii  programului privind asigurarea necesarului de suprafeţe de spaţiu verde, conform prevederilor O.U.G. nr. 114/2007</w:t>
      </w:r>
      <w:r w:rsidRPr="001E6183">
        <w:rPr>
          <w:rFonts w:ascii="Arial" w:hAnsi="Arial" w:cs="Arial"/>
          <w:i/>
        </w:rPr>
        <w:t xml:space="preserve"> pentru modificarea şi completarea OUG.nr.195/2005 privind protecţia mediului</w:t>
      </w:r>
      <w:r w:rsidRPr="001E6183">
        <w:rPr>
          <w:rFonts w:ascii="Arial" w:hAnsi="Arial" w:cs="Arial"/>
        </w:rPr>
        <w:t>, respectiv atingerea țintei de minimum  26 m</w:t>
      </w:r>
      <w:r w:rsidRPr="001E6183">
        <w:rPr>
          <w:rFonts w:ascii="Arial" w:hAnsi="Arial" w:cs="Arial"/>
          <w:vertAlign w:val="superscript"/>
        </w:rPr>
        <w:t>2</w:t>
      </w:r>
      <w:r w:rsidRPr="001E6183">
        <w:rPr>
          <w:rFonts w:ascii="Arial" w:hAnsi="Arial" w:cs="Arial"/>
        </w:rPr>
        <w:t>/locuitor.</w:t>
      </w:r>
    </w:p>
    <w:p w:rsidR="00012F90" w:rsidRPr="00296F3F" w:rsidRDefault="00012F90" w:rsidP="00012F90">
      <w:pPr>
        <w:jc w:val="both"/>
        <w:rPr>
          <w:rFonts w:ascii="Arial" w:hAnsi="Arial" w:cs="Arial"/>
        </w:rPr>
      </w:pPr>
      <w:r w:rsidRPr="001E6183">
        <w:rPr>
          <w:rFonts w:ascii="Arial" w:hAnsi="Arial" w:cs="Arial"/>
        </w:rPr>
        <w:t xml:space="preserve"> Deasemenea, la extinderea extravilanului localităţilor autorităţile administraţiei publice locale au obligaţia să asigure 5% pentru amenajarea spaţiilor verzi publice, aşa cum este prevăzut în </w:t>
      </w:r>
      <w:r w:rsidRPr="001E6183">
        <w:rPr>
          <w:rFonts w:ascii="Arial" w:hAnsi="Arial" w:cs="Arial"/>
          <w:i/>
        </w:rPr>
        <w:t>legea nr.24/2007 privind reglementarea şi administrarea spaţiilor verzi din intravilanul localităţilor</w:t>
      </w:r>
      <w:r w:rsidRPr="001E6183">
        <w:rPr>
          <w:rFonts w:ascii="Arial" w:hAnsi="Arial" w:cs="Arial"/>
        </w:rPr>
        <w:t>, modificată şi completată cu legea nr. 313/2009.</w:t>
      </w:r>
    </w:p>
    <w:p w:rsidR="00012F90" w:rsidRPr="00066B6A" w:rsidRDefault="00012F90" w:rsidP="00012F90">
      <w:pPr>
        <w:pStyle w:val="Default"/>
        <w:jc w:val="center"/>
        <w:rPr>
          <w:rFonts w:ascii="Arial" w:hAnsi="Arial" w:cs="Arial"/>
          <w:b/>
          <w:color w:val="FF0000"/>
        </w:rPr>
      </w:pPr>
    </w:p>
    <w:p w:rsidR="00012F90" w:rsidRDefault="00012F90" w:rsidP="00012F90">
      <w:pPr>
        <w:tabs>
          <w:tab w:val="left" w:pos="954"/>
          <w:tab w:val="left" w:pos="2188"/>
        </w:tabs>
        <w:autoSpaceDE w:val="0"/>
        <w:autoSpaceDN w:val="0"/>
        <w:adjustRightInd w:val="0"/>
        <w:jc w:val="both"/>
        <w:rPr>
          <w:rFonts w:ascii="Arial" w:hAnsi="Arial" w:cs="Arial"/>
          <w:b/>
          <w:i/>
          <w:u w:val="single"/>
        </w:rPr>
      </w:pPr>
      <w:r w:rsidRPr="00895796">
        <w:rPr>
          <w:rFonts w:ascii="Arial" w:hAnsi="Arial" w:cs="Arial"/>
          <w:b/>
          <w:i/>
          <w:u w:val="single"/>
        </w:rPr>
        <w:t>IX.1.</w:t>
      </w:r>
      <w:r>
        <w:rPr>
          <w:rFonts w:ascii="Arial" w:hAnsi="Arial" w:cs="Arial"/>
          <w:b/>
          <w:i/>
          <w:u w:val="single"/>
        </w:rPr>
        <w:t>5</w:t>
      </w:r>
      <w:r w:rsidRPr="00895796">
        <w:rPr>
          <w:rFonts w:ascii="Arial" w:hAnsi="Arial" w:cs="Arial"/>
          <w:b/>
          <w:i/>
          <w:u w:val="single"/>
        </w:rPr>
        <w:t>. Schimbările climatice și efectele asupra mediului urban, sănătății și calității vieții</w:t>
      </w:r>
    </w:p>
    <w:p w:rsidR="00012F90" w:rsidRDefault="00012F90" w:rsidP="00012F90">
      <w:pPr>
        <w:rPr>
          <w:rFonts w:ascii="Arial" w:hAnsi="Arial" w:cs="Arial"/>
          <w:b/>
          <w:lang w:val="en-US"/>
        </w:rPr>
      </w:pPr>
    </w:p>
    <w:p w:rsidR="00012F90" w:rsidRPr="00E300F0" w:rsidRDefault="00012F90" w:rsidP="00012F90">
      <w:pPr>
        <w:rPr>
          <w:rFonts w:ascii="Arial" w:hAnsi="Arial" w:cs="Arial"/>
          <w:b/>
          <w:lang w:val="en-US"/>
        </w:rPr>
      </w:pPr>
      <w:r w:rsidRPr="00E300F0">
        <w:rPr>
          <w:rFonts w:ascii="Arial" w:hAnsi="Arial" w:cs="Arial"/>
          <w:b/>
          <w:lang w:val="en-US"/>
        </w:rPr>
        <w:t>Schimbarea vremii</w:t>
      </w:r>
      <w:r>
        <w:rPr>
          <w:rFonts w:ascii="Arial" w:hAnsi="Arial" w:cs="Arial"/>
          <w:b/>
          <w:lang w:val="en-US"/>
        </w:rPr>
        <w:t xml:space="preserve"> – I</w:t>
      </w:r>
      <w:r w:rsidRPr="00E300F0">
        <w:rPr>
          <w:rFonts w:ascii="Arial" w:hAnsi="Arial" w:cs="Arial"/>
          <w:b/>
          <w:lang w:val="en-US"/>
        </w:rPr>
        <w:t>mpact direct şi indirect asupra sănătăţii umane</w:t>
      </w:r>
    </w:p>
    <w:p w:rsidR="00012F90" w:rsidRDefault="00012F90" w:rsidP="00012F90">
      <w:pPr>
        <w:rPr>
          <w:rFonts w:ascii="Arial" w:hAnsi="Arial" w:cs="Arial"/>
          <w:lang w:val="en-US"/>
        </w:rPr>
      </w:pPr>
    </w:p>
    <w:p w:rsidR="00012F90" w:rsidRDefault="00012F90" w:rsidP="00012F90">
      <w:pPr>
        <w:jc w:val="both"/>
        <w:rPr>
          <w:rFonts w:ascii="Arial" w:hAnsi="Arial" w:cs="Arial"/>
          <w:lang w:val="en-US"/>
        </w:rPr>
      </w:pPr>
      <w:r w:rsidRPr="009C7335">
        <w:rPr>
          <w:rFonts w:ascii="Arial" w:hAnsi="Arial" w:cs="Arial"/>
          <w:b/>
          <w:lang w:val="en-US"/>
        </w:rPr>
        <w:t>Tabel</w:t>
      </w:r>
      <w:r>
        <w:rPr>
          <w:rFonts w:ascii="Arial" w:hAnsi="Arial" w:cs="Arial"/>
          <w:b/>
          <w:lang w:val="en-US"/>
        </w:rPr>
        <w:t>ul</w:t>
      </w:r>
      <w:r w:rsidRPr="009C7335">
        <w:rPr>
          <w:rFonts w:ascii="Arial" w:hAnsi="Arial" w:cs="Arial"/>
          <w:b/>
          <w:lang w:val="en-US"/>
        </w:rPr>
        <w:t xml:space="preserve"> nr.</w:t>
      </w:r>
      <w:r>
        <w:rPr>
          <w:rFonts w:ascii="Arial" w:hAnsi="Arial" w:cs="Arial"/>
          <w:b/>
          <w:lang w:val="en-US"/>
        </w:rPr>
        <w:t xml:space="preserve"> </w:t>
      </w:r>
      <w:r w:rsidRPr="009C7335">
        <w:rPr>
          <w:rFonts w:ascii="Arial" w:hAnsi="Arial" w:cs="Arial"/>
          <w:b/>
          <w:lang w:val="en-US"/>
        </w:rPr>
        <w:t>IX</w:t>
      </w:r>
      <w:r w:rsidRPr="009C7335">
        <w:rPr>
          <w:rFonts w:ascii="Arial" w:hAnsi="Arial" w:cs="Arial"/>
          <w:b/>
        </w:rPr>
        <w:t>1.5.-1</w:t>
      </w:r>
      <w:r>
        <w:rPr>
          <w:rFonts w:ascii="Arial" w:hAnsi="Arial" w:cs="Arial"/>
          <w:lang w:val="en-US"/>
        </w:rPr>
        <w:t xml:space="preserve"> C</w:t>
      </w:r>
      <w:r>
        <w:rPr>
          <w:rFonts w:ascii="Arial" w:hAnsi="Arial" w:cs="Arial"/>
        </w:rPr>
        <w:t>antități anuale și lunare de</w:t>
      </w:r>
      <w:r w:rsidRPr="00DC6723">
        <w:rPr>
          <w:rFonts w:ascii="Arial" w:hAnsi="Arial" w:cs="Arial"/>
          <w:lang w:val="en-US"/>
        </w:rPr>
        <w:t xml:space="preserve"> precipitaţii</w:t>
      </w:r>
      <w:r>
        <w:rPr>
          <w:rFonts w:ascii="Arial" w:hAnsi="Arial" w:cs="Arial"/>
          <w:lang w:val="en-US"/>
        </w:rPr>
        <w:t xml:space="preserve"> (mm) </w:t>
      </w:r>
      <w:r w:rsidRPr="00DC6723">
        <w:rPr>
          <w:rFonts w:ascii="Arial" w:hAnsi="Arial" w:cs="Arial"/>
          <w:lang w:val="en-US"/>
        </w:rPr>
        <w:t>înregistrate la staţia meteo</w:t>
      </w:r>
      <w:r>
        <w:rPr>
          <w:rFonts w:ascii="Arial" w:hAnsi="Arial" w:cs="Arial"/>
          <w:lang w:val="en-US"/>
        </w:rPr>
        <w:t xml:space="preserve">rologică </w:t>
      </w:r>
      <w:r w:rsidRPr="00DC6723">
        <w:rPr>
          <w:rFonts w:ascii="Arial" w:hAnsi="Arial" w:cs="Arial"/>
          <w:lang w:val="en-US"/>
        </w:rPr>
        <w:t xml:space="preserve"> Brăila </w:t>
      </w:r>
      <w:r>
        <w:rPr>
          <w:rFonts w:ascii="Arial" w:hAnsi="Arial" w:cs="Arial"/>
          <w:lang w:val="en-US"/>
        </w:rPr>
        <w:t>în perioada 2010 - 2014</w:t>
      </w:r>
    </w:p>
    <w:p w:rsidR="00012F90" w:rsidRDefault="00012F90" w:rsidP="00012F90">
      <w:pPr>
        <w:rPr>
          <w:rFonts w:ascii="Arial" w:hAnsi="Arial" w:cs="Arial"/>
          <w:lang w:val="en-US"/>
        </w:rPr>
      </w:pPr>
    </w:p>
    <w:tbl>
      <w:tblPr>
        <w:tblW w:w="0" w:type="auto"/>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829"/>
        <w:gridCol w:w="1228"/>
        <w:gridCol w:w="629"/>
        <w:gridCol w:w="628"/>
        <w:gridCol w:w="628"/>
        <w:gridCol w:w="628"/>
        <w:gridCol w:w="717"/>
        <w:gridCol w:w="745"/>
        <w:gridCol w:w="628"/>
        <w:gridCol w:w="628"/>
        <w:gridCol w:w="628"/>
        <w:gridCol w:w="628"/>
        <w:gridCol w:w="606"/>
        <w:gridCol w:w="717"/>
      </w:tblGrid>
      <w:tr w:rsidR="00012F90" w:rsidRPr="00396A70" w:rsidTr="00012F90">
        <w:tc>
          <w:tcPr>
            <w:tcW w:w="829" w:type="dxa"/>
            <w:tcBorders>
              <w:bottom w:val="nil"/>
            </w:tcBorders>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An</w:t>
            </w:r>
          </w:p>
        </w:tc>
        <w:tc>
          <w:tcPr>
            <w:tcW w:w="1182" w:type="dxa"/>
            <w:tcBorders>
              <w:bottom w:val="nil"/>
            </w:tcBorders>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Cantitatea anuală de precipitaţii (mm)</w:t>
            </w:r>
          </w:p>
        </w:tc>
        <w:tc>
          <w:tcPr>
            <w:tcW w:w="7595" w:type="dxa"/>
            <w:gridSpan w:val="12"/>
            <w:shd w:val="clear" w:color="auto" w:fill="FBD4B4" w:themeFill="accent6" w:themeFillTint="66"/>
            <w:vAlign w:val="center"/>
          </w:tcPr>
          <w:p w:rsidR="00012F90" w:rsidRPr="005C3A91" w:rsidRDefault="00012F90" w:rsidP="00012F90">
            <w:pPr>
              <w:jc w:val="center"/>
              <w:rPr>
                <w:rFonts w:ascii="Arial" w:hAnsi="Arial" w:cs="Arial"/>
                <w:b/>
                <w:lang w:val="en-US"/>
              </w:rPr>
            </w:pPr>
            <w:r w:rsidRPr="005C3A91">
              <w:rPr>
                <w:rFonts w:ascii="Arial" w:hAnsi="Arial" w:cs="Arial"/>
                <w:b/>
                <w:lang w:val="en-US"/>
              </w:rPr>
              <w:t>Cantitaţi lunare de precipitaţii (mm)</w:t>
            </w:r>
          </w:p>
        </w:tc>
      </w:tr>
      <w:tr w:rsidR="00012F90" w:rsidRPr="00396A70" w:rsidTr="00012F90">
        <w:trPr>
          <w:trHeight w:val="79"/>
        </w:trPr>
        <w:tc>
          <w:tcPr>
            <w:tcW w:w="829" w:type="dxa"/>
            <w:tcBorders>
              <w:top w:val="nil"/>
            </w:tcBorders>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p>
        </w:tc>
        <w:tc>
          <w:tcPr>
            <w:tcW w:w="1182" w:type="dxa"/>
            <w:tcBorders>
              <w:top w:val="nil"/>
            </w:tcBorders>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p>
        </w:tc>
        <w:tc>
          <w:tcPr>
            <w:tcW w:w="629"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ian</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feb</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mar</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apr</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mai</w:t>
            </w:r>
          </w:p>
        </w:tc>
        <w:tc>
          <w:tcPr>
            <w:tcW w:w="745"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iun</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iul</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aug</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sep</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oct</w:t>
            </w:r>
          </w:p>
        </w:tc>
        <w:tc>
          <w:tcPr>
            <w:tcW w:w="569"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noe</w:t>
            </w:r>
          </w:p>
        </w:tc>
        <w:tc>
          <w:tcPr>
            <w:tcW w:w="628" w:type="dxa"/>
            <w:shd w:val="clear" w:color="auto" w:fill="FBD4B4" w:themeFill="accent6" w:themeFillTint="66"/>
            <w:vAlign w:val="center"/>
          </w:tcPr>
          <w:p w:rsidR="00012F90" w:rsidRPr="005C3A91" w:rsidRDefault="00012F90" w:rsidP="00012F90">
            <w:pPr>
              <w:jc w:val="center"/>
              <w:rPr>
                <w:rFonts w:ascii="Arial" w:hAnsi="Arial" w:cs="Arial"/>
                <w:b/>
                <w:sz w:val="20"/>
                <w:szCs w:val="20"/>
                <w:lang w:val="en-US"/>
              </w:rPr>
            </w:pPr>
            <w:r w:rsidRPr="005C3A91">
              <w:rPr>
                <w:rFonts w:ascii="Arial" w:hAnsi="Arial" w:cs="Arial"/>
                <w:b/>
                <w:sz w:val="20"/>
                <w:szCs w:val="20"/>
                <w:lang w:val="en-US"/>
              </w:rPr>
              <w:t>dec</w:t>
            </w:r>
          </w:p>
        </w:tc>
      </w:tr>
      <w:tr w:rsidR="00012F90" w:rsidRPr="00396A70" w:rsidTr="00012F90">
        <w:tc>
          <w:tcPr>
            <w:tcW w:w="8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2010</w:t>
            </w:r>
          </w:p>
        </w:tc>
        <w:tc>
          <w:tcPr>
            <w:tcW w:w="1182"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653,6</w:t>
            </w:r>
          </w:p>
        </w:tc>
        <w:tc>
          <w:tcPr>
            <w:tcW w:w="6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32,5</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47,9</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28,3</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21,2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54,4</w:t>
            </w:r>
          </w:p>
        </w:tc>
        <w:tc>
          <w:tcPr>
            <w:tcW w:w="745"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165,5</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89,0</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19,2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21,2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69,6</w:t>
            </w:r>
          </w:p>
        </w:tc>
        <w:tc>
          <w:tcPr>
            <w:tcW w:w="56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82,7</w:t>
            </w:r>
          </w:p>
        </w:tc>
      </w:tr>
      <w:tr w:rsidR="00012F90" w:rsidRPr="00396A70" w:rsidTr="00012F90">
        <w:tc>
          <w:tcPr>
            <w:tcW w:w="8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2011</w:t>
            </w:r>
          </w:p>
        </w:tc>
        <w:tc>
          <w:tcPr>
            <w:tcW w:w="1182"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365,5</w:t>
            </w:r>
          </w:p>
        </w:tc>
        <w:tc>
          <w:tcPr>
            <w:tcW w:w="6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41,3</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21</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1,5</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71,2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40</w:t>
            </w:r>
          </w:p>
        </w:tc>
        <w:tc>
          <w:tcPr>
            <w:tcW w:w="745"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54,4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39,4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30,7</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31,4</w:t>
            </w:r>
          </w:p>
        </w:tc>
        <w:tc>
          <w:tcPr>
            <w:tcW w:w="56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0,8</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22,4</w:t>
            </w:r>
          </w:p>
        </w:tc>
      </w:tr>
      <w:tr w:rsidR="00012F90" w:rsidRPr="00396A70" w:rsidTr="00012F90">
        <w:tc>
          <w:tcPr>
            <w:tcW w:w="8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lastRenderedPageBreak/>
              <w:t>2012</w:t>
            </w:r>
          </w:p>
        </w:tc>
        <w:tc>
          <w:tcPr>
            <w:tcW w:w="1182"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633,1</w:t>
            </w:r>
          </w:p>
        </w:tc>
        <w:tc>
          <w:tcPr>
            <w:tcW w:w="6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70,2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40,1</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39,4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136,6</w:t>
            </w:r>
          </w:p>
        </w:tc>
        <w:tc>
          <w:tcPr>
            <w:tcW w:w="745"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51,2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23,5</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74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35</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28,9</w:t>
            </w:r>
          </w:p>
        </w:tc>
        <w:tc>
          <w:tcPr>
            <w:tcW w:w="56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22,8</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107,4</w:t>
            </w:r>
          </w:p>
        </w:tc>
      </w:tr>
      <w:tr w:rsidR="00012F90" w:rsidRPr="00396A70" w:rsidTr="00012F90">
        <w:tc>
          <w:tcPr>
            <w:tcW w:w="8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2013</w:t>
            </w:r>
          </w:p>
        </w:tc>
        <w:tc>
          <w:tcPr>
            <w:tcW w:w="1182"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491,</w:t>
            </w:r>
            <w:r>
              <w:rPr>
                <w:rFonts w:ascii="Arial" w:hAnsi="Arial" w:cs="Arial"/>
                <w:sz w:val="20"/>
                <w:szCs w:val="20"/>
                <w:lang w:val="en-US"/>
              </w:rPr>
              <w:t>8</w:t>
            </w:r>
          </w:p>
        </w:tc>
        <w:tc>
          <w:tcPr>
            <w:tcW w:w="6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66,2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46,1</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31,3</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16,4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55,9</w:t>
            </w:r>
          </w:p>
        </w:tc>
        <w:tc>
          <w:tcPr>
            <w:tcW w:w="745"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43,7</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48,6</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26,6</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60,4</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74,4</w:t>
            </w:r>
          </w:p>
        </w:tc>
        <w:tc>
          <w:tcPr>
            <w:tcW w:w="56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20,1</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2,1</w:t>
            </w:r>
          </w:p>
        </w:tc>
      </w:tr>
      <w:tr w:rsidR="00012F90" w:rsidRPr="00396A70" w:rsidTr="00012F90">
        <w:tc>
          <w:tcPr>
            <w:tcW w:w="8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2014</w:t>
            </w:r>
          </w:p>
        </w:tc>
        <w:tc>
          <w:tcPr>
            <w:tcW w:w="1182"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479,3</w:t>
            </w:r>
          </w:p>
        </w:tc>
        <w:tc>
          <w:tcPr>
            <w:tcW w:w="62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62,5</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6,1</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40</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43,2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52,5</w:t>
            </w:r>
          </w:p>
        </w:tc>
        <w:tc>
          <w:tcPr>
            <w:tcW w:w="745"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47,8</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27</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16,6</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13</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53,6</w:t>
            </w:r>
          </w:p>
        </w:tc>
        <w:tc>
          <w:tcPr>
            <w:tcW w:w="569"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56,2</w:t>
            </w:r>
          </w:p>
        </w:tc>
        <w:tc>
          <w:tcPr>
            <w:tcW w:w="628" w:type="dxa"/>
            <w:shd w:val="clear" w:color="auto" w:fill="FDE9D9" w:themeFill="accent6" w:themeFillTint="33"/>
            <w:vAlign w:val="center"/>
          </w:tcPr>
          <w:p w:rsidR="00012F90" w:rsidRPr="00396A70" w:rsidRDefault="00012F90" w:rsidP="00012F90">
            <w:pPr>
              <w:jc w:val="center"/>
              <w:rPr>
                <w:rFonts w:ascii="Arial" w:hAnsi="Arial" w:cs="Arial"/>
                <w:sz w:val="20"/>
                <w:szCs w:val="20"/>
                <w:lang w:val="en-US"/>
              </w:rPr>
            </w:pPr>
            <w:r w:rsidRPr="00396A70">
              <w:rPr>
                <w:rFonts w:ascii="Arial" w:hAnsi="Arial" w:cs="Arial"/>
                <w:sz w:val="20"/>
                <w:szCs w:val="20"/>
                <w:lang w:val="en-US"/>
              </w:rPr>
              <w:t>60,8</w:t>
            </w:r>
          </w:p>
        </w:tc>
      </w:tr>
    </w:tbl>
    <w:p w:rsidR="00012F90" w:rsidRPr="006170B7" w:rsidRDefault="00012F90" w:rsidP="00012F90">
      <w:pPr>
        <w:rPr>
          <w:rFonts w:ascii="Arial" w:hAnsi="Arial" w:cs="Arial"/>
          <w:lang w:val="en-US"/>
        </w:rPr>
      </w:pPr>
    </w:p>
    <w:p w:rsidR="00012F90" w:rsidRDefault="00012F90" w:rsidP="00012F90">
      <w:pPr>
        <w:rPr>
          <w:rFonts w:ascii="Arial" w:hAnsi="Arial" w:cs="Arial"/>
        </w:rPr>
      </w:pPr>
      <w:r w:rsidRPr="009C7335">
        <w:rPr>
          <w:rFonts w:ascii="Arial" w:hAnsi="Arial" w:cs="Arial"/>
          <w:b/>
          <w:lang w:val="en-US"/>
        </w:rPr>
        <w:t>Tabel</w:t>
      </w:r>
      <w:r>
        <w:rPr>
          <w:rFonts w:ascii="Arial" w:hAnsi="Arial" w:cs="Arial"/>
          <w:b/>
          <w:lang w:val="en-US"/>
        </w:rPr>
        <w:t>ul</w:t>
      </w:r>
      <w:r w:rsidRPr="009C7335">
        <w:rPr>
          <w:rFonts w:ascii="Arial" w:hAnsi="Arial" w:cs="Arial"/>
          <w:b/>
          <w:lang w:val="en-US"/>
        </w:rPr>
        <w:t xml:space="preserve"> nr.</w:t>
      </w:r>
      <w:r>
        <w:rPr>
          <w:rFonts w:ascii="Arial" w:hAnsi="Arial" w:cs="Arial"/>
          <w:b/>
          <w:lang w:val="en-US"/>
        </w:rPr>
        <w:t xml:space="preserve"> </w:t>
      </w:r>
      <w:r w:rsidRPr="009C7335">
        <w:rPr>
          <w:rFonts w:ascii="Arial" w:hAnsi="Arial" w:cs="Arial"/>
          <w:b/>
          <w:lang w:val="en-US"/>
        </w:rPr>
        <w:t>IX</w:t>
      </w:r>
      <w:r w:rsidRPr="009C7335">
        <w:rPr>
          <w:rFonts w:ascii="Arial" w:hAnsi="Arial" w:cs="Arial"/>
          <w:b/>
        </w:rPr>
        <w:t>1.5.</w:t>
      </w:r>
      <w:r>
        <w:rPr>
          <w:rFonts w:ascii="Arial" w:hAnsi="Arial" w:cs="Arial"/>
          <w:b/>
        </w:rPr>
        <w:t xml:space="preserve"> </w:t>
      </w:r>
      <w:r w:rsidRPr="009C7335">
        <w:rPr>
          <w:rFonts w:ascii="Arial" w:hAnsi="Arial" w:cs="Arial"/>
          <w:b/>
        </w:rPr>
        <w:t>-</w:t>
      </w:r>
      <w:r>
        <w:rPr>
          <w:rFonts w:ascii="Arial" w:hAnsi="Arial" w:cs="Arial"/>
          <w:b/>
        </w:rPr>
        <w:t xml:space="preserve"> 2</w:t>
      </w:r>
      <w:r>
        <w:rPr>
          <w:rFonts w:ascii="Arial" w:hAnsi="Arial" w:cs="Arial"/>
          <w:lang w:val="en-US"/>
        </w:rPr>
        <w:t xml:space="preserve"> </w:t>
      </w:r>
      <w:r w:rsidRPr="006170B7">
        <w:rPr>
          <w:rFonts w:ascii="Arial" w:hAnsi="Arial" w:cs="Arial"/>
        </w:rPr>
        <w:t>Temperatura medie multianuală (1975 – 2000) şi temperatura medie anuală a aerului (ºC) din perioada 200</w:t>
      </w:r>
      <w:r>
        <w:rPr>
          <w:rFonts w:ascii="Arial" w:hAnsi="Arial" w:cs="Arial"/>
        </w:rPr>
        <w:t>6</w:t>
      </w:r>
      <w:r w:rsidRPr="006170B7">
        <w:rPr>
          <w:rFonts w:ascii="Arial" w:hAnsi="Arial" w:cs="Arial"/>
        </w:rPr>
        <w:t xml:space="preserve"> – 201</w:t>
      </w:r>
      <w:r>
        <w:rPr>
          <w:rFonts w:ascii="Arial" w:hAnsi="Arial" w:cs="Arial"/>
        </w:rPr>
        <w:t>3</w:t>
      </w:r>
      <w:r w:rsidRPr="006170B7">
        <w:rPr>
          <w:rFonts w:ascii="Arial" w:hAnsi="Arial" w:cs="Arial"/>
        </w:rPr>
        <w:t>, de la staţia meteorologică  Brăila</w:t>
      </w:r>
    </w:p>
    <w:p w:rsidR="00012F90" w:rsidRPr="006170B7" w:rsidRDefault="00012F90" w:rsidP="00012F90">
      <w:pPr>
        <w:rPr>
          <w:rFonts w:ascii="Arial" w:hAnsi="Arial" w:cs="Aria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1079"/>
        <w:gridCol w:w="1361"/>
        <w:gridCol w:w="787"/>
        <w:gridCol w:w="850"/>
        <w:gridCol w:w="851"/>
        <w:gridCol w:w="992"/>
        <w:gridCol w:w="851"/>
        <w:gridCol w:w="850"/>
        <w:gridCol w:w="851"/>
        <w:gridCol w:w="992"/>
      </w:tblGrid>
      <w:tr w:rsidR="00012F90" w:rsidRPr="00EA5575" w:rsidTr="00012F90">
        <w:trPr>
          <w:jc w:val="center"/>
        </w:trPr>
        <w:tc>
          <w:tcPr>
            <w:tcW w:w="1079"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p>
        </w:tc>
        <w:tc>
          <w:tcPr>
            <w:tcW w:w="136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 xml:space="preserve">Media </w:t>
            </w:r>
          </w:p>
          <w:p w:rsidR="00012F90" w:rsidRPr="005C3A91" w:rsidRDefault="00012F90" w:rsidP="00012F90">
            <w:pPr>
              <w:jc w:val="center"/>
              <w:rPr>
                <w:rFonts w:ascii="Arial" w:hAnsi="Arial" w:cs="Arial"/>
                <w:b/>
                <w:sz w:val="20"/>
                <w:szCs w:val="20"/>
              </w:rPr>
            </w:pPr>
            <w:r w:rsidRPr="005C3A91">
              <w:rPr>
                <w:rFonts w:ascii="Arial" w:hAnsi="Arial" w:cs="Arial"/>
                <w:b/>
                <w:sz w:val="20"/>
                <w:szCs w:val="20"/>
              </w:rPr>
              <w:t>1975-2000</w:t>
            </w:r>
          </w:p>
        </w:tc>
        <w:tc>
          <w:tcPr>
            <w:tcW w:w="787"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2006</w:t>
            </w:r>
          </w:p>
        </w:tc>
        <w:tc>
          <w:tcPr>
            <w:tcW w:w="850"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2007</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2008</w:t>
            </w:r>
          </w:p>
        </w:tc>
        <w:tc>
          <w:tcPr>
            <w:tcW w:w="992"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2009</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2010</w:t>
            </w:r>
          </w:p>
        </w:tc>
        <w:tc>
          <w:tcPr>
            <w:tcW w:w="850"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2011</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2012</w:t>
            </w:r>
          </w:p>
        </w:tc>
        <w:tc>
          <w:tcPr>
            <w:tcW w:w="992"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2013</w:t>
            </w:r>
          </w:p>
        </w:tc>
      </w:tr>
      <w:tr w:rsidR="00012F90" w:rsidRPr="00EA5575" w:rsidTr="00012F90">
        <w:trPr>
          <w:trHeight w:hRule="exact" w:val="397"/>
          <w:jc w:val="center"/>
        </w:trPr>
        <w:tc>
          <w:tcPr>
            <w:tcW w:w="1079"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sidRPr="00EA5575">
              <w:rPr>
                <w:rFonts w:ascii="Arial" w:hAnsi="Arial" w:cs="Arial"/>
                <w:sz w:val="20"/>
                <w:szCs w:val="20"/>
              </w:rPr>
              <w:t>Brăila</w:t>
            </w:r>
          </w:p>
        </w:tc>
        <w:tc>
          <w:tcPr>
            <w:tcW w:w="136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sidRPr="00EA5575">
              <w:rPr>
                <w:rFonts w:ascii="Arial" w:hAnsi="Arial" w:cs="Arial"/>
                <w:sz w:val="20"/>
                <w:szCs w:val="20"/>
              </w:rPr>
              <w:t>10.7</w:t>
            </w:r>
          </w:p>
        </w:tc>
        <w:tc>
          <w:tcPr>
            <w:tcW w:w="787"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12.0</w:t>
            </w:r>
          </w:p>
        </w:tc>
        <w:tc>
          <w:tcPr>
            <w:tcW w:w="850"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11.6</w:t>
            </w:r>
          </w:p>
        </w:tc>
        <w:tc>
          <w:tcPr>
            <w:tcW w:w="85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10.6</w:t>
            </w:r>
          </w:p>
        </w:tc>
        <w:tc>
          <w:tcPr>
            <w:tcW w:w="992"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12.0</w:t>
            </w:r>
          </w:p>
        </w:tc>
        <w:tc>
          <w:tcPr>
            <w:tcW w:w="85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11.6</w:t>
            </w:r>
          </w:p>
        </w:tc>
        <w:tc>
          <w:tcPr>
            <w:tcW w:w="850"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10.6</w:t>
            </w:r>
          </w:p>
        </w:tc>
        <w:tc>
          <w:tcPr>
            <w:tcW w:w="85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w:t>
            </w:r>
          </w:p>
        </w:tc>
        <w:tc>
          <w:tcPr>
            <w:tcW w:w="992"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w:t>
            </w:r>
          </w:p>
        </w:tc>
      </w:tr>
    </w:tbl>
    <w:p w:rsidR="00012F90" w:rsidRDefault="00012F90" w:rsidP="00012F90">
      <w:pPr>
        <w:rPr>
          <w:rFonts w:ascii="Arial" w:hAnsi="Arial" w:cs="Arial"/>
        </w:rPr>
      </w:pPr>
      <w:r>
        <w:rPr>
          <w:rFonts w:ascii="Arial" w:hAnsi="Arial" w:cs="Arial"/>
        </w:rPr>
        <w:t>Notă : pentru anul 2012 nu se poate calcula temperatura medie anuală a aerului deoarece lipsesc înregistrări în lunile iulie și octombrie respectiv pentru anul 2013 lipsesc înregistrări în lunile iunie și iulie.</w:t>
      </w:r>
    </w:p>
    <w:p w:rsidR="00012F90" w:rsidRPr="006170B7" w:rsidRDefault="00012F90" w:rsidP="00012F90">
      <w:pPr>
        <w:rPr>
          <w:rFonts w:ascii="Arial" w:hAnsi="Arial" w:cs="Arial"/>
        </w:rPr>
      </w:pPr>
    </w:p>
    <w:p w:rsidR="00012F90" w:rsidRDefault="00012F90" w:rsidP="00012F90">
      <w:pPr>
        <w:rPr>
          <w:rFonts w:ascii="Arial" w:hAnsi="Arial" w:cs="Arial"/>
        </w:rPr>
      </w:pPr>
      <w:r w:rsidRPr="009C7335">
        <w:rPr>
          <w:rFonts w:ascii="Arial" w:hAnsi="Arial" w:cs="Arial"/>
          <w:b/>
          <w:lang w:val="en-US"/>
        </w:rPr>
        <w:t>Tabel</w:t>
      </w:r>
      <w:r>
        <w:rPr>
          <w:rFonts w:ascii="Arial" w:hAnsi="Arial" w:cs="Arial"/>
          <w:b/>
          <w:lang w:val="en-US"/>
        </w:rPr>
        <w:t xml:space="preserve">ul </w:t>
      </w:r>
      <w:r w:rsidRPr="009C7335">
        <w:rPr>
          <w:rFonts w:ascii="Arial" w:hAnsi="Arial" w:cs="Arial"/>
          <w:b/>
          <w:lang w:val="en-US"/>
        </w:rPr>
        <w:t xml:space="preserve"> nr.</w:t>
      </w:r>
      <w:r>
        <w:rPr>
          <w:rFonts w:ascii="Arial" w:hAnsi="Arial" w:cs="Arial"/>
          <w:b/>
          <w:lang w:val="en-US"/>
        </w:rPr>
        <w:t xml:space="preserve"> </w:t>
      </w:r>
      <w:r w:rsidRPr="009C7335">
        <w:rPr>
          <w:rFonts w:ascii="Arial" w:hAnsi="Arial" w:cs="Arial"/>
          <w:b/>
          <w:lang w:val="en-US"/>
        </w:rPr>
        <w:t>IX</w:t>
      </w:r>
      <w:r w:rsidRPr="009C7335">
        <w:rPr>
          <w:rFonts w:ascii="Arial" w:hAnsi="Arial" w:cs="Arial"/>
          <w:b/>
        </w:rPr>
        <w:t>1.5.</w:t>
      </w:r>
      <w:r>
        <w:rPr>
          <w:rFonts w:ascii="Arial" w:hAnsi="Arial" w:cs="Arial"/>
          <w:b/>
        </w:rPr>
        <w:t xml:space="preserve"> </w:t>
      </w:r>
      <w:r w:rsidRPr="009C7335">
        <w:rPr>
          <w:rFonts w:ascii="Arial" w:hAnsi="Arial" w:cs="Arial"/>
          <w:b/>
        </w:rPr>
        <w:t>-</w:t>
      </w:r>
      <w:r>
        <w:rPr>
          <w:rFonts w:ascii="Arial" w:hAnsi="Arial" w:cs="Arial"/>
          <w:lang w:val="en-US"/>
        </w:rPr>
        <w:t xml:space="preserve"> </w:t>
      </w:r>
      <w:r w:rsidRPr="005C3A91">
        <w:rPr>
          <w:rFonts w:ascii="Arial" w:hAnsi="Arial" w:cs="Arial"/>
          <w:b/>
        </w:rPr>
        <w:t>3</w:t>
      </w:r>
      <w:r w:rsidRPr="006170B7">
        <w:rPr>
          <w:rFonts w:ascii="Arial" w:hAnsi="Arial" w:cs="Arial"/>
        </w:rPr>
        <w:t xml:space="preserve"> Temperatura maximă anuală din perioada 2010 – 201</w:t>
      </w:r>
      <w:r>
        <w:rPr>
          <w:rFonts w:ascii="Arial" w:hAnsi="Arial" w:cs="Arial"/>
        </w:rPr>
        <w:t>3</w:t>
      </w:r>
      <w:r w:rsidRPr="006170B7">
        <w:rPr>
          <w:rFonts w:ascii="Arial" w:hAnsi="Arial" w:cs="Arial"/>
        </w:rPr>
        <w:t>, temperatura maximă absolută a aerului (ºC), respectiv data de producere a acestora, de la staţia meteorologică Brăila</w:t>
      </w:r>
    </w:p>
    <w:p w:rsidR="00012F90" w:rsidRPr="006170B7" w:rsidRDefault="00012F90" w:rsidP="00012F90">
      <w:pPr>
        <w:rPr>
          <w:rFonts w:ascii="Arial" w:hAnsi="Arial" w:cs="Aria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1079"/>
        <w:gridCol w:w="1361"/>
        <w:gridCol w:w="787"/>
        <w:gridCol w:w="850"/>
        <w:gridCol w:w="851"/>
        <w:gridCol w:w="992"/>
        <w:gridCol w:w="851"/>
        <w:gridCol w:w="850"/>
        <w:gridCol w:w="851"/>
        <w:gridCol w:w="992"/>
      </w:tblGrid>
      <w:tr w:rsidR="00012F90" w:rsidRPr="00EA5575" w:rsidTr="00012F90">
        <w:trPr>
          <w:jc w:val="center"/>
        </w:trPr>
        <w:tc>
          <w:tcPr>
            <w:tcW w:w="1079"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p>
        </w:tc>
        <w:tc>
          <w:tcPr>
            <w:tcW w:w="136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Maxima absolută</w:t>
            </w:r>
          </w:p>
        </w:tc>
        <w:tc>
          <w:tcPr>
            <w:tcW w:w="787"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2006</w:t>
            </w:r>
          </w:p>
        </w:tc>
        <w:tc>
          <w:tcPr>
            <w:tcW w:w="850"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2007</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2008</w:t>
            </w:r>
          </w:p>
        </w:tc>
        <w:tc>
          <w:tcPr>
            <w:tcW w:w="992"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2009</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2010</w:t>
            </w:r>
          </w:p>
        </w:tc>
        <w:tc>
          <w:tcPr>
            <w:tcW w:w="850"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2011</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2012</w:t>
            </w:r>
          </w:p>
        </w:tc>
        <w:tc>
          <w:tcPr>
            <w:tcW w:w="992"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2013</w:t>
            </w:r>
          </w:p>
        </w:tc>
      </w:tr>
      <w:tr w:rsidR="00012F90" w:rsidRPr="00EA5575" w:rsidTr="00012F90">
        <w:trPr>
          <w:trHeight w:hRule="exact" w:val="616"/>
          <w:jc w:val="center"/>
        </w:trPr>
        <w:tc>
          <w:tcPr>
            <w:tcW w:w="1079"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sidRPr="00EA5575">
              <w:rPr>
                <w:rFonts w:ascii="Arial" w:hAnsi="Arial" w:cs="Arial"/>
                <w:sz w:val="20"/>
                <w:szCs w:val="20"/>
              </w:rPr>
              <w:t>Brăila</w:t>
            </w:r>
          </w:p>
        </w:tc>
        <w:tc>
          <w:tcPr>
            <w:tcW w:w="1361"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41.1</w:t>
            </w:r>
          </w:p>
          <w:p w:rsidR="00012F90" w:rsidRPr="00EA5575" w:rsidRDefault="00012F90" w:rsidP="00012F90">
            <w:pPr>
              <w:jc w:val="center"/>
              <w:rPr>
                <w:rFonts w:ascii="Arial" w:hAnsi="Arial" w:cs="Arial"/>
                <w:sz w:val="20"/>
                <w:szCs w:val="20"/>
              </w:rPr>
            </w:pPr>
            <w:r>
              <w:rPr>
                <w:rFonts w:ascii="Arial" w:hAnsi="Arial" w:cs="Arial"/>
                <w:sz w:val="20"/>
                <w:szCs w:val="20"/>
              </w:rPr>
              <w:t>(23.07.2007)</w:t>
            </w:r>
          </w:p>
        </w:tc>
        <w:tc>
          <w:tcPr>
            <w:tcW w:w="787"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36.6/</w:t>
            </w:r>
          </w:p>
          <w:p w:rsidR="00012F90" w:rsidRPr="00EA5575" w:rsidRDefault="00012F90" w:rsidP="00012F90">
            <w:pPr>
              <w:jc w:val="both"/>
              <w:rPr>
                <w:rFonts w:ascii="Arial" w:hAnsi="Arial" w:cs="Arial"/>
                <w:sz w:val="20"/>
                <w:szCs w:val="20"/>
              </w:rPr>
            </w:pPr>
            <w:r>
              <w:rPr>
                <w:rFonts w:ascii="Arial" w:hAnsi="Arial" w:cs="Arial"/>
                <w:sz w:val="20"/>
                <w:szCs w:val="20"/>
              </w:rPr>
              <w:t>20.08</w:t>
            </w:r>
          </w:p>
        </w:tc>
        <w:tc>
          <w:tcPr>
            <w:tcW w:w="850"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41.1/</w:t>
            </w:r>
          </w:p>
          <w:p w:rsidR="00012F90" w:rsidRPr="00EA5575" w:rsidRDefault="00012F90" w:rsidP="00012F90">
            <w:pPr>
              <w:jc w:val="center"/>
              <w:rPr>
                <w:rFonts w:ascii="Arial" w:hAnsi="Arial" w:cs="Arial"/>
                <w:sz w:val="20"/>
                <w:szCs w:val="20"/>
              </w:rPr>
            </w:pPr>
            <w:r>
              <w:rPr>
                <w:rFonts w:ascii="Arial" w:hAnsi="Arial" w:cs="Arial"/>
                <w:sz w:val="20"/>
                <w:szCs w:val="20"/>
              </w:rPr>
              <w:t>23.07</w:t>
            </w:r>
          </w:p>
        </w:tc>
        <w:tc>
          <w:tcPr>
            <w:tcW w:w="851"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38.5/</w:t>
            </w:r>
          </w:p>
          <w:p w:rsidR="00012F90" w:rsidRPr="00EA5575" w:rsidRDefault="00012F90" w:rsidP="00012F90">
            <w:pPr>
              <w:jc w:val="center"/>
              <w:rPr>
                <w:rFonts w:ascii="Arial" w:hAnsi="Arial" w:cs="Arial"/>
                <w:sz w:val="20"/>
                <w:szCs w:val="20"/>
              </w:rPr>
            </w:pPr>
            <w:r>
              <w:rPr>
                <w:rFonts w:ascii="Arial" w:hAnsi="Arial" w:cs="Arial"/>
                <w:sz w:val="20"/>
                <w:szCs w:val="20"/>
              </w:rPr>
              <w:t>16.08</w:t>
            </w:r>
          </w:p>
        </w:tc>
        <w:tc>
          <w:tcPr>
            <w:tcW w:w="992"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38/</w:t>
            </w:r>
          </w:p>
          <w:p w:rsidR="00012F90" w:rsidRPr="00EA5575" w:rsidRDefault="00012F90" w:rsidP="00012F90">
            <w:pPr>
              <w:jc w:val="center"/>
              <w:rPr>
                <w:rFonts w:ascii="Arial" w:hAnsi="Arial" w:cs="Arial"/>
                <w:sz w:val="20"/>
                <w:szCs w:val="20"/>
              </w:rPr>
            </w:pPr>
            <w:r>
              <w:rPr>
                <w:rFonts w:ascii="Arial" w:hAnsi="Arial" w:cs="Arial"/>
                <w:sz w:val="20"/>
                <w:szCs w:val="20"/>
              </w:rPr>
              <w:t>24.07</w:t>
            </w:r>
          </w:p>
        </w:tc>
        <w:tc>
          <w:tcPr>
            <w:tcW w:w="851"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37.2/</w:t>
            </w:r>
          </w:p>
          <w:p w:rsidR="00012F90" w:rsidRPr="00EA5575" w:rsidRDefault="00012F90" w:rsidP="00012F90">
            <w:pPr>
              <w:jc w:val="center"/>
              <w:rPr>
                <w:rFonts w:ascii="Arial" w:hAnsi="Arial" w:cs="Arial"/>
                <w:sz w:val="20"/>
                <w:szCs w:val="20"/>
              </w:rPr>
            </w:pPr>
            <w:r>
              <w:rPr>
                <w:rFonts w:ascii="Arial" w:hAnsi="Arial" w:cs="Arial"/>
                <w:sz w:val="20"/>
                <w:szCs w:val="20"/>
              </w:rPr>
              <w:t>15.08</w:t>
            </w:r>
          </w:p>
        </w:tc>
        <w:tc>
          <w:tcPr>
            <w:tcW w:w="850"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36.2/</w:t>
            </w:r>
          </w:p>
          <w:p w:rsidR="00012F90" w:rsidRPr="00EA5575" w:rsidRDefault="00012F90" w:rsidP="00012F90">
            <w:pPr>
              <w:jc w:val="center"/>
              <w:rPr>
                <w:rFonts w:ascii="Arial" w:hAnsi="Arial" w:cs="Arial"/>
                <w:sz w:val="20"/>
                <w:szCs w:val="20"/>
              </w:rPr>
            </w:pPr>
            <w:r>
              <w:rPr>
                <w:rFonts w:ascii="Arial" w:hAnsi="Arial" w:cs="Arial"/>
                <w:sz w:val="20"/>
                <w:szCs w:val="20"/>
              </w:rPr>
              <w:t>20.07</w:t>
            </w:r>
          </w:p>
        </w:tc>
        <w:tc>
          <w:tcPr>
            <w:tcW w:w="851"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40.1/</w:t>
            </w:r>
          </w:p>
          <w:p w:rsidR="00012F90" w:rsidRPr="00EA5575" w:rsidRDefault="00012F90" w:rsidP="00012F90">
            <w:pPr>
              <w:jc w:val="center"/>
              <w:rPr>
                <w:rFonts w:ascii="Arial" w:hAnsi="Arial" w:cs="Arial"/>
                <w:sz w:val="20"/>
                <w:szCs w:val="20"/>
              </w:rPr>
            </w:pPr>
            <w:r>
              <w:rPr>
                <w:rFonts w:ascii="Arial" w:hAnsi="Arial" w:cs="Arial"/>
                <w:sz w:val="20"/>
                <w:szCs w:val="20"/>
              </w:rPr>
              <w:t>07.08</w:t>
            </w:r>
          </w:p>
        </w:tc>
        <w:tc>
          <w:tcPr>
            <w:tcW w:w="992" w:type="dxa"/>
            <w:shd w:val="clear" w:color="auto" w:fill="FDE9D9" w:themeFill="accent6" w:themeFillTint="33"/>
            <w:vAlign w:val="center"/>
          </w:tcPr>
          <w:p w:rsidR="00012F90" w:rsidRDefault="00012F90" w:rsidP="00012F90">
            <w:pPr>
              <w:jc w:val="center"/>
              <w:rPr>
                <w:rFonts w:ascii="Arial" w:hAnsi="Arial" w:cs="Arial"/>
                <w:sz w:val="20"/>
                <w:szCs w:val="20"/>
              </w:rPr>
            </w:pPr>
            <w:r>
              <w:rPr>
                <w:rFonts w:ascii="Arial" w:hAnsi="Arial" w:cs="Arial"/>
                <w:sz w:val="20"/>
                <w:szCs w:val="20"/>
              </w:rPr>
              <w:t>36.2/</w:t>
            </w:r>
          </w:p>
          <w:p w:rsidR="00012F90" w:rsidRPr="00EA5575" w:rsidRDefault="00012F90" w:rsidP="00012F90">
            <w:pPr>
              <w:jc w:val="center"/>
              <w:rPr>
                <w:rFonts w:ascii="Arial" w:hAnsi="Arial" w:cs="Arial"/>
                <w:sz w:val="20"/>
                <w:szCs w:val="20"/>
              </w:rPr>
            </w:pPr>
            <w:r>
              <w:rPr>
                <w:rFonts w:ascii="Arial" w:hAnsi="Arial" w:cs="Arial"/>
                <w:sz w:val="20"/>
                <w:szCs w:val="20"/>
              </w:rPr>
              <w:t>30.07</w:t>
            </w:r>
          </w:p>
        </w:tc>
      </w:tr>
    </w:tbl>
    <w:p w:rsidR="00012F90" w:rsidRPr="006170B7" w:rsidRDefault="00012F90" w:rsidP="00012F90">
      <w:pPr>
        <w:rPr>
          <w:rFonts w:ascii="Arial" w:hAnsi="Arial" w:cs="Arial"/>
          <w:lang w:val="en-US"/>
        </w:rPr>
      </w:pPr>
    </w:p>
    <w:p w:rsidR="00012F90" w:rsidRDefault="00012F90" w:rsidP="00012F90">
      <w:pPr>
        <w:rPr>
          <w:rFonts w:ascii="Arial" w:hAnsi="Arial" w:cs="Arial"/>
        </w:rPr>
      </w:pPr>
      <w:r w:rsidRPr="009C7335">
        <w:rPr>
          <w:rFonts w:ascii="Arial" w:hAnsi="Arial" w:cs="Arial"/>
          <w:b/>
          <w:lang w:val="en-US"/>
        </w:rPr>
        <w:t>Tabel</w:t>
      </w:r>
      <w:r>
        <w:rPr>
          <w:rFonts w:ascii="Arial" w:hAnsi="Arial" w:cs="Arial"/>
          <w:b/>
          <w:lang w:val="en-US"/>
        </w:rPr>
        <w:t>ul</w:t>
      </w:r>
      <w:r w:rsidRPr="009C7335">
        <w:rPr>
          <w:rFonts w:ascii="Arial" w:hAnsi="Arial" w:cs="Arial"/>
          <w:b/>
          <w:lang w:val="en-US"/>
        </w:rPr>
        <w:t xml:space="preserve"> </w:t>
      </w:r>
      <w:r>
        <w:rPr>
          <w:rFonts w:ascii="Arial" w:hAnsi="Arial" w:cs="Arial"/>
          <w:b/>
          <w:lang w:val="en-US"/>
        </w:rPr>
        <w:t xml:space="preserve"> </w:t>
      </w:r>
      <w:r w:rsidRPr="009C7335">
        <w:rPr>
          <w:rFonts w:ascii="Arial" w:hAnsi="Arial" w:cs="Arial"/>
          <w:b/>
          <w:lang w:val="en-US"/>
        </w:rPr>
        <w:t>nr.</w:t>
      </w:r>
      <w:r>
        <w:rPr>
          <w:rFonts w:ascii="Arial" w:hAnsi="Arial" w:cs="Arial"/>
          <w:b/>
          <w:lang w:val="en-US"/>
        </w:rPr>
        <w:t xml:space="preserve"> </w:t>
      </w:r>
      <w:r w:rsidRPr="009C7335">
        <w:rPr>
          <w:rFonts w:ascii="Arial" w:hAnsi="Arial" w:cs="Arial"/>
          <w:b/>
          <w:lang w:val="en-US"/>
        </w:rPr>
        <w:t>IX</w:t>
      </w:r>
      <w:r w:rsidRPr="009C7335">
        <w:rPr>
          <w:rFonts w:ascii="Arial" w:hAnsi="Arial" w:cs="Arial"/>
          <w:b/>
        </w:rPr>
        <w:t>1.5.</w:t>
      </w:r>
      <w:r>
        <w:rPr>
          <w:rFonts w:ascii="Arial" w:hAnsi="Arial" w:cs="Arial"/>
          <w:b/>
        </w:rPr>
        <w:t xml:space="preserve"> -</w:t>
      </w:r>
      <w:r>
        <w:rPr>
          <w:rFonts w:ascii="Arial" w:hAnsi="Arial" w:cs="Arial"/>
          <w:lang w:val="en-US"/>
        </w:rPr>
        <w:t xml:space="preserve"> </w:t>
      </w:r>
      <w:r w:rsidRPr="006170B7">
        <w:rPr>
          <w:rFonts w:ascii="Arial" w:hAnsi="Arial" w:cs="Arial"/>
        </w:rPr>
        <w:t>4 Cantitatea medie multianuală (1975 – 2000) şi cantitatea anuală de precipitaţii (mm) din perioada 2010 – 2014, de la staţia meteorologică Brăila</w:t>
      </w:r>
    </w:p>
    <w:p w:rsidR="00012F90" w:rsidRPr="006170B7" w:rsidRDefault="00012F90" w:rsidP="00012F90">
      <w:pPr>
        <w:rPr>
          <w:rFonts w:ascii="Arial" w:hAnsi="Arial" w:cs="Arial"/>
        </w:rPr>
      </w:pPr>
    </w:p>
    <w:tbl>
      <w:tblPr>
        <w:tblW w:w="946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FDE9D9" w:themeFill="accent6" w:themeFillTint="33"/>
        <w:tblLayout w:type="fixed"/>
        <w:tblLook w:val="04A0"/>
      </w:tblPr>
      <w:tblGrid>
        <w:gridCol w:w="1526"/>
        <w:gridCol w:w="914"/>
        <w:gridCol w:w="787"/>
        <w:gridCol w:w="850"/>
        <w:gridCol w:w="851"/>
        <w:gridCol w:w="992"/>
        <w:gridCol w:w="851"/>
        <w:gridCol w:w="850"/>
        <w:gridCol w:w="851"/>
        <w:gridCol w:w="992"/>
      </w:tblGrid>
      <w:tr w:rsidR="00012F90" w:rsidRPr="00EA5575" w:rsidTr="00012F90">
        <w:trPr>
          <w:jc w:val="center"/>
        </w:trPr>
        <w:tc>
          <w:tcPr>
            <w:tcW w:w="1526"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 xml:space="preserve">Media </w:t>
            </w:r>
          </w:p>
          <w:p w:rsidR="00012F90" w:rsidRPr="005C3A91" w:rsidRDefault="00012F90" w:rsidP="00012F90">
            <w:pPr>
              <w:jc w:val="center"/>
              <w:rPr>
                <w:rFonts w:ascii="Arial" w:hAnsi="Arial" w:cs="Arial"/>
                <w:b/>
                <w:sz w:val="20"/>
                <w:szCs w:val="20"/>
              </w:rPr>
            </w:pPr>
            <w:r w:rsidRPr="005C3A91">
              <w:rPr>
                <w:rFonts w:ascii="Arial" w:hAnsi="Arial" w:cs="Arial"/>
                <w:b/>
                <w:sz w:val="20"/>
                <w:szCs w:val="20"/>
              </w:rPr>
              <w:t>1975-2000</w:t>
            </w:r>
          </w:p>
        </w:tc>
        <w:tc>
          <w:tcPr>
            <w:tcW w:w="914"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2006</w:t>
            </w:r>
          </w:p>
        </w:tc>
        <w:tc>
          <w:tcPr>
            <w:tcW w:w="787"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2007</w:t>
            </w:r>
          </w:p>
        </w:tc>
        <w:tc>
          <w:tcPr>
            <w:tcW w:w="850"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2008</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2009</w:t>
            </w:r>
          </w:p>
        </w:tc>
        <w:tc>
          <w:tcPr>
            <w:tcW w:w="992"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2010</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2011</w:t>
            </w:r>
          </w:p>
        </w:tc>
        <w:tc>
          <w:tcPr>
            <w:tcW w:w="850"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2012</w:t>
            </w:r>
          </w:p>
        </w:tc>
        <w:tc>
          <w:tcPr>
            <w:tcW w:w="851"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2013</w:t>
            </w:r>
          </w:p>
        </w:tc>
        <w:tc>
          <w:tcPr>
            <w:tcW w:w="992" w:type="dxa"/>
            <w:shd w:val="clear" w:color="auto" w:fill="FDE9D9" w:themeFill="accent6" w:themeFillTint="33"/>
            <w:vAlign w:val="center"/>
          </w:tcPr>
          <w:p w:rsidR="00012F90" w:rsidRPr="005C3A91" w:rsidRDefault="00012F90" w:rsidP="00012F90">
            <w:pPr>
              <w:jc w:val="center"/>
              <w:rPr>
                <w:rFonts w:ascii="Arial" w:hAnsi="Arial" w:cs="Arial"/>
                <w:b/>
                <w:sz w:val="20"/>
                <w:szCs w:val="20"/>
              </w:rPr>
            </w:pPr>
            <w:r w:rsidRPr="005C3A91">
              <w:rPr>
                <w:rFonts w:ascii="Arial" w:hAnsi="Arial" w:cs="Arial"/>
                <w:b/>
                <w:sz w:val="20"/>
                <w:szCs w:val="20"/>
              </w:rPr>
              <w:t>2014</w:t>
            </w:r>
          </w:p>
        </w:tc>
      </w:tr>
      <w:tr w:rsidR="00012F90" w:rsidRPr="00EA5575" w:rsidTr="00012F90">
        <w:trPr>
          <w:trHeight w:hRule="exact" w:val="397"/>
          <w:jc w:val="center"/>
        </w:trPr>
        <w:tc>
          <w:tcPr>
            <w:tcW w:w="1526"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Brăila = 425.9</w:t>
            </w:r>
          </w:p>
        </w:tc>
        <w:tc>
          <w:tcPr>
            <w:tcW w:w="914"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350.5</w:t>
            </w:r>
          </w:p>
        </w:tc>
        <w:tc>
          <w:tcPr>
            <w:tcW w:w="787"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478.9</w:t>
            </w:r>
          </w:p>
        </w:tc>
        <w:tc>
          <w:tcPr>
            <w:tcW w:w="850"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338.1</w:t>
            </w:r>
          </w:p>
        </w:tc>
        <w:tc>
          <w:tcPr>
            <w:tcW w:w="85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420.2</w:t>
            </w:r>
          </w:p>
        </w:tc>
        <w:tc>
          <w:tcPr>
            <w:tcW w:w="992"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653.6</w:t>
            </w:r>
          </w:p>
        </w:tc>
        <w:tc>
          <w:tcPr>
            <w:tcW w:w="85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365.5</w:t>
            </w:r>
          </w:p>
        </w:tc>
        <w:tc>
          <w:tcPr>
            <w:tcW w:w="850"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633.1</w:t>
            </w:r>
          </w:p>
        </w:tc>
        <w:tc>
          <w:tcPr>
            <w:tcW w:w="851"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491.8</w:t>
            </w:r>
          </w:p>
        </w:tc>
        <w:tc>
          <w:tcPr>
            <w:tcW w:w="992" w:type="dxa"/>
            <w:shd w:val="clear" w:color="auto" w:fill="FDE9D9" w:themeFill="accent6" w:themeFillTint="33"/>
            <w:vAlign w:val="center"/>
          </w:tcPr>
          <w:p w:rsidR="00012F90" w:rsidRPr="00EA5575" w:rsidRDefault="00012F90" w:rsidP="00012F90">
            <w:pPr>
              <w:jc w:val="center"/>
              <w:rPr>
                <w:rFonts w:ascii="Arial" w:hAnsi="Arial" w:cs="Arial"/>
                <w:sz w:val="20"/>
                <w:szCs w:val="20"/>
              </w:rPr>
            </w:pPr>
            <w:r>
              <w:rPr>
                <w:rFonts w:ascii="Arial" w:hAnsi="Arial" w:cs="Arial"/>
                <w:sz w:val="20"/>
                <w:szCs w:val="20"/>
              </w:rPr>
              <w:t>479.3</w:t>
            </w:r>
          </w:p>
        </w:tc>
      </w:tr>
    </w:tbl>
    <w:p w:rsidR="00012F90" w:rsidRPr="006170B7" w:rsidRDefault="00012F90" w:rsidP="00012F90">
      <w:pPr>
        <w:rPr>
          <w:rFonts w:ascii="Arial" w:hAnsi="Arial" w:cs="Arial"/>
          <w:lang w:val="en-US"/>
        </w:rPr>
      </w:pPr>
    </w:p>
    <w:p w:rsidR="00012F90" w:rsidRPr="000C5F2F" w:rsidRDefault="00012F90" w:rsidP="00012F90">
      <w:pPr>
        <w:rPr>
          <w:rFonts w:ascii="Arial" w:hAnsi="Arial" w:cs="Arial"/>
          <w:b/>
          <w:lang w:val="en-US"/>
        </w:rPr>
      </w:pPr>
      <w:r w:rsidRPr="000C5F2F">
        <w:rPr>
          <w:rFonts w:ascii="Arial" w:hAnsi="Arial" w:cs="Arial"/>
          <w:b/>
          <w:lang w:val="en-US"/>
        </w:rPr>
        <w:t xml:space="preserve">Indicatori de sănătate relevanţi dependenţi de variaţiile climei </w:t>
      </w:r>
    </w:p>
    <w:p w:rsidR="00012F90" w:rsidRPr="00895796" w:rsidRDefault="00012F90" w:rsidP="00012F90">
      <w:pPr>
        <w:tabs>
          <w:tab w:val="left" w:pos="1139"/>
        </w:tabs>
        <w:ind w:left="357"/>
        <w:rPr>
          <w:rFonts w:ascii="Arial" w:hAnsi="Arial" w:cs="Arial"/>
          <w:b/>
        </w:rPr>
      </w:pPr>
    </w:p>
    <w:p w:rsidR="00012F90" w:rsidRDefault="00012F90" w:rsidP="00012F90">
      <w:pPr>
        <w:autoSpaceDE w:val="0"/>
        <w:autoSpaceDN w:val="0"/>
        <w:adjustRightInd w:val="0"/>
        <w:jc w:val="both"/>
        <w:rPr>
          <w:rFonts w:ascii="Arial" w:hAnsi="Arial" w:cs="Arial"/>
          <w:b/>
        </w:rPr>
      </w:pPr>
      <w:r w:rsidRPr="00895796">
        <w:rPr>
          <w:rFonts w:ascii="Arial" w:hAnsi="Arial" w:cs="Arial"/>
          <w:b/>
        </w:rPr>
        <w:t>IX.1.5.1. Rata de mortalitate în aglomerările urbane ca urmare a temperaturilor extreme în perioada de vară</w:t>
      </w:r>
    </w:p>
    <w:p w:rsidR="00012F90" w:rsidRDefault="00012F90" w:rsidP="00012F90">
      <w:pPr>
        <w:autoSpaceDE w:val="0"/>
        <w:autoSpaceDN w:val="0"/>
        <w:adjustRightInd w:val="0"/>
        <w:jc w:val="both"/>
        <w:rPr>
          <w:rFonts w:ascii="Arial" w:hAnsi="Arial" w:cs="Arial"/>
          <w:b/>
        </w:rPr>
      </w:pPr>
    </w:p>
    <w:p w:rsidR="00012F90" w:rsidRPr="005C3A91" w:rsidRDefault="00012F90" w:rsidP="00012F90">
      <w:pPr>
        <w:autoSpaceDE w:val="0"/>
        <w:autoSpaceDN w:val="0"/>
        <w:adjustRightInd w:val="0"/>
        <w:jc w:val="both"/>
        <w:rPr>
          <w:rFonts w:ascii="Arial" w:hAnsi="Arial" w:cs="Arial"/>
        </w:rPr>
      </w:pPr>
      <w:r w:rsidRPr="005C3A91">
        <w:rPr>
          <w:rFonts w:ascii="Arial" w:hAnsi="Arial" w:cs="Arial"/>
        </w:rPr>
        <w:t xml:space="preserve">- </w:t>
      </w:r>
      <w:r>
        <w:rPr>
          <w:rFonts w:ascii="Arial" w:hAnsi="Arial" w:cs="Arial"/>
        </w:rPr>
        <w:t>Î</w:t>
      </w:r>
      <w:r w:rsidRPr="005C3A91">
        <w:rPr>
          <w:rFonts w:ascii="Arial" w:hAnsi="Arial" w:cs="Arial"/>
        </w:rPr>
        <w:t>n perioada</w:t>
      </w:r>
      <w:r>
        <w:rPr>
          <w:rFonts w:ascii="Arial" w:hAnsi="Arial" w:cs="Arial"/>
        </w:rPr>
        <w:t xml:space="preserve"> 2010 – 2014 în mediul urban (și rural) din județul Brăila nu s-au înregistrat cazuri de</w:t>
      </w:r>
      <w:r w:rsidRPr="005C3A91">
        <w:rPr>
          <w:rFonts w:ascii="Arial" w:hAnsi="Arial" w:cs="Arial"/>
          <w:b/>
        </w:rPr>
        <w:t xml:space="preserve"> </w:t>
      </w:r>
      <w:r w:rsidRPr="005C3A91">
        <w:rPr>
          <w:rFonts w:ascii="Arial" w:hAnsi="Arial" w:cs="Arial"/>
        </w:rPr>
        <w:t>mortalitate ca urmare a temperaturilor extreme în perioada de vară</w:t>
      </w:r>
      <w:r>
        <w:rPr>
          <w:rFonts w:ascii="Arial" w:hAnsi="Arial" w:cs="Arial"/>
        </w:rPr>
        <w:t>.</w:t>
      </w:r>
    </w:p>
    <w:p w:rsidR="00012F90" w:rsidRPr="00895796" w:rsidRDefault="00012F90" w:rsidP="00012F90">
      <w:pPr>
        <w:autoSpaceDE w:val="0"/>
        <w:autoSpaceDN w:val="0"/>
        <w:adjustRightInd w:val="0"/>
        <w:jc w:val="both"/>
        <w:rPr>
          <w:rFonts w:ascii="Arial" w:hAnsi="Arial" w:cs="Arial"/>
        </w:rPr>
      </w:pPr>
      <w:r>
        <w:rPr>
          <w:rFonts w:ascii="Arial" w:hAnsi="Arial" w:cs="Arial"/>
          <w:b/>
        </w:rPr>
        <w:t xml:space="preserve">- </w:t>
      </w:r>
      <w:r w:rsidRPr="00895796">
        <w:rPr>
          <w:rFonts w:ascii="Arial" w:hAnsi="Arial" w:cs="Arial"/>
        </w:rPr>
        <w:t>Analiza epidemiologică descriptivă a cazurilor de Boala Lyme înregistrate la nivelul județului Brăila în anul 2014</w:t>
      </w:r>
      <w:r>
        <w:rPr>
          <w:rFonts w:ascii="Arial" w:hAnsi="Arial" w:cs="Arial"/>
        </w:rPr>
        <w:t xml:space="preserve"> – nu s-au înregistrat cazuri</w:t>
      </w:r>
    </w:p>
    <w:p w:rsidR="00012F90" w:rsidRDefault="00012F90" w:rsidP="00012F90">
      <w:pPr>
        <w:rPr>
          <w:rFonts w:ascii="Arial" w:hAnsi="Arial" w:cs="Arial"/>
          <w:b/>
        </w:rPr>
      </w:pPr>
    </w:p>
    <w:p w:rsidR="00012F90" w:rsidRDefault="00012F90" w:rsidP="00012F90">
      <w:pPr>
        <w:rPr>
          <w:rFonts w:ascii="Arial" w:hAnsi="Arial" w:cs="Arial"/>
          <w:b/>
        </w:rPr>
      </w:pPr>
      <w:r w:rsidRPr="00895796">
        <w:rPr>
          <w:rFonts w:ascii="Arial" w:hAnsi="Arial" w:cs="Arial"/>
          <w:b/>
        </w:rPr>
        <w:t>IX.1.5.</w:t>
      </w:r>
      <w:r>
        <w:rPr>
          <w:rFonts w:ascii="Arial" w:hAnsi="Arial" w:cs="Arial"/>
          <w:b/>
        </w:rPr>
        <w:t>2 Expunerea populației din aglomerările urbane  la riscul de inundații</w:t>
      </w:r>
    </w:p>
    <w:p w:rsidR="009B6085" w:rsidRDefault="009B6085" w:rsidP="00012F90">
      <w:pPr>
        <w:rPr>
          <w:szCs w:val="28"/>
        </w:rPr>
      </w:pPr>
    </w:p>
    <w:p w:rsidR="00012F90" w:rsidRDefault="00012F90" w:rsidP="00012F90">
      <w:pPr>
        <w:autoSpaceDE w:val="0"/>
        <w:autoSpaceDN w:val="0"/>
        <w:adjustRightInd w:val="0"/>
        <w:jc w:val="both"/>
        <w:rPr>
          <w:rFonts w:ascii="Arial" w:hAnsi="Arial" w:cs="Arial"/>
        </w:rPr>
      </w:pPr>
      <w:r>
        <w:rPr>
          <w:rFonts w:ascii="Arial" w:hAnsi="Arial" w:cs="Arial"/>
          <w:b/>
        </w:rPr>
        <w:t>Tabel nr.</w:t>
      </w:r>
      <w:r w:rsidRPr="005C3A91">
        <w:rPr>
          <w:rFonts w:ascii="Arial" w:hAnsi="Arial" w:cs="Arial"/>
          <w:b/>
        </w:rPr>
        <w:t xml:space="preserve"> </w:t>
      </w:r>
      <w:r w:rsidRPr="00895796">
        <w:rPr>
          <w:rFonts w:ascii="Arial" w:hAnsi="Arial" w:cs="Arial"/>
          <w:b/>
        </w:rPr>
        <w:t>IX.1.5.</w:t>
      </w:r>
      <w:r>
        <w:rPr>
          <w:rFonts w:ascii="Arial" w:hAnsi="Arial" w:cs="Arial"/>
          <w:b/>
        </w:rPr>
        <w:t>2</w:t>
      </w:r>
      <w:r w:rsidRPr="00895796">
        <w:rPr>
          <w:rFonts w:ascii="Arial" w:hAnsi="Arial" w:cs="Arial"/>
          <w:b/>
        </w:rPr>
        <w:t>.</w:t>
      </w:r>
      <w:r>
        <w:rPr>
          <w:rFonts w:ascii="Arial" w:hAnsi="Arial" w:cs="Arial"/>
          <w:b/>
        </w:rPr>
        <w:t xml:space="preserve"> – 1 </w:t>
      </w:r>
      <w:r w:rsidRPr="00B91656">
        <w:rPr>
          <w:rFonts w:ascii="Arial" w:hAnsi="Arial" w:cs="Arial"/>
        </w:rPr>
        <w:t>Expunerea populaţiei la riscul de inundaţii</w:t>
      </w:r>
      <w:r>
        <w:rPr>
          <w:rFonts w:ascii="Arial" w:hAnsi="Arial" w:cs="Arial"/>
        </w:rPr>
        <w:t xml:space="preserve"> </w:t>
      </w:r>
      <w:r w:rsidRPr="00B91656">
        <w:rPr>
          <w:rFonts w:ascii="Arial" w:hAnsi="Arial" w:cs="Arial"/>
        </w:rPr>
        <w:t>la nivel</w:t>
      </w:r>
      <w:r>
        <w:rPr>
          <w:rFonts w:ascii="Arial" w:hAnsi="Arial" w:cs="Arial"/>
        </w:rPr>
        <w:t xml:space="preserve">ul </w:t>
      </w:r>
      <w:r w:rsidRPr="00B91656">
        <w:rPr>
          <w:rFonts w:ascii="Arial" w:hAnsi="Arial" w:cs="Arial"/>
        </w:rPr>
        <w:t>judeţ</w:t>
      </w:r>
      <w:r>
        <w:rPr>
          <w:rFonts w:ascii="Arial" w:hAnsi="Arial" w:cs="Arial"/>
        </w:rPr>
        <w:t>ului Brăila</w:t>
      </w:r>
    </w:p>
    <w:p w:rsidR="00012F90" w:rsidRPr="00B91656" w:rsidRDefault="00012F90" w:rsidP="00012F90">
      <w:pPr>
        <w:pStyle w:val="BodyTextIndent"/>
        <w:ind w:left="720"/>
        <w:rPr>
          <w:rFonts w:ascii="Arial" w:hAnsi="Arial" w:cs="Arial"/>
          <w:sz w:val="24"/>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tblPr>
      <w:tblGrid>
        <w:gridCol w:w="4219"/>
        <w:gridCol w:w="1276"/>
        <w:gridCol w:w="1134"/>
        <w:gridCol w:w="1134"/>
        <w:gridCol w:w="1276"/>
        <w:gridCol w:w="1099"/>
      </w:tblGrid>
      <w:tr w:rsidR="00012F90" w:rsidRPr="00B91656" w:rsidTr="00012F90">
        <w:tc>
          <w:tcPr>
            <w:tcW w:w="4219" w:type="dxa"/>
            <w:shd w:val="clear" w:color="auto" w:fill="B6DDE8" w:themeFill="accent5" w:themeFillTint="66"/>
          </w:tcPr>
          <w:p w:rsidR="00012F90" w:rsidRPr="00B91656" w:rsidRDefault="00012F90" w:rsidP="00012F90">
            <w:pPr>
              <w:pStyle w:val="BodyTextIndent"/>
              <w:ind w:left="0"/>
              <w:rPr>
                <w:rFonts w:ascii="Arial" w:hAnsi="Arial" w:cs="Arial"/>
                <w:sz w:val="24"/>
              </w:rPr>
            </w:pPr>
          </w:p>
        </w:tc>
        <w:tc>
          <w:tcPr>
            <w:tcW w:w="1276" w:type="dxa"/>
            <w:shd w:val="clear" w:color="auto" w:fill="B6DDE8" w:themeFill="accent5" w:themeFillTint="66"/>
            <w:vAlign w:val="center"/>
          </w:tcPr>
          <w:p w:rsidR="00012F90" w:rsidRPr="00B91656" w:rsidRDefault="00012F90" w:rsidP="00012F90">
            <w:pPr>
              <w:pStyle w:val="BodyTextIndent"/>
              <w:ind w:left="0"/>
              <w:jc w:val="center"/>
              <w:rPr>
                <w:rFonts w:ascii="Arial" w:hAnsi="Arial" w:cs="Arial"/>
                <w:b/>
                <w:sz w:val="24"/>
              </w:rPr>
            </w:pPr>
            <w:r w:rsidRPr="00B91656">
              <w:rPr>
                <w:rFonts w:ascii="Arial" w:hAnsi="Arial" w:cs="Arial"/>
                <w:b/>
                <w:sz w:val="24"/>
              </w:rPr>
              <w:t>2010</w:t>
            </w:r>
          </w:p>
        </w:tc>
        <w:tc>
          <w:tcPr>
            <w:tcW w:w="1134" w:type="dxa"/>
            <w:shd w:val="clear" w:color="auto" w:fill="B6DDE8" w:themeFill="accent5" w:themeFillTint="66"/>
            <w:vAlign w:val="center"/>
          </w:tcPr>
          <w:p w:rsidR="00012F90" w:rsidRPr="00B91656" w:rsidRDefault="00012F90" w:rsidP="00012F90">
            <w:pPr>
              <w:pStyle w:val="BodyTextIndent"/>
              <w:ind w:left="0"/>
              <w:jc w:val="center"/>
              <w:rPr>
                <w:rFonts w:ascii="Arial" w:hAnsi="Arial" w:cs="Arial"/>
                <w:b/>
                <w:sz w:val="24"/>
              </w:rPr>
            </w:pPr>
            <w:r w:rsidRPr="00B91656">
              <w:rPr>
                <w:rFonts w:ascii="Arial" w:hAnsi="Arial" w:cs="Arial"/>
                <w:b/>
                <w:sz w:val="24"/>
              </w:rPr>
              <w:t>2011</w:t>
            </w:r>
          </w:p>
        </w:tc>
        <w:tc>
          <w:tcPr>
            <w:tcW w:w="1134" w:type="dxa"/>
            <w:shd w:val="clear" w:color="auto" w:fill="B6DDE8" w:themeFill="accent5" w:themeFillTint="66"/>
            <w:vAlign w:val="center"/>
          </w:tcPr>
          <w:p w:rsidR="00012F90" w:rsidRPr="00B91656" w:rsidRDefault="00012F90" w:rsidP="00012F90">
            <w:pPr>
              <w:pStyle w:val="BodyTextIndent"/>
              <w:ind w:left="0"/>
              <w:jc w:val="center"/>
              <w:rPr>
                <w:rFonts w:ascii="Arial" w:hAnsi="Arial" w:cs="Arial"/>
                <w:b/>
                <w:sz w:val="24"/>
              </w:rPr>
            </w:pPr>
            <w:r w:rsidRPr="00B91656">
              <w:rPr>
                <w:rFonts w:ascii="Arial" w:hAnsi="Arial" w:cs="Arial"/>
                <w:b/>
                <w:sz w:val="24"/>
              </w:rPr>
              <w:t>2012</w:t>
            </w:r>
          </w:p>
        </w:tc>
        <w:tc>
          <w:tcPr>
            <w:tcW w:w="1276" w:type="dxa"/>
            <w:shd w:val="clear" w:color="auto" w:fill="B6DDE8" w:themeFill="accent5" w:themeFillTint="66"/>
            <w:vAlign w:val="center"/>
          </w:tcPr>
          <w:p w:rsidR="00012F90" w:rsidRPr="00B91656" w:rsidRDefault="00012F90" w:rsidP="00012F90">
            <w:pPr>
              <w:pStyle w:val="BodyTextIndent"/>
              <w:ind w:left="0"/>
              <w:jc w:val="center"/>
              <w:rPr>
                <w:rFonts w:ascii="Arial" w:hAnsi="Arial" w:cs="Arial"/>
                <w:b/>
                <w:sz w:val="24"/>
              </w:rPr>
            </w:pPr>
            <w:r w:rsidRPr="00B91656">
              <w:rPr>
                <w:rFonts w:ascii="Arial" w:hAnsi="Arial" w:cs="Arial"/>
                <w:b/>
                <w:sz w:val="24"/>
              </w:rPr>
              <w:t>2013</w:t>
            </w:r>
          </w:p>
        </w:tc>
        <w:tc>
          <w:tcPr>
            <w:tcW w:w="1099" w:type="dxa"/>
            <w:shd w:val="clear" w:color="auto" w:fill="B6DDE8" w:themeFill="accent5" w:themeFillTint="66"/>
            <w:vAlign w:val="center"/>
          </w:tcPr>
          <w:p w:rsidR="00012F90" w:rsidRPr="00B91656" w:rsidRDefault="00012F90" w:rsidP="00012F90">
            <w:pPr>
              <w:pStyle w:val="BodyTextIndent"/>
              <w:ind w:left="0"/>
              <w:jc w:val="center"/>
              <w:rPr>
                <w:rFonts w:ascii="Arial" w:hAnsi="Arial" w:cs="Arial"/>
                <w:b/>
                <w:sz w:val="24"/>
              </w:rPr>
            </w:pPr>
            <w:r w:rsidRPr="00B91656">
              <w:rPr>
                <w:rFonts w:ascii="Arial" w:hAnsi="Arial" w:cs="Arial"/>
                <w:b/>
                <w:sz w:val="24"/>
              </w:rPr>
              <w:t>2014</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Număr de evenimente identificate la nivel</w:t>
            </w:r>
            <w:r>
              <w:rPr>
                <w:rFonts w:ascii="Arial" w:hAnsi="Arial" w:cs="Arial"/>
                <w:sz w:val="24"/>
              </w:rPr>
              <w:t xml:space="preserve">ul </w:t>
            </w:r>
            <w:r w:rsidRPr="00B91656">
              <w:rPr>
                <w:rFonts w:ascii="Arial" w:hAnsi="Arial" w:cs="Arial"/>
                <w:sz w:val="24"/>
              </w:rPr>
              <w:t>judeţ</w:t>
            </w:r>
            <w:r>
              <w:rPr>
                <w:rFonts w:ascii="Arial" w:hAnsi="Arial" w:cs="Arial"/>
                <w:sz w:val="24"/>
              </w:rPr>
              <w:t>ului Brăila</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12</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31</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18</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21</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Număr de victime</w:t>
            </w:r>
          </w:p>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Total din care:</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100</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Număr persoane decedate</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lastRenderedPageBreak/>
              <w:t>Număr persoane rănite</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Număr persoane evacuate</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100</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Număr persoane cu locuinţe distruse</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r>
      <w:tr w:rsidR="00012F90" w:rsidRPr="00B91656" w:rsidTr="00012F90">
        <w:tc>
          <w:tcPr>
            <w:tcW w:w="4219" w:type="dxa"/>
            <w:shd w:val="clear" w:color="auto" w:fill="DAEEF3" w:themeFill="accent5" w:themeFillTint="33"/>
          </w:tcPr>
          <w:p w:rsidR="00012F90" w:rsidRPr="00B91656" w:rsidRDefault="00012F90" w:rsidP="00012F90">
            <w:pPr>
              <w:pStyle w:val="BodyTextIndent"/>
              <w:spacing w:after="0" w:line="240" w:lineRule="auto"/>
              <w:ind w:left="0"/>
              <w:rPr>
                <w:rFonts w:ascii="Arial" w:hAnsi="Arial" w:cs="Arial"/>
                <w:sz w:val="24"/>
              </w:rPr>
            </w:pPr>
            <w:r w:rsidRPr="00B91656">
              <w:rPr>
                <w:rFonts w:ascii="Arial" w:hAnsi="Arial" w:cs="Arial"/>
                <w:sz w:val="24"/>
              </w:rPr>
              <w:t>Număr cazuri îmbolnăviri datorită consumului de apă contaminată</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134"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276"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c>
          <w:tcPr>
            <w:tcW w:w="1099" w:type="dxa"/>
            <w:shd w:val="clear" w:color="auto" w:fill="DAEEF3" w:themeFill="accent5" w:themeFillTint="33"/>
            <w:vAlign w:val="center"/>
          </w:tcPr>
          <w:p w:rsidR="00012F90" w:rsidRPr="00B91656" w:rsidRDefault="00012F90" w:rsidP="00012F90">
            <w:pPr>
              <w:pStyle w:val="BodyTextIndent"/>
              <w:spacing w:after="0" w:line="240" w:lineRule="auto"/>
              <w:ind w:left="0"/>
              <w:jc w:val="center"/>
              <w:rPr>
                <w:rFonts w:ascii="Arial" w:hAnsi="Arial" w:cs="Arial"/>
                <w:sz w:val="24"/>
              </w:rPr>
            </w:pPr>
            <w:r w:rsidRPr="00B91656">
              <w:rPr>
                <w:rFonts w:ascii="Arial" w:hAnsi="Arial" w:cs="Arial"/>
                <w:sz w:val="24"/>
              </w:rPr>
              <w:t>-</w:t>
            </w:r>
          </w:p>
        </w:tc>
      </w:tr>
    </w:tbl>
    <w:p w:rsidR="00012F90" w:rsidRPr="00B91656" w:rsidRDefault="00012F90" w:rsidP="00012F90">
      <w:pPr>
        <w:pStyle w:val="BodyTextIndent"/>
        <w:spacing w:after="0"/>
        <w:ind w:left="0"/>
        <w:rPr>
          <w:rFonts w:ascii="Arial" w:hAnsi="Arial" w:cs="Arial"/>
          <w:sz w:val="24"/>
        </w:rPr>
      </w:pPr>
    </w:p>
    <w:p w:rsidR="00012F90" w:rsidRDefault="00012F90" w:rsidP="00012F90">
      <w:pPr>
        <w:autoSpaceDE w:val="0"/>
        <w:autoSpaceDN w:val="0"/>
        <w:adjustRightInd w:val="0"/>
        <w:jc w:val="both"/>
        <w:rPr>
          <w:rStyle w:val="FontStyle22"/>
          <w:rFonts w:ascii="Arial" w:hAnsi="Arial" w:cs="Arial"/>
          <w:spacing w:val="-4"/>
          <w:lang w:eastAsia="ro-RO"/>
        </w:rPr>
      </w:pPr>
      <w:r>
        <w:rPr>
          <w:rFonts w:ascii="Arial" w:hAnsi="Arial" w:cs="Arial"/>
          <w:b/>
        </w:rPr>
        <w:t>Tabel nr.</w:t>
      </w:r>
      <w:r w:rsidRPr="005C3A91">
        <w:rPr>
          <w:rFonts w:ascii="Arial" w:hAnsi="Arial" w:cs="Arial"/>
          <w:b/>
        </w:rPr>
        <w:t xml:space="preserve"> </w:t>
      </w:r>
      <w:r w:rsidRPr="00895796">
        <w:rPr>
          <w:rFonts w:ascii="Arial" w:hAnsi="Arial" w:cs="Arial"/>
          <w:b/>
        </w:rPr>
        <w:t>IX.1.5.</w:t>
      </w:r>
      <w:r>
        <w:rPr>
          <w:rFonts w:ascii="Arial" w:hAnsi="Arial" w:cs="Arial"/>
          <w:b/>
        </w:rPr>
        <w:t>2</w:t>
      </w:r>
      <w:r w:rsidRPr="00895796">
        <w:rPr>
          <w:rFonts w:ascii="Arial" w:hAnsi="Arial" w:cs="Arial"/>
          <w:b/>
        </w:rPr>
        <w:t>.</w:t>
      </w:r>
      <w:r>
        <w:rPr>
          <w:rFonts w:ascii="Arial" w:hAnsi="Arial" w:cs="Arial"/>
          <w:b/>
        </w:rPr>
        <w:t xml:space="preserve"> – 2 </w:t>
      </w:r>
      <w:r w:rsidRPr="00B91656">
        <w:rPr>
          <w:rStyle w:val="FontStyle22"/>
          <w:rFonts w:ascii="Arial" w:hAnsi="Arial" w:cs="Arial"/>
          <w:spacing w:val="-4"/>
          <w:lang w:eastAsia="ro-RO"/>
        </w:rPr>
        <w:t>Localităţi afectate de inundaţii</w:t>
      </w:r>
    </w:p>
    <w:p w:rsidR="00012F90" w:rsidRPr="00B91656" w:rsidRDefault="00012F90" w:rsidP="00012F90">
      <w:pPr>
        <w:pStyle w:val="Style8"/>
        <w:widowControl/>
        <w:spacing w:line="240" w:lineRule="auto"/>
        <w:rPr>
          <w:rStyle w:val="FontStyle22"/>
          <w:rFonts w:ascii="Arial" w:eastAsia="Calibri" w:hAnsi="Arial" w:cs="Arial"/>
          <w:spacing w:val="-4"/>
          <w:lang w:eastAsia="ro-RO"/>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shd w:val="clear" w:color="auto" w:fill="DAEEF3" w:themeFill="accent5" w:themeFillTint="33"/>
        <w:tblLook w:val="04A0"/>
      </w:tblPr>
      <w:tblGrid>
        <w:gridCol w:w="1689"/>
        <w:gridCol w:w="1689"/>
        <w:gridCol w:w="1690"/>
        <w:gridCol w:w="1690"/>
        <w:gridCol w:w="1690"/>
        <w:gridCol w:w="1690"/>
      </w:tblGrid>
      <w:tr w:rsidR="00012F90" w:rsidRPr="00B91656" w:rsidTr="00012F90">
        <w:tc>
          <w:tcPr>
            <w:tcW w:w="1689" w:type="dxa"/>
            <w:shd w:val="clear" w:color="auto" w:fill="DAEEF3" w:themeFill="accent5" w:themeFillTint="33"/>
          </w:tcPr>
          <w:p w:rsidR="00012F90" w:rsidRPr="00B91656" w:rsidRDefault="00012F90" w:rsidP="00012F90">
            <w:pPr>
              <w:pStyle w:val="BodyTextIndent"/>
              <w:spacing w:after="0"/>
              <w:ind w:left="0"/>
              <w:rPr>
                <w:rFonts w:ascii="Arial" w:hAnsi="Arial" w:cs="Arial"/>
                <w:sz w:val="24"/>
              </w:rPr>
            </w:pPr>
          </w:p>
        </w:tc>
        <w:tc>
          <w:tcPr>
            <w:tcW w:w="1689" w:type="dxa"/>
            <w:shd w:val="clear" w:color="auto" w:fill="DAEEF3" w:themeFill="accent5" w:themeFillTint="33"/>
            <w:vAlign w:val="center"/>
          </w:tcPr>
          <w:p w:rsidR="00012F90" w:rsidRPr="00B91656" w:rsidRDefault="00012F90" w:rsidP="00012F90">
            <w:pPr>
              <w:pStyle w:val="BodyTextIndent"/>
              <w:spacing w:after="0"/>
              <w:ind w:left="0"/>
              <w:jc w:val="center"/>
              <w:rPr>
                <w:rFonts w:ascii="Arial" w:hAnsi="Arial" w:cs="Arial"/>
                <w:b/>
                <w:sz w:val="24"/>
              </w:rPr>
            </w:pPr>
            <w:r w:rsidRPr="00B91656">
              <w:rPr>
                <w:rFonts w:ascii="Arial" w:hAnsi="Arial" w:cs="Arial"/>
                <w:b/>
                <w:sz w:val="24"/>
              </w:rPr>
              <w:t>2010</w:t>
            </w:r>
          </w:p>
        </w:tc>
        <w:tc>
          <w:tcPr>
            <w:tcW w:w="1690" w:type="dxa"/>
            <w:shd w:val="clear" w:color="auto" w:fill="DAEEF3" w:themeFill="accent5" w:themeFillTint="33"/>
            <w:vAlign w:val="center"/>
          </w:tcPr>
          <w:p w:rsidR="00012F90" w:rsidRPr="00B91656" w:rsidRDefault="00012F90" w:rsidP="00012F90">
            <w:pPr>
              <w:pStyle w:val="BodyTextIndent"/>
              <w:spacing w:after="0"/>
              <w:ind w:left="0"/>
              <w:jc w:val="center"/>
              <w:rPr>
                <w:rFonts w:ascii="Arial" w:hAnsi="Arial" w:cs="Arial"/>
                <w:b/>
                <w:sz w:val="24"/>
              </w:rPr>
            </w:pPr>
            <w:r w:rsidRPr="00B91656">
              <w:rPr>
                <w:rFonts w:ascii="Arial" w:hAnsi="Arial" w:cs="Arial"/>
                <w:b/>
                <w:sz w:val="24"/>
              </w:rPr>
              <w:t>2011</w:t>
            </w:r>
          </w:p>
        </w:tc>
        <w:tc>
          <w:tcPr>
            <w:tcW w:w="1690" w:type="dxa"/>
            <w:shd w:val="clear" w:color="auto" w:fill="DAEEF3" w:themeFill="accent5" w:themeFillTint="33"/>
            <w:vAlign w:val="center"/>
          </w:tcPr>
          <w:p w:rsidR="00012F90" w:rsidRPr="00B91656" w:rsidRDefault="00012F90" w:rsidP="00012F90">
            <w:pPr>
              <w:pStyle w:val="BodyTextIndent"/>
              <w:spacing w:after="0"/>
              <w:ind w:left="0"/>
              <w:jc w:val="center"/>
              <w:rPr>
                <w:rFonts w:ascii="Arial" w:hAnsi="Arial" w:cs="Arial"/>
                <w:b/>
                <w:sz w:val="24"/>
              </w:rPr>
            </w:pPr>
            <w:r w:rsidRPr="00B91656">
              <w:rPr>
                <w:rFonts w:ascii="Arial" w:hAnsi="Arial" w:cs="Arial"/>
                <w:b/>
                <w:sz w:val="24"/>
              </w:rPr>
              <w:t>2012</w:t>
            </w:r>
          </w:p>
        </w:tc>
        <w:tc>
          <w:tcPr>
            <w:tcW w:w="1690" w:type="dxa"/>
            <w:shd w:val="clear" w:color="auto" w:fill="DAEEF3" w:themeFill="accent5" w:themeFillTint="33"/>
            <w:vAlign w:val="center"/>
          </w:tcPr>
          <w:p w:rsidR="00012F90" w:rsidRPr="00B91656" w:rsidRDefault="00012F90" w:rsidP="00012F90">
            <w:pPr>
              <w:pStyle w:val="BodyTextIndent"/>
              <w:spacing w:after="0"/>
              <w:ind w:left="0"/>
              <w:jc w:val="center"/>
              <w:rPr>
                <w:rFonts w:ascii="Arial" w:hAnsi="Arial" w:cs="Arial"/>
                <w:b/>
                <w:sz w:val="24"/>
              </w:rPr>
            </w:pPr>
            <w:r w:rsidRPr="00B91656">
              <w:rPr>
                <w:rFonts w:ascii="Arial" w:hAnsi="Arial" w:cs="Arial"/>
                <w:b/>
                <w:sz w:val="24"/>
              </w:rPr>
              <w:t>2013</w:t>
            </w:r>
          </w:p>
        </w:tc>
        <w:tc>
          <w:tcPr>
            <w:tcW w:w="1690" w:type="dxa"/>
            <w:shd w:val="clear" w:color="auto" w:fill="DAEEF3" w:themeFill="accent5" w:themeFillTint="33"/>
            <w:vAlign w:val="center"/>
          </w:tcPr>
          <w:p w:rsidR="00012F90" w:rsidRPr="00B91656" w:rsidRDefault="00012F90" w:rsidP="00012F90">
            <w:pPr>
              <w:pStyle w:val="BodyTextIndent"/>
              <w:spacing w:after="0"/>
              <w:ind w:left="0"/>
              <w:jc w:val="center"/>
              <w:rPr>
                <w:rFonts w:ascii="Arial" w:hAnsi="Arial" w:cs="Arial"/>
                <w:b/>
                <w:sz w:val="24"/>
              </w:rPr>
            </w:pPr>
            <w:r w:rsidRPr="00B91656">
              <w:rPr>
                <w:rFonts w:ascii="Arial" w:hAnsi="Arial" w:cs="Arial"/>
                <w:b/>
                <w:sz w:val="24"/>
              </w:rPr>
              <w:t>2014</w:t>
            </w:r>
          </w:p>
        </w:tc>
      </w:tr>
      <w:tr w:rsidR="00012F90" w:rsidRPr="00B91656" w:rsidTr="00012F90">
        <w:tc>
          <w:tcPr>
            <w:tcW w:w="1689" w:type="dxa"/>
            <w:shd w:val="clear" w:color="auto" w:fill="DAEEF3" w:themeFill="accent5" w:themeFillTint="33"/>
          </w:tcPr>
          <w:p w:rsidR="00012F90" w:rsidRPr="00B91656" w:rsidRDefault="00012F90" w:rsidP="00012F90">
            <w:pPr>
              <w:pStyle w:val="Style8"/>
              <w:widowControl/>
              <w:spacing w:line="240" w:lineRule="auto"/>
              <w:ind w:firstLine="0"/>
              <w:rPr>
                <w:rStyle w:val="FontStyle22"/>
                <w:rFonts w:ascii="Arial" w:eastAsia="Calibri" w:hAnsi="Arial" w:cs="Arial"/>
                <w:spacing w:val="-4"/>
                <w:lang w:eastAsia="ro-RO"/>
              </w:rPr>
            </w:pPr>
            <w:r w:rsidRPr="00B91656">
              <w:rPr>
                <w:rStyle w:val="FontStyle22"/>
                <w:rFonts w:ascii="Arial" w:eastAsia="Calibri" w:hAnsi="Arial" w:cs="Arial"/>
                <w:spacing w:val="-4"/>
                <w:lang w:eastAsia="ro-RO"/>
              </w:rPr>
              <w:t>Număr</w:t>
            </w:r>
          </w:p>
        </w:tc>
        <w:tc>
          <w:tcPr>
            <w:tcW w:w="1689" w:type="dxa"/>
            <w:shd w:val="clear" w:color="auto" w:fill="DAEEF3" w:themeFill="accent5" w:themeFillTint="33"/>
          </w:tcPr>
          <w:p w:rsidR="00012F90" w:rsidRPr="00B91656" w:rsidRDefault="00012F90" w:rsidP="00012F90">
            <w:pPr>
              <w:pStyle w:val="Style8"/>
              <w:widowControl/>
              <w:spacing w:line="240" w:lineRule="auto"/>
              <w:ind w:firstLine="0"/>
              <w:jc w:val="center"/>
              <w:rPr>
                <w:rStyle w:val="FontStyle22"/>
                <w:rFonts w:ascii="Arial" w:eastAsia="Calibri" w:hAnsi="Arial" w:cs="Arial"/>
                <w:spacing w:val="-4"/>
                <w:lang w:eastAsia="ro-RO"/>
              </w:rPr>
            </w:pPr>
            <w:r w:rsidRPr="00B91656">
              <w:rPr>
                <w:rStyle w:val="FontStyle22"/>
                <w:rFonts w:ascii="Arial" w:eastAsia="Calibri" w:hAnsi="Arial" w:cs="Arial"/>
                <w:spacing w:val="-4"/>
                <w:lang w:eastAsia="ro-RO"/>
              </w:rPr>
              <w:t>3</w:t>
            </w:r>
          </w:p>
        </w:tc>
        <w:tc>
          <w:tcPr>
            <w:tcW w:w="1690" w:type="dxa"/>
            <w:shd w:val="clear" w:color="auto" w:fill="DAEEF3" w:themeFill="accent5" w:themeFillTint="33"/>
          </w:tcPr>
          <w:p w:rsidR="00012F90" w:rsidRPr="00B91656" w:rsidRDefault="00012F90" w:rsidP="00012F90">
            <w:pPr>
              <w:pStyle w:val="Style8"/>
              <w:widowControl/>
              <w:spacing w:line="240" w:lineRule="auto"/>
              <w:ind w:firstLine="0"/>
              <w:jc w:val="center"/>
              <w:rPr>
                <w:rStyle w:val="FontStyle22"/>
                <w:rFonts w:ascii="Arial" w:eastAsia="Calibri" w:hAnsi="Arial" w:cs="Arial"/>
                <w:spacing w:val="-4"/>
                <w:lang w:eastAsia="ro-RO"/>
              </w:rPr>
            </w:pPr>
            <w:r w:rsidRPr="00B91656">
              <w:rPr>
                <w:rStyle w:val="FontStyle22"/>
                <w:rFonts w:ascii="Arial" w:eastAsia="Calibri" w:hAnsi="Arial" w:cs="Arial"/>
                <w:spacing w:val="-4"/>
                <w:lang w:eastAsia="ro-RO"/>
              </w:rPr>
              <w:t>-</w:t>
            </w:r>
          </w:p>
        </w:tc>
        <w:tc>
          <w:tcPr>
            <w:tcW w:w="1690" w:type="dxa"/>
            <w:shd w:val="clear" w:color="auto" w:fill="DAEEF3" w:themeFill="accent5" w:themeFillTint="33"/>
          </w:tcPr>
          <w:p w:rsidR="00012F90" w:rsidRPr="00B91656" w:rsidRDefault="00012F90" w:rsidP="00012F90">
            <w:pPr>
              <w:pStyle w:val="Style8"/>
              <w:widowControl/>
              <w:spacing w:line="240" w:lineRule="auto"/>
              <w:ind w:firstLine="0"/>
              <w:jc w:val="center"/>
              <w:rPr>
                <w:rStyle w:val="FontStyle22"/>
                <w:rFonts w:ascii="Arial" w:eastAsia="Calibri" w:hAnsi="Arial" w:cs="Arial"/>
                <w:spacing w:val="-4"/>
                <w:lang w:eastAsia="ro-RO"/>
              </w:rPr>
            </w:pPr>
            <w:r w:rsidRPr="00B91656">
              <w:rPr>
                <w:rStyle w:val="FontStyle22"/>
                <w:rFonts w:ascii="Arial" w:eastAsia="Calibri" w:hAnsi="Arial" w:cs="Arial"/>
                <w:spacing w:val="-4"/>
                <w:lang w:eastAsia="ro-RO"/>
              </w:rPr>
              <w:t>6</w:t>
            </w:r>
          </w:p>
        </w:tc>
        <w:tc>
          <w:tcPr>
            <w:tcW w:w="1690" w:type="dxa"/>
            <w:shd w:val="clear" w:color="auto" w:fill="DAEEF3" w:themeFill="accent5" w:themeFillTint="33"/>
          </w:tcPr>
          <w:p w:rsidR="00012F90" w:rsidRPr="00B91656" w:rsidRDefault="00012F90" w:rsidP="00012F90">
            <w:pPr>
              <w:pStyle w:val="Style8"/>
              <w:widowControl/>
              <w:spacing w:line="240" w:lineRule="auto"/>
              <w:ind w:firstLine="0"/>
              <w:jc w:val="center"/>
              <w:rPr>
                <w:rStyle w:val="FontStyle22"/>
                <w:rFonts w:ascii="Arial" w:eastAsia="Calibri" w:hAnsi="Arial" w:cs="Arial"/>
                <w:spacing w:val="-4"/>
                <w:lang w:eastAsia="ro-RO"/>
              </w:rPr>
            </w:pPr>
            <w:r w:rsidRPr="00B91656">
              <w:rPr>
                <w:rStyle w:val="FontStyle22"/>
                <w:rFonts w:ascii="Arial" w:eastAsia="Calibri" w:hAnsi="Arial" w:cs="Arial"/>
                <w:spacing w:val="-4"/>
                <w:lang w:eastAsia="ro-RO"/>
              </w:rPr>
              <w:t>14</w:t>
            </w:r>
          </w:p>
        </w:tc>
        <w:tc>
          <w:tcPr>
            <w:tcW w:w="1690" w:type="dxa"/>
            <w:shd w:val="clear" w:color="auto" w:fill="DAEEF3" w:themeFill="accent5" w:themeFillTint="33"/>
          </w:tcPr>
          <w:p w:rsidR="00012F90" w:rsidRPr="00B91656" w:rsidRDefault="00012F90" w:rsidP="00012F90">
            <w:pPr>
              <w:pStyle w:val="Style8"/>
              <w:widowControl/>
              <w:spacing w:line="240" w:lineRule="auto"/>
              <w:ind w:firstLine="0"/>
              <w:jc w:val="center"/>
              <w:rPr>
                <w:rStyle w:val="FontStyle22"/>
                <w:rFonts w:ascii="Arial" w:eastAsia="Calibri" w:hAnsi="Arial" w:cs="Arial"/>
                <w:spacing w:val="-4"/>
                <w:lang w:eastAsia="ro-RO"/>
              </w:rPr>
            </w:pPr>
            <w:r w:rsidRPr="00B91656">
              <w:rPr>
                <w:rStyle w:val="FontStyle22"/>
                <w:rFonts w:ascii="Arial" w:eastAsia="Calibri" w:hAnsi="Arial" w:cs="Arial"/>
                <w:spacing w:val="-4"/>
                <w:lang w:eastAsia="ro-RO"/>
              </w:rPr>
              <w:t>10</w:t>
            </w:r>
          </w:p>
        </w:tc>
      </w:tr>
    </w:tbl>
    <w:p w:rsidR="00012F90" w:rsidRDefault="00012F90" w:rsidP="00012F90">
      <w:pPr>
        <w:rPr>
          <w:rFonts w:ascii="Arial" w:hAnsi="Arial" w:cs="Arial"/>
          <w:lang w:val="en-US"/>
        </w:rPr>
      </w:pPr>
    </w:p>
    <w:p w:rsidR="000F4FEA" w:rsidRPr="00730CFC" w:rsidRDefault="000F4FEA" w:rsidP="00012F90">
      <w:pPr>
        <w:tabs>
          <w:tab w:val="left" w:leader="dot" w:pos="8640"/>
        </w:tabs>
        <w:ind w:right="360"/>
        <w:jc w:val="both"/>
        <w:rPr>
          <w:rFonts w:ascii="Arial" w:hAnsi="Arial" w:cs="Arial"/>
          <w:b/>
          <w:lang w:val="ro-RO"/>
        </w:rPr>
      </w:pPr>
    </w:p>
    <w:p w:rsidR="00012F90" w:rsidRPr="006A7730" w:rsidRDefault="00012F90" w:rsidP="00012F90">
      <w:pPr>
        <w:tabs>
          <w:tab w:val="left" w:pos="8505"/>
        </w:tabs>
        <w:ind w:right="1276"/>
        <w:rPr>
          <w:rFonts w:ascii="Arial" w:hAnsi="Arial" w:cs="Arial"/>
          <w:b/>
        </w:rPr>
      </w:pPr>
      <w:r w:rsidRPr="006A7730">
        <w:rPr>
          <w:rFonts w:ascii="Arial" w:hAnsi="Arial" w:cs="Arial"/>
          <w:b/>
        </w:rPr>
        <w:t>X.  RADIOACTIVITATEA MEDIULUI</w:t>
      </w:r>
    </w:p>
    <w:p w:rsidR="00012F90" w:rsidRDefault="00012F90" w:rsidP="00012F90">
      <w:pPr>
        <w:tabs>
          <w:tab w:val="left" w:pos="8505"/>
        </w:tabs>
        <w:ind w:right="1276"/>
        <w:rPr>
          <w:rFonts w:ascii="Arial" w:hAnsi="Arial" w:cs="Arial"/>
          <w:b/>
        </w:rPr>
      </w:pPr>
      <w:r w:rsidRPr="006A7730">
        <w:rPr>
          <w:rFonts w:ascii="Arial" w:hAnsi="Arial" w:cs="Arial"/>
          <w:b/>
        </w:rPr>
        <w:t xml:space="preserve">X.1. </w:t>
      </w:r>
      <w:r>
        <w:rPr>
          <w:rFonts w:ascii="Arial" w:hAnsi="Arial" w:cs="Arial"/>
          <w:b/>
        </w:rPr>
        <w:t>Monitorizarea radioactivității factorilor de mediu</w:t>
      </w:r>
    </w:p>
    <w:p w:rsidR="00012F90" w:rsidRPr="006A7730" w:rsidRDefault="00012F90" w:rsidP="00012F90">
      <w:pPr>
        <w:tabs>
          <w:tab w:val="left" w:pos="8505"/>
        </w:tabs>
        <w:ind w:right="1276"/>
        <w:rPr>
          <w:rFonts w:ascii="Arial" w:hAnsi="Arial" w:cs="Arial"/>
          <w:b/>
        </w:rPr>
      </w:pPr>
      <w:r>
        <w:rPr>
          <w:rFonts w:ascii="Arial" w:hAnsi="Arial" w:cs="Arial"/>
          <w:b/>
        </w:rPr>
        <w:t xml:space="preserve">X.1.1. </w:t>
      </w:r>
      <w:r w:rsidRPr="006A7730">
        <w:rPr>
          <w:rFonts w:ascii="Arial" w:hAnsi="Arial" w:cs="Arial"/>
          <w:b/>
        </w:rPr>
        <w:t>Radioactivitatea aerului</w:t>
      </w:r>
    </w:p>
    <w:p w:rsidR="00012F90" w:rsidRDefault="00012F90" w:rsidP="00012F90">
      <w:pPr>
        <w:pStyle w:val="BodyTextIndent3"/>
        <w:spacing w:after="0"/>
        <w:ind w:left="284"/>
        <w:rPr>
          <w:rFonts w:ascii="Arial" w:hAnsi="Arial" w:cs="Arial"/>
          <w:b/>
          <w:sz w:val="24"/>
          <w:szCs w:val="24"/>
        </w:rPr>
      </w:pPr>
      <w:r w:rsidRPr="00710CF4">
        <w:rPr>
          <w:rFonts w:ascii="Arial" w:hAnsi="Arial" w:cs="Arial"/>
          <w:b/>
          <w:sz w:val="24"/>
          <w:szCs w:val="24"/>
        </w:rPr>
        <w:t>Debitul dozei gamma absorbită în aer</w:t>
      </w:r>
    </w:p>
    <w:p w:rsidR="00012F90" w:rsidRDefault="00012F90" w:rsidP="00012F90">
      <w:pPr>
        <w:pStyle w:val="BodyTextIndent3"/>
        <w:spacing w:after="0"/>
        <w:ind w:left="284"/>
        <w:rPr>
          <w:rFonts w:ascii="Arial" w:hAnsi="Arial" w:cs="Arial"/>
          <w:b/>
          <w:sz w:val="24"/>
          <w:szCs w:val="24"/>
        </w:rPr>
      </w:pPr>
    </w:p>
    <w:p w:rsidR="00012F90" w:rsidRDefault="00012F90" w:rsidP="00012F90">
      <w:pPr>
        <w:pStyle w:val="BodyTextIndent3"/>
        <w:spacing w:after="0" w:line="276" w:lineRule="auto"/>
        <w:ind w:left="0" w:firstLine="284"/>
        <w:jc w:val="both"/>
        <w:rPr>
          <w:rFonts w:ascii="Arial" w:hAnsi="Arial" w:cs="Arial"/>
          <w:sz w:val="24"/>
          <w:szCs w:val="24"/>
        </w:rPr>
      </w:pPr>
      <w:r w:rsidRPr="001D7EB5">
        <w:rPr>
          <w:rFonts w:ascii="Arial" w:hAnsi="Arial" w:cs="Arial"/>
          <w:sz w:val="24"/>
          <w:szCs w:val="24"/>
        </w:rPr>
        <w:t>Reţeaua Naţională de Supraveghere a Radioactivităţii Mediului (RNSRM) face parte din Sistemul Integrat de Supraveghere a Poluării Mediului pe teritoriul României, din cadrul Ministerului Mediului</w:t>
      </w:r>
      <w:r>
        <w:rPr>
          <w:rFonts w:ascii="Arial" w:hAnsi="Arial" w:cs="Arial"/>
          <w:sz w:val="24"/>
          <w:szCs w:val="24"/>
        </w:rPr>
        <w:t xml:space="preserve">, Apelor și Pădurilor. </w:t>
      </w:r>
      <w:r w:rsidRPr="001D7EB5">
        <w:rPr>
          <w:rFonts w:ascii="Arial" w:hAnsi="Arial" w:cs="Arial"/>
          <w:sz w:val="24"/>
          <w:szCs w:val="24"/>
        </w:rPr>
        <w:t>Coordonarea ştiinţifică, tehnică şi metodologică a RNSRM este asigurată de Laboratorul Naţional de Referinţă pentru Radioactivitate din cadrul Agenţiei Naţionale pentru Protecţia Mediului</w:t>
      </w:r>
      <w:r>
        <w:rPr>
          <w:rFonts w:ascii="Arial" w:hAnsi="Arial" w:cs="Arial"/>
          <w:sz w:val="24"/>
          <w:szCs w:val="24"/>
        </w:rPr>
        <w:t>.</w:t>
      </w:r>
    </w:p>
    <w:p w:rsidR="00012F90" w:rsidRPr="001D7EB5" w:rsidRDefault="00012F90" w:rsidP="00012F90">
      <w:pPr>
        <w:autoSpaceDE w:val="0"/>
        <w:autoSpaceDN w:val="0"/>
        <w:adjustRightInd w:val="0"/>
        <w:ind w:firstLine="284"/>
        <w:jc w:val="both"/>
        <w:rPr>
          <w:rFonts w:ascii="Arial" w:hAnsi="Arial" w:cs="Arial"/>
        </w:rPr>
      </w:pPr>
      <w:r>
        <w:rPr>
          <w:rFonts w:ascii="Arial" w:hAnsi="Arial" w:cs="Arial"/>
        </w:rPr>
        <w:t>Din anul 2006, APM Galaţi a fost dotată cu o staţie de monitorizare a dozei gamma cu transmisia datelor în timp real amplasată în curtea unităţii, în cadrul Proiectului PHARE RO2003/ 005-551.04.11.01 ,,Procurement of the Necessary Equipament for an Adequate Enviromental Radioactivity Monitoring and Reporting System ”</w:t>
      </w:r>
    </w:p>
    <w:p w:rsidR="00012F90" w:rsidRPr="00710CF4" w:rsidRDefault="00012F90" w:rsidP="00012F90">
      <w:pPr>
        <w:ind w:firstLine="284"/>
        <w:jc w:val="both"/>
        <w:rPr>
          <w:rFonts w:ascii="Arial" w:hAnsi="Arial" w:cs="Arial"/>
        </w:rPr>
      </w:pPr>
      <w:r w:rsidRPr="00710CF4">
        <w:rPr>
          <w:rFonts w:ascii="Arial" w:hAnsi="Arial" w:cs="Arial"/>
        </w:rPr>
        <w:t>Staţia de monitorizare a debitului deză gama absorbită în aer</w:t>
      </w:r>
      <w:r w:rsidRPr="00382BE8">
        <w:rPr>
          <w:rFonts w:ascii="Arial" w:hAnsi="Arial" w:cs="Arial"/>
        </w:rPr>
        <w:t xml:space="preserve"> </w:t>
      </w:r>
      <w:r w:rsidRPr="00710CF4">
        <w:rPr>
          <w:rFonts w:ascii="Arial" w:hAnsi="Arial" w:cs="Arial"/>
        </w:rPr>
        <w:t>în timp real,</w:t>
      </w:r>
      <w:r>
        <w:rPr>
          <w:rFonts w:ascii="Arial" w:hAnsi="Arial" w:cs="Arial"/>
        </w:rPr>
        <w:t>care face parte din rețeaua mai sus menționată,</w:t>
      </w:r>
      <w:r w:rsidRPr="00710CF4">
        <w:rPr>
          <w:rFonts w:ascii="Arial" w:hAnsi="Arial" w:cs="Arial"/>
        </w:rPr>
        <w:t xml:space="preserve"> este amplasată în faţa Agenţiei pentru Protecţia Mediului Brăila şi realizează supravegherea radioactivităţii factorului de mediu aer. Obiectivul principal al staţiei este detectarea oricăror creşteri cu semnificaţie radiologică a nivelelor de radioactivitate din mediu precum şi acţiunea de avertizare – alarmare a factorilor de decizie. </w:t>
      </w:r>
    </w:p>
    <w:p w:rsidR="00012F90" w:rsidRPr="00710CF4" w:rsidRDefault="00012F90" w:rsidP="00012F90">
      <w:pPr>
        <w:ind w:firstLine="284"/>
        <w:jc w:val="both"/>
        <w:rPr>
          <w:rFonts w:ascii="Arial" w:hAnsi="Arial" w:cs="Arial"/>
          <w:b/>
          <w:color w:val="000000"/>
        </w:rPr>
      </w:pPr>
      <w:r w:rsidRPr="00710CF4">
        <w:rPr>
          <w:rFonts w:ascii="Arial" w:hAnsi="Arial" w:cs="Arial"/>
        </w:rPr>
        <w:t xml:space="preserve">Monitorizarea dozei gamma în aer se realizează în mod continuu, la distanţa de </w:t>
      </w:r>
      <w:smartTag w:uri="urn:schemas-microsoft-com:office:smarttags" w:element="metricconverter">
        <w:smartTagPr>
          <w:attr w:name="ProductID" w:val="1 metru"/>
        </w:smartTagPr>
        <w:r w:rsidRPr="00710CF4">
          <w:rPr>
            <w:rFonts w:ascii="Arial" w:hAnsi="Arial" w:cs="Arial"/>
          </w:rPr>
          <w:t>1 metru</w:t>
        </w:r>
      </w:smartTag>
      <w:r w:rsidRPr="00710CF4">
        <w:rPr>
          <w:rFonts w:ascii="Arial" w:hAnsi="Arial" w:cs="Arial"/>
        </w:rPr>
        <w:t xml:space="preserve"> faţă de sol, prin măsurătorile debitului echivalentului de doză, înregistrate cu o frecvenţă de 60 minute, stabilită de către Laboratorul Naţional de Referinţă pentru Radioactivitate. Datele achiziţionate de staţie sunt transmise în timp real, printr-un sistem de comunicaţie GPRS/GSM, la serverul ANPM </w:t>
      </w:r>
      <w:r>
        <w:rPr>
          <w:rFonts w:ascii="Arial" w:hAnsi="Arial" w:cs="Arial"/>
        </w:rPr>
        <w:t>din</w:t>
      </w:r>
      <w:r w:rsidRPr="00710CF4">
        <w:rPr>
          <w:rFonts w:ascii="Arial" w:hAnsi="Arial" w:cs="Arial"/>
        </w:rPr>
        <w:t xml:space="preserve"> Laboratorul de Radioactivitatea Mediului unde acestea sunt validate și apoi la severul Agenţiei pentru Protecţia Mediului Brăila.</w:t>
      </w:r>
    </w:p>
    <w:p w:rsidR="004E468C" w:rsidRDefault="00012F90" w:rsidP="00012F90">
      <w:pPr>
        <w:tabs>
          <w:tab w:val="left" w:pos="315"/>
          <w:tab w:val="center" w:pos="1080"/>
        </w:tabs>
        <w:jc w:val="both"/>
        <w:rPr>
          <w:rFonts w:ascii="Arial" w:hAnsi="Arial" w:cs="Arial"/>
          <w:b/>
          <w:bCs/>
          <w:iCs/>
        </w:rPr>
      </w:pPr>
      <w:r>
        <w:rPr>
          <w:rFonts w:ascii="Arial" w:hAnsi="Arial" w:cs="Arial"/>
          <w:bCs/>
          <w:iCs/>
        </w:rPr>
        <w:tab/>
      </w:r>
      <w:r>
        <w:rPr>
          <w:rFonts w:ascii="Arial" w:hAnsi="Arial" w:cs="Arial"/>
          <w:bCs/>
          <w:iCs/>
        </w:rPr>
        <w:tab/>
      </w:r>
      <w:r w:rsidRPr="00710CF4">
        <w:rPr>
          <w:rFonts w:ascii="Arial" w:hAnsi="Arial" w:cs="Arial"/>
          <w:bCs/>
          <w:iCs/>
        </w:rPr>
        <w:t>Rezultatele programului de supraveghere a debitului do</w:t>
      </w:r>
      <w:r>
        <w:rPr>
          <w:rFonts w:ascii="Arial" w:hAnsi="Arial" w:cs="Arial"/>
          <w:bCs/>
          <w:iCs/>
        </w:rPr>
        <w:t>zei gama în decursul anului 2014</w:t>
      </w:r>
      <w:r w:rsidRPr="00710CF4">
        <w:rPr>
          <w:rFonts w:ascii="Arial" w:hAnsi="Arial" w:cs="Arial"/>
          <w:bCs/>
          <w:iCs/>
        </w:rPr>
        <w:t xml:space="preserve"> sunt prezentate în tabelul </w:t>
      </w:r>
      <w:r w:rsidRPr="00382BE8">
        <w:rPr>
          <w:rFonts w:ascii="Arial" w:hAnsi="Arial" w:cs="Arial"/>
          <w:b/>
          <w:bCs/>
          <w:iCs/>
        </w:rPr>
        <w:t>10.1.1.1</w:t>
      </w:r>
      <w:r w:rsidRPr="00710CF4">
        <w:rPr>
          <w:rFonts w:ascii="Arial" w:hAnsi="Arial" w:cs="Arial"/>
          <w:bCs/>
          <w:iCs/>
        </w:rPr>
        <w:t xml:space="preserve">. și tabelul </w:t>
      </w:r>
      <w:r w:rsidRPr="00382BE8">
        <w:rPr>
          <w:rFonts w:ascii="Arial" w:hAnsi="Arial" w:cs="Arial"/>
          <w:b/>
          <w:bCs/>
          <w:iCs/>
        </w:rPr>
        <w:t>10.1.1</w:t>
      </w:r>
      <w:r>
        <w:rPr>
          <w:rFonts w:ascii="Arial" w:hAnsi="Arial" w:cs="Arial"/>
          <w:b/>
          <w:bCs/>
          <w:iCs/>
        </w:rPr>
        <w:t>.2.</w:t>
      </w:r>
    </w:p>
    <w:p w:rsidR="00012F90" w:rsidRPr="005925E3" w:rsidRDefault="00012F90" w:rsidP="00012F90">
      <w:pPr>
        <w:tabs>
          <w:tab w:val="left" w:pos="315"/>
          <w:tab w:val="center" w:pos="1080"/>
        </w:tabs>
        <w:jc w:val="both"/>
        <w:rPr>
          <w:rFonts w:ascii="Arial" w:hAnsi="Arial" w:cs="Arial"/>
          <w:b/>
          <w:bCs/>
          <w:iCs/>
        </w:rPr>
      </w:pPr>
      <w:r w:rsidRPr="005925E3">
        <w:rPr>
          <w:rFonts w:ascii="Arial" w:hAnsi="Arial" w:cs="Arial"/>
          <w:b/>
          <w:bCs/>
          <w:iCs/>
        </w:rPr>
        <w:tab/>
      </w:r>
    </w:p>
    <w:p w:rsidR="00012F90" w:rsidRPr="005925E3" w:rsidRDefault="00012F90" w:rsidP="00012F90">
      <w:pPr>
        <w:tabs>
          <w:tab w:val="left" w:pos="315"/>
          <w:tab w:val="center" w:pos="1080"/>
        </w:tabs>
        <w:jc w:val="both"/>
        <w:rPr>
          <w:rFonts w:ascii="Arial" w:hAnsi="Arial" w:cs="Arial"/>
          <w:b/>
          <w:bCs/>
          <w:iCs/>
        </w:rPr>
      </w:pPr>
      <w:r w:rsidRPr="005925E3">
        <w:rPr>
          <w:rFonts w:ascii="Arial" w:hAnsi="Arial" w:cs="Arial"/>
          <w:b/>
          <w:bCs/>
          <w:iCs/>
        </w:rPr>
        <w:t xml:space="preserve">   </w:t>
      </w:r>
      <w:r w:rsidRPr="00382BE8">
        <w:rPr>
          <w:rFonts w:ascii="Arial" w:hAnsi="Arial" w:cs="Arial"/>
          <w:b/>
          <w:bCs/>
          <w:iCs/>
        </w:rPr>
        <w:t>Tabel 10.1.1.1</w:t>
      </w:r>
      <w:r>
        <w:rPr>
          <w:rFonts w:ascii="Arial" w:hAnsi="Arial" w:cs="Arial"/>
          <w:b/>
          <w:bCs/>
          <w:iCs/>
        </w:rPr>
        <w:t xml:space="preserve"> Maxima și media anuală 2014</w:t>
      </w:r>
      <w:r w:rsidRPr="005925E3">
        <w:rPr>
          <w:rFonts w:ascii="Arial" w:hAnsi="Arial" w:cs="Arial"/>
          <w:b/>
          <w:bCs/>
          <w:iCs/>
        </w:rPr>
        <w:tab/>
      </w:r>
    </w:p>
    <w:tbl>
      <w:tblPr>
        <w:tblpPr w:leftFromText="180" w:rightFromText="180" w:vertAnchor="text" w:horzAnchor="margin" w:tblpXSpec="center" w:tblpY="27"/>
        <w:tblW w:w="94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1E0"/>
      </w:tblPr>
      <w:tblGrid>
        <w:gridCol w:w="3127"/>
        <w:gridCol w:w="985"/>
        <w:gridCol w:w="1701"/>
        <w:gridCol w:w="1134"/>
        <w:gridCol w:w="1276"/>
        <w:gridCol w:w="1275"/>
      </w:tblGrid>
      <w:tr w:rsidR="00012F90" w:rsidRPr="005925E3" w:rsidTr="00012F90">
        <w:trPr>
          <w:trHeight w:val="298"/>
        </w:trPr>
        <w:tc>
          <w:tcPr>
            <w:tcW w:w="3127" w:type="dxa"/>
            <w:shd w:val="clear" w:color="auto" w:fill="E6E6E6"/>
            <w:vAlign w:val="center"/>
          </w:tcPr>
          <w:p w:rsidR="00012F90" w:rsidRPr="005925E3" w:rsidRDefault="00012F90" w:rsidP="00012F90">
            <w:pPr>
              <w:pStyle w:val="Heading2"/>
              <w:spacing w:before="0" w:after="0"/>
              <w:jc w:val="center"/>
              <w:rPr>
                <w:rFonts w:ascii="Arial" w:hAnsi="Arial" w:cs="Arial"/>
                <w:b w:val="0"/>
                <w:bCs w:val="0"/>
                <w:sz w:val="24"/>
                <w:szCs w:val="24"/>
              </w:rPr>
            </w:pPr>
            <w:r w:rsidRPr="005925E3">
              <w:rPr>
                <w:rFonts w:ascii="Arial" w:hAnsi="Arial" w:cs="Arial"/>
                <w:sz w:val="24"/>
                <w:szCs w:val="24"/>
              </w:rPr>
              <w:t>Factor  de mediu</w:t>
            </w:r>
          </w:p>
        </w:tc>
        <w:tc>
          <w:tcPr>
            <w:tcW w:w="985" w:type="dxa"/>
            <w:shd w:val="clear" w:color="auto" w:fill="E6E6E6"/>
            <w:vAlign w:val="center"/>
          </w:tcPr>
          <w:p w:rsidR="00012F90" w:rsidRPr="005925E3" w:rsidRDefault="00012F90" w:rsidP="00012F90">
            <w:pPr>
              <w:jc w:val="center"/>
              <w:rPr>
                <w:rFonts w:ascii="Arial" w:hAnsi="Arial" w:cs="Arial"/>
                <w:b/>
                <w:bCs/>
              </w:rPr>
            </w:pPr>
            <w:r w:rsidRPr="005925E3">
              <w:rPr>
                <w:rFonts w:ascii="Arial" w:hAnsi="Arial" w:cs="Arial"/>
                <w:b/>
                <w:bCs/>
              </w:rPr>
              <w:t>U.M.</w:t>
            </w:r>
          </w:p>
        </w:tc>
        <w:tc>
          <w:tcPr>
            <w:tcW w:w="1701" w:type="dxa"/>
            <w:shd w:val="clear" w:color="auto" w:fill="E6E6E6"/>
            <w:vAlign w:val="center"/>
          </w:tcPr>
          <w:p w:rsidR="00012F90" w:rsidRPr="005925E3" w:rsidRDefault="00012F90" w:rsidP="00012F90">
            <w:pPr>
              <w:jc w:val="center"/>
              <w:rPr>
                <w:rFonts w:ascii="Arial" w:hAnsi="Arial" w:cs="Arial"/>
                <w:b/>
                <w:bCs/>
              </w:rPr>
            </w:pPr>
            <w:r w:rsidRPr="005925E3">
              <w:rPr>
                <w:rFonts w:ascii="Arial" w:hAnsi="Arial" w:cs="Arial"/>
                <w:b/>
                <w:bCs/>
              </w:rPr>
              <w:t>Limita atenţionare/avertizare</w:t>
            </w:r>
          </w:p>
        </w:tc>
        <w:tc>
          <w:tcPr>
            <w:tcW w:w="1134" w:type="dxa"/>
            <w:shd w:val="clear" w:color="auto" w:fill="E6E6E6"/>
            <w:vAlign w:val="center"/>
          </w:tcPr>
          <w:p w:rsidR="00012F90" w:rsidRPr="005925E3" w:rsidRDefault="00012F90" w:rsidP="00012F90">
            <w:pPr>
              <w:jc w:val="center"/>
              <w:rPr>
                <w:rFonts w:ascii="Arial" w:hAnsi="Arial" w:cs="Arial"/>
                <w:b/>
                <w:bCs/>
              </w:rPr>
            </w:pPr>
            <w:r w:rsidRPr="005925E3">
              <w:rPr>
                <w:rFonts w:ascii="Arial" w:hAnsi="Arial" w:cs="Arial"/>
                <w:b/>
                <w:bCs/>
              </w:rPr>
              <w:t>Media anuală</w:t>
            </w:r>
          </w:p>
        </w:tc>
        <w:tc>
          <w:tcPr>
            <w:tcW w:w="1276" w:type="dxa"/>
            <w:shd w:val="clear" w:color="auto" w:fill="E6E6E6"/>
            <w:vAlign w:val="center"/>
          </w:tcPr>
          <w:p w:rsidR="00012F90" w:rsidRPr="005925E3" w:rsidRDefault="00012F90" w:rsidP="00012F90">
            <w:pPr>
              <w:jc w:val="center"/>
              <w:rPr>
                <w:rFonts w:ascii="Arial" w:hAnsi="Arial" w:cs="Arial"/>
                <w:b/>
                <w:bCs/>
              </w:rPr>
            </w:pPr>
            <w:r w:rsidRPr="005925E3">
              <w:rPr>
                <w:rFonts w:ascii="Arial" w:hAnsi="Arial" w:cs="Arial"/>
                <w:b/>
                <w:bCs/>
              </w:rPr>
              <w:t>Maxima lunară</w:t>
            </w:r>
          </w:p>
        </w:tc>
        <w:tc>
          <w:tcPr>
            <w:tcW w:w="1275" w:type="dxa"/>
            <w:shd w:val="clear" w:color="auto" w:fill="E6E6E6"/>
            <w:vAlign w:val="center"/>
          </w:tcPr>
          <w:p w:rsidR="00012F90" w:rsidRPr="005925E3" w:rsidRDefault="00012F90" w:rsidP="00012F90">
            <w:pPr>
              <w:jc w:val="center"/>
              <w:rPr>
                <w:rFonts w:ascii="Arial" w:hAnsi="Arial" w:cs="Arial"/>
                <w:b/>
                <w:bCs/>
              </w:rPr>
            </w:pPr>
            <w:r w:rsidRPr="005925E3">
              <w:rPr>
                <w:rFonts w:ascii="Arial" w:hAnsi="Arial" w:cs="Arial"/>
                <w:b/>
                <w:bCs/>
              </w:rPr>
              <w:t>Luna maximei</w:t>
            </w:r>
          </w:p>
        </w:tc>
      </w:tr>
      <w:tr w:rsidR="00012F90" w:rsidRPr="005925E3" w:rsidTr="00012F90">
        <w:trPr>
          <w:trHeight w:val="314"/>
        </w:trPr>
        <w:tc>
          <w:tcPr>
            <w:tcW w:w="3127" w:type="dxa"/>
            <w:vAlign w:val="center"/>
          </w:tcPr>
          <w:p w:rsidR="00012F90" w:rsidRPr="005925E3" w:rsidRDefault="00012F90" w:rsidP="00012F90">
            <w:pPr>
              <w:rPr>
                <w:rFonts w:ascii="Arial" w:hAnsi="Arial" w:cs="Arial"/>
              </w:rPr>
            </w:pPr>
            <w:r w:rsidRPr="005925E3">
              <w:rPr>
                <w:rFonts w:ascii="Arial" w:hAnsi="Arial" w:cs="Arial"/>
              </w:rPr>
              <w:t>Debit doză gamma în aer</w:t>
            </w:r>
          </w:p>
        </w:tc>
        <w:tc>
          <w:tcPr>
            <w:tcW w:w="985" w:type="dxa"/>
            <w:vAlign w:val="center"/>
          </w:tcPr>
          <w:p w:rsidR="00012F90" w:rsidRPr="005925E3" w:rsidRDefault="00012F90" w:rsidP="00012F90">
            <w:pPr>
              <w:jc w:val="center"/>
              <w:rPr>
                <w:rFonts w:ascii="Arial" w:hAnsi="Arial" w:cs="Arial"/>
              </w:rPr>
            </w:pPr>
            <w:r w:rsidRPr="005925E3">
              <w:rPr>
                <w:rFonts w:ascii="Arial" w:hAnsi="Arial" w:cs="Arial"/>
              </w:rPr>
              <w:t>µ</w:t>
            </w:r>
            <w:r>
              <w:rPr>
                <w:rFonts w:ascii="Arial" w:hAnsi="Arial" w:cs="Arial"/>
              </w:rPr>
              <w:t>Sv</w:t>
            </w:r>
            <w:r w:rsidRPr="005925E3">
              <w:rPr>
                <w:rFonts w:ascii="Arial" w:hAnsi="Arial" w:cs="Arial"/>
              </w:rPr>
              <w:t>/h</w:t>
            </w:r>
          </w:p>
        </w:tc>
        <w:tc>
          <w:tcPr>
            <w:tcW w:w="1701" w:type="dxa"/>
            <w:vAlign w:val="center"/>
          </w:tcPr>
          <w:p w:rsidR="00012F90" w:rsidRPr="005925E3" w:rsidRDefault="00012F90" w:rsidP="00012F90">
            <w:pPr>
              <w:jc w:val="center"/>
              <w:rPr>
                <w:rFonts w:ascii="Arial" w:hAnsi="Arial" w:cs="Arial"/>
              </w:rPr>
            </w:pPr>
            <w:r w:rsidRPr="005925E3">
              <w:rPr>
                <w:rFonts w:ascii="Arial" w:hAnsi="Arial" w:cs="Arial"/>
              </w:rPr>
              <w:t>0,250/1,0</w:t>
            </w:r>
          </w:p>
        </w:tc>
        <w:tc>
          <w:tcPr>
            <w:tcW w:w="1134" w:type="dxa"/>
            <w:vAlign w:val="center"/>
          </w:tcPr>
          <w:p w:rsidR="00012F90" w:rsidRPr="00574929" w:rsidRDefault="00012F90" w:rsidP="00012F90">
            <w:pPr>
              <w:jc w:val="center"/>
              <w:rPr>
                <w:rFonts w:ascii="Arial" w:hAnsi="Arial" w:cs="Arial"/>
              </w:rPr>
            </w:pPr>
            <w:r w:rsidRPr="00574929">
              <w:rPr>
                <w:rFonts w:ascii="Arial" w:hAnsi="Arial" w:cs="Arial"/>
              </w:rPr>
              <w:t>0,108</w:t>
            </w:r>
          </w:p>
        </w:tc>
        <w:tc>
          <w:tcPr>
            <w:tcW w:w="1276" w:type="dxa"/>
            <w:vAlign w:val="center"/>
          </w:tcPr>
          <w:p w:rsidR="00012F90" w:rsidRPr="00574929" w:rsidRDefault="00012F90" w:rsidP="00012F90">
            <w:pPr>
              <w:jc w:val="center"/>
              <w:rPr>
                <w:rFonts w:ascii="Arial" w:hAnsi="Arial" w:cs="Arial"/>
              </w:rPr>
            </w:pPr>
            <w:r w:rsidRPr="00574929">
              <w:rPr>
                <w:rFonts w:ascii="Arial" w:hAnsi="Arial" w:cs="Arial"/>
              </w:rPr>
              <w:t>0,164</w:t>
            </w:r>
          </w:p>
        </w:tc>
        <w:tc>
          <w:tcPr>
            <w:tcW w:w="1275" w:type="dxa"/>
            <w:vAlign w:val="center"/>
          </w:tcPr>
          <w:p w:rsidR="00012F90" w:rsidRPr="00574929" w:rsidRDefault="00012F90" w:rsidP="00012F90">
            <w:pPr>
              <w:jc w:val="center"/>
              <w:rPr>
                <w:rFonts w:ascii="Arial" w:hAnsi="Arial" w:cs="Arial"/>
              </w:rPr>
            </w:pPr>
            <w:r w:rsidRPr="00574929">
              <w:rPr>
                <w:rFonts w:ascii="Arial" w:hAnsi="Arial" w:cs="Arial"/>
              </w:rPr>
              <w:t>10</w:t>
            </w:r>
          </w:p>
        </w:tc>
      </w:tr>
    </w:tbl>
    <w:p w:rsidR="00012F90" w:rsidRPr="005925E3" w:rsidRDefault="00012F90" w:rsidP="00012F90">
      <w:pPr>
        <w:tabs>
          <w:tab w:val="left" w:pos="315"/>
          <w:tab w:val="center" w:pos="1080"/>
        </w:tabs>
        <w:jc w:val="both"/>
        <w:rPr>
          <w:rFonts w:ascii="Arial" w:hAnsi="Arial" w:cs="Arial"/>
        </w:rPr>
      </w:pP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b/>
          <w:bCs/>
          <w:iCs/>
        </w:rPr>
        <w:tab/>
      </w:r>
      <w:r w:rsidRPr="005925E3">
        <w:rPr>
          <w:rFonts w:ascii="Arial" w:hAnsi="Arial" w:cs="Arial"/>
        </w:rPr>
        <w:tab/>
      </w:r>
      <w:r w:rsidRPr="005925E3">
        <w:rPr>
          <w:rFonts w:ascii="Arial" w:hAnsi="Arial" w:cs="Arial"/>
        </w:rPr>
        <w:tab/>
      </w:r>
      <w:r w:rsidRPr="005925E3">
        <w:rPr>
          <w:rFonts w:ascii="Arial" w:hAnsi="Arial" w:cs="Arial"/>
        </w:rPr>
        <w:tab/>
      </w:r>
    </w:p>
    <w:p w:rsidR="00012F90" w:rsidRDefault="00012F90" w:rsidP="00012F90">
      <w:pPr>
        <w:pStyle w:val="CharCaracterCharCharCharCaracter"/>
        <w:jc w:val="both"/>
        <w:rPr>
          <w:rFonts w:ascii="Arial" w:hAnsi="Arial" w:cs="Arial"/>
          <w:b/>
          <w:lang w:val="ro-RO" w:eastAsia="ro-RO"/>
        </w:rPr>
      </w:pPr>
    </w:p>
    <w:p w:rsidR="00012F90" w:rsidRDefault="00012F90" w:rsidP="00012F90">
      <w:pPr>
        <w:pStyle w:val="CharCaracterCharCharCharCaracter"/>
        <w:jc w:val="both"/>
        <w:rPr>
          <w:rFonts w:ascii="Arial" w:hAnsi="Arial" w:cs="Arial"/>
          <w:b/>
          <w:lang w:val="ro-RO" w:eastAsia="ro-RO"/>
        </w:rPr>
      </w:pPr>
    </w:p>
    <w:p w:rsidR="00012F90" w:rsidRDefault="00012F90" w:rsidP="00012F90">
      <w:pPr>
        <w:pStyle w:val="CharCaracterCharCharCharCaracter"/>
        <w:jc w:val="both"/>
        <w:rPr>
          <w:rFonts w:ascii="Arial" w:hAnsi="Arial" w:cs="Arial"/>
          <w:b/>
          <w:lang w:val="ro-RO" w:eastAsia="ro-RO"/>
        </w:rPr>
      </w:pPr>
    </w:p>
    <w:p w:rsidR="00012F90" w:rsidRDefault="00012F90" w:rsidP="00012F90">
      <w:pPr>
        <w:pStyle w:val="CharCaracterCharCharCharCaracter"/>
        <w:jc w:val="both"/>
        <w:rPr>
          <w:rFonts w:ascii="Arial" w:hAnsi="Arial" w:cs="Arial"/>
          <w:b/>
          <w:lang w:val="ro-RO" w:eastAsia="ro-RO"/>
        </w:rPr>
      </w:pPr>
    </w:p>
    <w:p w:rsidR="00012F90" w:rsidRDefault="00012F90" w:rsidP="00012F90">
      <w:pPr>
        <w:pStyle w:val="CharCaracterCharCharCharCaracter"/>
        <w:jc w:val="both"/>
        <w:rPr>
          <w:rFonts w:ascii="Arial" w:hAnsi="Arial" w:cs="Arial"/>
          <w:b/>
          <w:lang w:val="ro-RO" w:eastAsia="ro-RO"/>
        </w:rPr>
      </w:pPr>
    </w:p>
    <w:p w:rsidR="00012F90" w:rsidRPr="005925E3" w:rsidRDefault="00012F90" w:rsidP="00012F90">
      <w:pPr>
        <w:pStyle w:val="CharCaracterCharCharCharCaracter"/>
        <w:jc w:val="both"/>
        <w:rPr>
          <w:rFonts w:ascii="Arial" w:hAnsi="Arial" w:cs="Arial"/>
          <w:lang w:val="ro-RO" w:eastAsia="ro-RO"/>
        </w:rPr>
      </w:pPr>
      <w:r w:rsidRPr="005925E3">
        <w:rPr>
          <w:rFonts w:ascii="Arial" w:hAnsi="Arial" w:cs="Arial"/>
          <w:b/>
          <w:lang w:val="ro-RO" w:eastAsia="ro-RO"/>
        </w:rPr>
        <w:t xml:space="preserve">Tabel </w:t>
      </w:r>
      <w:r w:rsidRPr="00382BE8">
        <w:rPr>
          <w:rFonts w:ascii="Arial" w:hAnsi="Arial" w:cs="Arial"/>
          <w:b/>
          <w:bCs/>
          <w:iCs/>
        </w:rPr>
        <w:t>10.1.1</w:t>
      </w:r>
      <w:r>
        <w:rPr>
          <w:rFonts w:ascii="Arial" w:hAnsi="Arial" w:cs="Arial"/>
          <w:b/>
          <w:bCs/>
          <w:iCs/>
        </w:rPr>
        <w:t xml:space="preserve">.2. </w:t>
      </w:r>
      <w:r w:rsidRPr="005925E3">
        <w:rPr>
          <w:rFonts w:ascii="Arial" w:hAnsi="Arial" w:cs="Arial"/>
          <w:lang w:val="ro-RO" w:eastAsia="ro-RO"/>
        </w:rPr>
        <w:t>Valorile medii lunare de dozimetrie gamma</w:t>
      </w:r>
    </w:p>
    <w:p w:rsidR="00012F90" w:rsidRPr="005925E3" w:rsidRDefault="00012F90" w:rsidP="00012F90">
      <w:pPr>
        <w:pStyle w:val="CharCaracterCharCharCharCaracter"/>
        <w:jc w:val="both"/>
        <w:rPr>
          <w:rFonts w:ascii="Arial" w:hAnsi="Arial" w:cs="Arial"/>
          <w:b/>
          <w:lang w:val="ro-RO" w:eastAsia="ro-RO"/>
        </w:rPr>
      </w:pPr>
    </w:p>
    <w:tbl>
      <w:tblPr>
        <w:tblW w:w="1018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tblPr>
      <w:tblGrid>
        <w:gridCol w:w="1106"/>
        <w:gridCol w:w="767"/>
        <w:gridCol w:w="767"/>
        <w:gridCol w:w="645"/>
        <w:gridCol w:w="767"/>
        <w:gridCol w:w="767"/>
        <w:gridCol w:w="767"/>
        <w:gridCol w:w="767"/>
        <w:gridCol w:w="767"/>
        <w:gridCol w:w="767"/>
        <w:gridCol w:w="767"/>
        <w:gridCol w:w="767"/>
        <w:gridCol w:w="767"/>
      </w:tblGrid>
      <w:tr w:rsidR="00012F90" w:rsidRPr="005925E3" w:rsidTr="005043BE">
        <w:trPr>
          <w:trHeight w:val="326"/>
        </w:trPr>
        <w:tc>
          <w:tcPr>
            <w:tcW w:w="1730" w:type="dxa"/>
            <w:shd w:val="clear" w:color="auto" w:fill="D9D9D9"/>
          </w:tcPr>
          <w:p w:rsidR="00012F90" w:rsidRPr="005043BE" w:rsidRDefault="00012F90" w:rsidP="00012F90">
            <w:pPr>
              <w:rPr>
                <w:rFonts w:ascii="Arial" w:hAnsi="Arial" w:cs="Arial"/>
                <w:sz w:val="22"/>
                <w:szCs w:val="22"/>
              </w:rPr>
            </w:pPr>
            <w:r w:rsidRPr="005043BE">
              <w:rPr>
                <w:rFonts w:ascii="Arial" w:hAnsi="Arial" w:cs="Arial"/>
                <w:sz w:val="22"/>
                <w:szCs w:val="22"/>
              </w:rPr>
              <w:t xml:space="preserve">  LUNA</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Ian</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Feb</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Mar</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Apr</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Mai</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Iun</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Iul</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Aug</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Sep</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Oct</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Nov</w:t>
            </w:r>
          </w:p>
        </w:tc>
        <w:tc>
          <w:tcPr>
            <w:tcW w:w="284" w:type="dxa"/>
            <w:shd w:val="clear" w:color="auto" w:fill="D9D9D9"/>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Dec</w:t>
            </w:r>
          </w:p>
        </w:tc>
      </w:tr>
      <w:tr w:rsidR="00012F90" w:rsidRPr="005925E3" w:rsidTr="005043BE">
        <w:trPr>
          <w:trHeight w:val="395"/>
        </w:trPr>
        <w:tc>
          <w:tcPr>
            <w:tcW w:w="1730" w:type="dxa"/>
            <w:vAlign w:val="center"/>
          </w:tcPr>
          <w:p w:rsidR="00012F90" w:rsidRPr="005043BE" w:rsidRDefault="00012F90" w:rsidP="00012F90">
            <w:pPr>
              <w:rPr>
                <w:rFonts w:ascii="Arial" w:hAnsi="Arial" w:cs="Arial"/>
                <w:sz w:val="22"/>
                <w:szCs w:val="22"/>
              </w:rPr>
            </w:pPr>
            <w:r w:rsidRPr="005043BE">
              <w:rPr>
                <w:rFonts w:ascii="Arial" w:hAnsi="Arial" w:cs="Arial"/>
                <w:sz w:val="22"/>
                <w:szCs w:val="22"/>
              </w:rPr>
              <w:t>Medii lunare</w:t>
            </w:r>
          </w:p>
        </w:tc>
        <w:tc>
          <w:tcPr>
            <w:tcW w:w="284" w:type="dxa"/>
            <w:vAlign w:val="center"/>
          </w:tcPr>
          <w:p w:rsidR="00012F90" w:rsidRPr="005043BE" w:rsidRDefault="00012F90" w:rsidP="00012F90">
            <w:pPr>
              <w:rPr>
                <w:rFonts w:ascii="Arial" w:hAnsi="Arial" w:cs="Arial"/>
                <w:sz w:val="22"/>
                <w:szCs w:val="22"/>
              </w:rPr>
            </w:pPr>
            <w:r w:rsidRPr="005043BE">
              <w:rPr>
                <w:rFonts w:ascii="Arial" w:hAnsi="Arial" w:cs="Arial"/>
                <w:sz w:val="22"/>
                <w:szCs w:val="22"/>
              </w:rPr>
              <w:t>0,105</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0,097</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0,15</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0,105</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0,103</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0,103</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0,104</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0,105</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0,106</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0,106</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0,092</w:t>
            </w:r>
          </w:p>
        </w:tc>
        <w:tc>
          <w:tcPr>
            <w:tcW w:w="284" w:type="dxa"/>
            <w:vAlign w:val="center"/>
          </w:tcPr>
          <w:p w:rsidR="00012F90" w:rsidRPr="005043BE" w:rsidRDefault="00012F90" w:rsidP="00012F90">
            <w:pPr>
              <w:jc w:val="center"/>
              <w:rPr>
                <w:rFonts w:ascii="Arial" w:hAnsi="Arial" w:cs="Arial"/>
                <w:sz w:val="22"/>
                <w:szCs w:val="22"/>
              </w:rPr>
            </w:pPr>
            <w:r w:rsidRPr="005043BE">
              <w:rPr>
                <w:rFonts w:ascii="Arial" w:hAnsi="Arial" w:cs="Arial"/>
                <w:sz w:val="22"/>
                <w:szCs w:val="22"/>
              </w:rPr>
              <w:t>0,078</w:t>
            </w:r>
          </w:p>
        </w:tc>
      </w:tr>
    </w:tbl>
    <w:p w:rsidR="00012F90" w:rsidRPr="005925E3" w:rsidRDefault="00012F90" w:rsidP="00012F90">
      <w:pPr>
        <w:pStyle w:val="CharCaracterCharCharCharCaracter"/>
        <w:jc w:val="both"/>
        <w:rPr>
          <w:rFonts w:ascii="Arial" w:hAnsi="Arial" w:cs="Arial"/>
          <w:lang w:val="ro-RO"/>
        </w:rPr>
      </w:pPr>
      <w:r w:rsidRPr="005925E3">
        <w:rPr>
          <w:rFonts w:ascii="Arial" w:hAnsi="Arial" w:cs="Arial"/>
          <w:lang w:val="ro-RO"/>
        </w:rPr>
        <w:t xml:space="preserve">Valorile orare de dozimetrie gamma nu au prezentat depăşiri ale limitei de atenţionare de 0,250 </w:t>
      </w:r>
      <w:r w:rsidRPr="005925E3">
        <w:rPr>
          <w:rFonts w:ascii="Arial" w:hAnsi="Arial" w:cs="Arial"/>
        </w:rPr>
        <w:t>µ</w:t>
      </w:r>
      <w:r>
        <w:rPr>
          <w:rFonts w:ascii="Arial" w:hAnsi="Arial" w:cs="Arial"/>
        </w:rPr>
        <w:t>S</w:t>
      </w:r>
      <w:r w:rsidRPr="005925E3">
        <w:rPr>
          <w:rFonts w:ascii="Arial" w:hAnsi="Arial" w:cs="Arial"/>
        </w:rPr>
        <w:t>y/h</w:t>
      </w:r>
      <w:r w:rsidRPr="005925E3">
        <w:rPr>
          <w:rFonts w:ascii="Arial" w:hAnsi="Arial" w:cs="Arial"/>
          <w:lang w:val="ro-RO"/>
        </w:rPr>
        <w:t xml:space="preserve">, media anuală fiind de </w:t>
      </w:r>
      <w:r>
        <w:rPr>
          <w:rFonts w:ascii="Arial" w:hAnsi="Arial" w:cs="Arial"/>
          <w:lang w:val="ro-RO"/>
        </w:rPr>
        <w:t>0,108</w:t>
      </w:r>
      <w:r w:rsidRPr="005925E3">
        <w:rPr>
          <w:rFonts w:ascii="Arial" w:hAnsi="Arial" w:cs="Arial"/>
          <w:lang w:val="ro-RO"/>
        </w:rPr>
        <w:t xml:space="preserve"> </w:t>
      </w:r>
      <w:r w:rsidRPr="005925E3">
        <w:rPr>
          <w:rFonts w:ascii="Arial" w:hAnsi="Arial" w:cs="Arial"/>
        </w:rPr>
        <w:t>µ</w:t>
      </w:r>
      <w:r>
        <w:rPr>
          <w:rFonts w:ascii="Arial" w:hAnsi="Arial" w:cs="Arial"/>
        </w:rPr>
        <w:t>S</w:t>
      </w:r>
      <w:r w:rsidRPr="005925E3">
        <w:rPr>
          <w:rFonts w:ascii="Arial" w:hAnsi="Arial" w:cs="Arial"/>
        </w:rPr>
        <w:t>y/h</w:t>
      </w:r>
      <w:r w:rsidRPr="005925E3">
        <w:rPr>
          <w:rFonts w:ascii="Arial" w:hAnsi="Arial" w:cs="Arial"/>
          <w:lang w:val="ro-RO"/>
        </w:rPr>
        <w:t>.</w:t>
      </w:r>
    </w:p>
    <w:p w:rsidR="00012F90" w:rsidRDefault="00012F90" w:rsidP="00012F90">
      <w:pPr>
        <w:rPr>
          <w:noProof/>
        </w:rPr>
      </w:pPr>
    </w:p>
    <w:p w:rsidR="00012F90" w:rsidRDefault="00012F90" w:rsidP="00012F90">
      <w:pPr>
        <w:rPr>
          <w:rFonts w:ascii="Arial" w:hAnsi="Arial" w:cs="Arial"/>
          <w:noProof/>
        </w:rPr>
      </w:pPr>
      <w:r w:rsidRPr="00AF2690">
        <w:rPr>
          <w:rFonts w:ascii="Arial" w:hAnsi="Arial" w:cs="Arial"/>
          <w:noProof/>
        </w:rPr>
        <w:t xml:space="preserve">Variația mediilor și maximelor anuale </w:t>
      </w:r>
      <w:r>
        <w:rPr>
          <w:rFonts w:ascii="Arial" w:hAnsi="Arial" w:cs="Arial"/>
          <w:noProof/>
        </w:rPr>
        <w:t>ale debitului dozei gama înregistrate în ultimii cinci ani este prezentată în graficul X.1.1, după cum urmează.</w:t>
      </w:r>
    </w:p>
    <w:p w:rsidR="005043BE" w:rsidRPr="00AF2690" w:rsidRDefault="005043BE" w:rsidP="00012F90">
      <w:pPr>
        <w:rPr>
          <w:rFonts w:ascii="Arial" w:hAnsi="Arial" w:cs="Arial"/>
          <w:noProof/>
        </w:rPr>
      </w:pPr>
    </w:p>
    <w:p w:rsidR="00012F90" w:rsidRDefault="00012F90" w:rsidP="00012F90">
      <w:pPr>
        <w:jc w:val="center"/>
      </w:pPr>
      <w:r w:rsidRPr="00A57658">
        <w:rPr>
          <w:noProof/>
          <w:lang w:val="ro-RO" w:eastAsia="ro-RO"/>
        </w:rPr>
        <w:drawing>
          <wp:inline distT="0" distB="0" distL="0" distR="0">
            <wp:extent cx="4791075" cy="3352800"/>
            <wp:effectExtent l="19050" t="0" r="9525" b="0"/>
            <wp:docPr id="103"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37"/>
              </a:graphicData>
            </a:graphic>
          </wp:inline>
        </w:drawing>
      </w:r>
    </w:p>
    <w:p w:rsidR="005043BE" w:rsidRDefault="005043BE" w:rsidP="00012F90">
      <w:pPr>
        <w:jc w:val="center"/>
        <w:rPr>
          <w:rFonts w:ascii="Arial" w:hAnsi="Arial" w:cs="Arial"/>
          <w:b/>
        </w:rPr>
      </w:pPr>
    </w:p>
    <w:p w:rsidR="00012F90" w:rsidRPr="00AF2690" w:rsidRDefault="005043BE" w:rsidP="00012F90">
      <w:pPr>
        <w:jc w:val="center"/>
        <w:rPr>
          <w:rFonts w:ascii="Arial" w:hAnsi="Arial" w:cs="Arial"/>
          <w:b/>
        </w:rPr>
      </w:pPr>
      <w:r>
        <w:rPr>
          <w:rFonts w:ascii="Arial" w:hAnsi="Arial" w:cs="Arial"/>
          <w:b/>
        </w:rPr>
        <w:t>Figura</w:t>
      </w:r>
      <w:r w:rsidR="00012F90" w:rsidRPr="00AF2690">
        <w:rPr>
          <w:rFonts w:ascii="Arial" w:hAnsi="Arial" w:cs="Arial"/>
          <w:b/>
        </w:rPr>
        <w:t xml:space="preserve"> X.1.1.</w:t>
      </w:r>
      <w:r w:rsidR="00012F90">
        <w:rPr>
          <w:rFonts w:ascii="Arial" w:hAnsi="Arial" w:cs="Arial"/>
          <w:b/>
        </w:rPr>
        <w:t>1</w:t>
      </w:r>
    </w:p>
    <w:p w:rsidR="00012F90" w:rsidRDefault="00012F90" w:rsidP="00012F90"/>
    <w:p w:rsidR="00012F90" w:rsidRPr="005302B5" w:rsidRDefault="00012F90" w:rsidP="00012F90">
      <w:pPr>
        <w:autoSpaceDE w:val="0"/>
        <w:autoSpaceDN w:val="0"/>
        <w:adjustRightInd w:val="0"/>
        <w:ind w:firstLine="708"/>
        <w:jc w:val="both"/>
        <w:rPr>
          <w:rFonts w:ascii="Arial" w:hAnsi="Arial" w:cs="Arial"/>
        </w:rPr>
      </w:pPr>
      <w:r w:rsidRPr="005302B5">
        <w:rPr>
          <w:rFonts w:ascii="Arial" w:hAnsi="Arial" w:cs="Arial"/>
        </w:rPr>
        <w:t xml:space="preserve">Determinările efectuate în ultimii </w:t>
      </w:r>
      <w:r>
        <w:rPr>
          <w:rFonts w:ascii="Arial" w:hAnsi="Arial" w:cs="Arial"/>
        </w:rPr>
        <w:t xml:space="preserve">cinci </w:t>
      </w:r>
      <w:r w:rsidRPr="005302B5">
        <w:rPr>
          <w:rFonts w:ascii="Arial" w:hAnsi="Arial" w:cs="Arial"/>
        </w:rPr>
        <w:t>ani au evidenţiat faptul că valoarea medie anuală a debitul dozei</w:t>
      </w:r>
      <w:r>
        <w:rPr>
          <w:rFonts w:ascii="Arial" w:hAnsi="Arial" w:cs="Arial"/>
        </w:rPr>
        <w:t xml:space="preserve"> </w:t>
      </w:r>
      <w:r w:rsidRPr="005302B5">
        <w:rPr>
          <w:rFonts w:ascii="Arial" w:hAnsi="Arial" w:cs="Arial"/>
        </w:rPr>
        <w:t>gama s-a menținut în același domeniu de variație.</w:t>
      </w:r>
    </w:p>
    <w:p w:rsidR="00012F90" w:rsidRDefault="00012F90" w:rsidP="00012F90">
      <w:pPr>
        <w:jc w:val="both"/>
      </w:pPr>
    </w:p>
    <w:p w:rsidR="00012F90" w:rsidRPr="005043BE" w:rsidRDefault="00012F90" w:rsidP="00012F90">
      <w:pPr>
        <w:rPr>
          <w:rFonts w:ascii="Arial" w:hAnsi="Arial" w:cs="Arial"/>
          <w:b/>
          <w:i/>
          <w:color w:val="000000"/>
          <w:sz w:val="20"/>
          <w:szCs w:val="20"/>
        </w:rPr>
      </w:pPr>
      <w:r w:rsidRPr="005043BE">
        <w:rPr>
          <w:rFonts w:ascii="Arial" w:hAnsi="Arial" w:cs="Arial"/>
          <w:i/>
          <w:sz w:val="20"/>
          <w:szCs w:val="20"/>
        </w:rPr>
        <w:t>GLOSAR DE TERMENI</w:t>
      </w:r>
    </w:p>
    <w:p w:rsidR="00012F90" w:rsidRPr="005043BE" w:rsidRDefault="00012F90" w:rsidP="00012F90">
      <w:pPr>
        <w:jc w:val="both"/>
        <w:rPr>
          <w:rFonts w:ascii="Arial" w:hAnsi="Arial" w:cs="Arial"/>
          <w:i/>
          <w:sz w:val="20"/>
          <w:szCs w:val="20"/>
        </w:rPr>
      </w:pPr>
      <w:r w:rsidRPr="005043BE">
        <w:rPr>
          <w:rFonts w:ascii="Arial" w:hAnsi="Arial" w:cs="Arial"/>
          <w:b/>
          <w:i/>
          <w:sz w:val="20"/>
          <w:szCs w:val="20"/>
        </w:rPr>
        <w:t>Doza absorbită</w:t>
      </w:r>
      <w:r w:rsidRPr="005043BE">
        <w:rPr>
          <w:rFonts w:ascii="Arial" w:hAnsi="Arial" w:cs="Arial"/>
          <w:i/>
          <w:sz w:val="20"/>
          <w:szCs w:val="20"/>
        </w:rPr>
        <w:t xml:space="preserve"> reprezintă energia cedată de radiaţia ionizantă unităţii de masă a substanţei prin care trece, unitatea de măsură fiind gray (Gy).</w:t>
      </w:r>
    </w:p>
    <w:p w:rsidR="00012F90" w:rsidRPr="005043BE" w:rsidRDefault="00012F90" w:rsidP="00012F90">
      <w:pPr>
        <w:jc w:val="both"/>
        <w:rPr>
          <w:rFonts w:ascii="Arial" w:hAnsi="Arial" w:cs="Arial"/>
          <w:i/>
          <w:sz w:val="20"/>
          <w:szCs w:val="20"/>
        </w:rPr>
      </w:pPr>
      <w:r w:rsidRPr="005043BE">
        <w:rPr>
          <w:rFonts w:ascii="Arial" w:hAnsi="Arial" w:cs="Arial"/>
          <w:b/>
          <w:i/>
          <w:sz w:val="20"/>
          <w:szCs w:val="20"/>
        </w:rPr>
        <w:t>Doza echivalentă</w:t>
      </w:r>
      <w:r w:rsidRPr="005043BE">
        <w:rPr>
          <w:rFonts w:ascii="Arial" w:hAnsi="Arial" w:cs="Arial"/>
          <w:i/>
          <w:sz w:val="20"/>
          <w:szCs w:val="20"/>
        </w:rPr>
        <w:t xml:space="preserve"> constituie un indicator al riscului de expunere pentru un anumit ţesut la diferite radiaţii şi se defineşte ca fiind doza absorbită într-un ţesut supus la o radiaţie oarecare care produce acelaşi efect biologic ca o doză absorbită corespunzătoare unei radiaţii standard. Unitatea de măsură este sievert. (Sv).</w:t>
      </w:r>
    </w:p>
    <w:p w:rsidR="000F4FEA" w:rsidRPr="00730CFC" w:rsidRDefault="000F4FEA" w:rsidP="00012F90">
      <w:pPr>
        <w:rPr>
          <w:rFonts w:ascii="Arial" w:hAnsi="Arial" w:cs="Arial"/>
        </w:rPr>
      </w:pPr>
    </w:p>
    <w:p w:rsidR="000F4FEA" w:rsidRDefault="000F4FEA" w:rsidP="00012F90">
      <w:pPr>
        <w:ind w:firstLine="720"/>
        <w:jc w:val="both"/>
        <w:rPr>
          <w:rFonts w:ascii="Arial" w:hAnsi="Arial" w:cs="Arial"/>
          <w:b/>
          <w:lang w:val="ro-RO"/>
        </w:rPr>
      </w:pPr>
    </w:p>
    <w:p w:rsidR="00A107ED" w:rsidRPr="00FB4C8D" w:rsidRDefault="00A107ED" w:rsidP="00A107ED">
      <w:pPr>
        <w:autoSpaceDE w:val="0"/>
        <w:autoSpaceDN w:val="0"/>
        <w:adjustRightInd w:val="0"/>
        <w:ind w:firstLine="720"/>
        <w:jc w:val="both"/>
        <w:rPr>
          <w:rFonts w:ascii="Arial" w:hAnsi="Arial" w:cs="Arial"/>
          <w:b/>
          <w:u w:val="single"/>
        </w:rPr>
      </w:pPr>
    </w:p>
    <w:p w:rsidR="00A107ED" w:rsidRPr="00FB4C8D" w:rsidRDefault="00A107ED" w:rsidP="00A107ED">
      <w:pPr>
        <w:autoSpaceDE w:val="0"/>
        <w:autoSpaceDN w:val="0"/>
        <w:adjustRightInd w:val="0"/>
        <w:ind w:firstLine="720"/>
        <w:jc w:val="both"/>
        <w:rPr>
          <w:rFonts w:ascii="Arial" w:hAnsi="Arial" w:cs="Arial"/>
          <w:b/>
          <w:u w:val="single"/>
        </w:rPr>
      </w:pPr>
      <w:r w:rsidRPr="00FB4C8D">
        <w:rPr>
          <w:rFonts w:ascii="Arial" w:hAnsi="Arial" w:cs="Arial"/>
          <w:b/>
          <w:u w:val="single"/>
        </w:rPr>
        <w:t>CAP. XI. CONSUMUL ȘI MEDIUL ÎNCONJURĂTOR</w:t>
      </w:r>
    </w:p>
    <w:p w:rsidR="00A107ED" w:rsidRPr="00FB4C8D" w:rsidRDefault="00A107ED" w:rsidP="00A107ED">
      <w:pPr>
        <w:autoSpaceDE w:val="0"/>
        <w:autoSpaceDN w:val="0"/>
        <w:adjustRightInd w:val="0"/>
        <w:ind w:firstLine="720"/>
        <w:jc w:val="both"/>
        <w:rPr>
          <w:rFonts w:ascii="Arial" w:hAnsi="Arial" w:cs="Arial"/>
          <w:b/>
        </w:rPr>
      </w:pPr>
    </w:p>
    <w:p w:rsidR="00A107ED" w:rsidRDefault="00A107ED" w:rsidP="00A107ED">
      <w:pPr>
        <w:pStyle w:val="Default"/>
        <w:rPr>
          <w:rFonts w:ascii="Arial" w:hAnsi="Arial" w:cs="Arial"/>
          <w:b/>
          <w:color w:val="auto"/>
          <w:u w:val="single"/>
        </w:rPr>
      </w:pPr>
      <w:r w:rsidRPr="00FB4C8D">
        <w:rPr>
          <w:rFonts w:ascii="Arial" w:hAnsi="Arial" w:cs="Arial"/>
          <w:b/>
          <w:bCs/>
          <w:iCs/>
          <w:color w:val="auto"/>
          <w:u w:val="single"/>
        </w:rPr>
        <w:t xml:space="preserve">XI.1. Tendinţe în consum </w:t>
      </w:r>
      <w:r w:rsidRPr="00FB4C8D">
        <w:rPr>
          <w:rFonts w:ascii="Arial" w:hAnsi="Arial" w:cs="Arial"/>
          <w:b/>
          <w:color w:val="auto"/>
          <w:u w:val="single"/>
        </w:rPr>
        <w:t>la nivel judeţean</w:t>
      </w:r>
      <w:r>
        <w:rPr>
          <w:rFonts w:ascii="Arial" w:hAnsi="Arial" w:cs="Arial"/>
          <w:b/>
          <w:color w:val="auto"/>
          <w:u w:val="single"/>
        </w:rPr>
        <w:t xml:space="preserve"> </w:t>
      </w:r>
    </w:p>
    <w:p w:rsidR="00A107ED" w:rsidRPr="00FB4C8D" w:rsidRDefault="00A107ED" w:rsidP="00A107ED">
      <w:pPr>
        <w:pStyle w:val="Default"/>
        <w:rPr>
          <w:rFonts w:ascii="Arial" w:hAnsi="Arial" w:cs="Arial"/>
          <w:b/>
          <w:bCs/>
          <w:iCs/>
          <w:color w:val="auto"/>
          <w:u w:val="single"/>
        </w:rPr>
      </w:pPr>
    </w:p>
    <w:p w:rsidR="00A107ED" w:rsidRPr="00FB4C8D" w:rsidRDefault="00A107ED" w:rsidP="00A107ED">
      <w:pPr>
        <w:pStyle w:val="Default"/>
        <w:rPr>
          <w:rFonts w:ascii="Arial" w:hAnsi="Arial" w:cs="Arial"/>
          <w:b/>
          <w:bCs/>
          <w:i/>
          <w:iCs/>
          <w:color w:val="auto"/>
          <w:u w:val="single"/>
        </w:rPr>
      </w:pPr>
      <w:r w:rsidRPr="00FB4C8D">
        <w:rPr>
          <w:rFonts w:ascii="Arial" w:hAnsi="Arial" w:cs="Arial"/>
          <w:b/>
          <w:bCs/>
          <w:i/>
          <w:iCs/>
          <w:color w:val="auto"/>
          <w:u w:val="single"/>
        </w:rPr>
        <w:t xml:space="preserve">XI.1.1. Alimente </w:t>
      </w:r>
      <w:r>
        <w:rPr>
          <w:rFonts w:ascii="Arial" w:hAnsi="Arial" w:cs="Arial"/>
          <w:b/>
          <w:bCs/>
          <w:i/>
          <w:iCs/>
          <w:color w:val="auto"/>
          <w:u w:val="single"/>
        </w:rPr>
        <w:t>ș</w:t>
      </w:r>
      <w:r w:rsidRPr="00FB4C8D">
        <w:rPr>
          <w:rFonts w:ascii="Arial" w:hAnsi="Arial" w:cs="Arial"/>
          <w:b/>
          <w:bCs/>
          <w:i/>
          <w:iCs/>
          <w:color w:val="auto"/>
          <w:u w:val="single"/>
        </w:rPr>
        <w:t>i băuturi</w:t>
      </w:r>
    </w:p>
    <w:p w:rsidR="00A107ED" w:rsidRPr="00FB4C8D" w:rsidRDefault="00A107ED" w:rsidP="00A107ED">
      <w:pPr>
        <w:pStyle w:val="Default"/>
        <w:rPr>
          <w:rFonts w:ascii="Arial" w:hAnsi="Arial" w:cs="Arial"/>
          <w:b/>
          <w:bCs/>
          <w:iCs/>
          <w:color w:val="auto"/>
          <w:u w:val="single"/>
        </w:rPr>
      </w:pPr>
    </w:p>
    <w:p w:rsidR="00A107ED" w:rsidRDefault="00A107ED" w:rsidP="00A107ED">
      <w:pPr>
        <w:pStyle w:val="Default"/>
        <w:rPr>
          <w:rFonts w:ascii="Arial" w:hAnsi="Arial" w:cs="Arial"/>
          <w:b/>
          <w:color w:val="FF0000"/>
        </w:rPr>
      </w:pPr>
      <w:r>
        <w:rPr>
          <w:rFonts w:ascii="Arial" w:hAnsi="Arial" w:cs="Arial"/>
          <w:b/>
          <w:bCs/>
          <w:color w:val="auto"/>
        </w:rPr>
        <w:lastRenderedPageBreak/>
        <w:t>Tabelul</w:t>
      </w:r>
      <w:r w:rsidRPr="00FB4C8D">
        <w:rPr>
          <w:rFonts w:ascii="Arial" w:hAnsi="Arial" w:cs="Arial"/>
          <w:b/>
          <w:bCs/>
          <w:color w:val="auto"/>
        </w:rPr>
        <w:t xml:space="preserve"> nr. XI.</w:t>
      </w:r>
      <w:r>
        <w:rPr>
          <w:rFonts w:ascii="Arial" w:hAnsi="Arial" w:cs="Arial"/>
          <w:b/>
          <w:bCs/>
          <w:color w:val="auto"/>
        </w:rPr>
        <w:t>1</w:t>
      </w:r>
      <w:r w:rsidRPr="00FB4C8D">
        <w:rPr>
          <w:rFonts w:ascii="Arial" w:hAnsi="Arial" w:cs="Arial"/>
          <w:b/>
          <w:bCs/>
          <w:color w:val="auto"/>
        </w:rPr>
        <w:t>.</w:t>
      </w:r>
      <w:r>
        <w:rPr>
          <w:rFonts w:ascii="Arial" w:hAnsi="Arial" w:cs="Arial"/>
          <w:b/>
          <w:bCs/>
          <w:color w:val="auto"/>
        </w:rPr>
        <w:t>1.1</w:t>
      </w:r>
    </w:p>
    <w:p w:rsidR="00A107ED" w:rsidRPr="00742230" w:rsidRDefault="00A107ED" w:rsidP="00A107ED">
      <w:pPr>
        <w:pStyle w:val="Default"/>
        <w:rPr>
          <w:rFonts w:ascii="Arial" w:hAnsi="Arial" w:cs="Arial"/>
          <w:b/>
          <w:bCs/>
          <w:iCs/>
          <w:color w:val="FF0000"/>
        </w:rPr>
      </w:pPr>
      <w:r>
        <w:rPr>
          <w:rFonts w:ascii="Arial" w:hAnsi="Arial" w:cs="Arial"/>
        </w:rPr>
        <w:t>I</w:t>
      </w:r>
      <w:r w:rsidRPr="00742230">
        <w:rPr>
          <w:rFonts w:ascii="Arial" w:hAnsi="Arial" w:cs="Arial"/>
        </w:rPr>
        <w:t>ndicii volumului cifrei de afaceri</w:t>
      </w:r>
      <w:r>
        <w:rPr>
          <w:rFonts w:ascii="Arial" w:hAnsi="Arial" w:cs="Arial"/>
        </w:rPr>
        <w:t xml:space="preserve"> </w:t>
      </w:r>
      <w:r w:rsidRPr="00742230">
        <w:rPr>
          <w:rFonts w:ascii="Arial" w:hAnsi="Arial" w:cs="Arial"/>
          <w:vertAlign w:val="superscript"/>
        </w:rPr>
        <w:t xml:space="preserve"> </w:t>
      </w:r>
      <w:r w:rsidRPr="00742230">
        <w:rPr>
          <w:rFonts w:ascii="Arial" w:hAnsi="Arial" w:cs="Arial"/>
        </w:rPr>
        <w:t>pentru comerţul cu amănuntul, cu excepţia autovehiculelor şi motocicletelor</w:t>
      </w:r>
    </w:p>
    <w:p w:rsidR="00A107ED" w:rsidRPr="00FB4C8D" w:rsidRDefault="00A107ED" w:rsidP="00A107ED">
      <w:pPr>
        <w:pStyle w:val="Default"/>
        <w:rPr>
          <w:rFonts w:ascii="Arial" w:hAnsi="Arial" w:cs="Arial"/>
          <w:color w:val="auto"/>
        </w:rPr>
      </w:pP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r>
      <w:r>
        <w:rPr>
          <w:rFonts w:ascii="Arial" w:hAnsi="Arial" w:cs="Arial"/>
          <w:color w:val="auto"/>
        </w:rPr>
        <w:tab/>
        <w:t xml:space="preserve">            (%)</w:t>
      </w:r>
    </w:p>
    <w:tbl>
      <w:tblPr>
        <w:tblW w:w="9856" w:type="dxa"/>
        <w:jc w:val="center"/>
        <w:tblInd w:w="-1811" w:type="dxa"/>
        <w:tblLayout w:type="fixed"/>
        <w:tblCellMar>
          <w:left w:w="0" w:type="dxa"/>
          <w:right w:w="0" w:type="dxa"/>
        </w:tblCellMar>
        <w:tblLook w:val="0000"/>
      </w:tblPr>
      <w:tblGrid>
        <w:gridCol w:w="2765"/>
        <w:gridCol w:w="850"/>
        <w:gridCol w:w="709"/>
        <w:gridCol w:w="850"/>
        <w:gridCol w:w="769"/>
        <w:gridCol w:w="649"/>
        <w:gridCol w:w="704"/>
        <w:gridCol w:w="713"/>
        <w:gridCol w:w="705"/>
        <w:gridCol w:w="1142"/>
      </w:tblGrid>
      <w:tr w:rsidR="00A107ED" w:rsidRPr="00742230" w:rsidTr="00D0386E">
        <w:trPr>
          <w:cantSplit/>
          <w:trHeight w:val="272"/>
          <w:jc w:val="center"/>
        </w:trPr>
        <w:tc>
          <w:tcPr>
            <w:tcW w:w="2765" w:type="dxa"/>
            <w:vMerge w:val="restart"/>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A107ED" w:rsidRPr="00742230" w:rsidRDefault="00A107ED" w:rsidP="00D0386E">
            <w:pPr>
              <w:ind w:left="28"/>
              <w:rPr>
                <w:rFonts w:ascii="Arial" w:eastAsia="Arial Unicode MS" w:hAnsi="Arial" w:cs="Arial"/>
                <w:b/>
              </w:rPr>
            </w:pPr>
          </w:p>
        </w:tc>
        <w:tc>
          <w:tcPr>
            <w:tcW w:w="7091" w:type="dxa"/>
            <w:gridSpan w:val="9"/>
            <w:tcBorders>
              <w:top w:val="single" w:sz="8" w:space="0" w:color="auto"/>
              <w:left w:val="nil"/>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rPr>
            </w:pPr>
            <w:r w:rsidRPr="00742230">
              <w:rPr>
                <w:rFonts w:ascii="Arial" w:eastAsia="Arial Unicode MS" w:hAnsi="Arial" w:cs="Arial"/>
                <w:b/>
              </w:rPr>
              <w:t>2014</w:t>
            </w:r>
          </w:p>
          <w:p w:rsidR="00A107ED" w:rsidRPr="00742230" w:rsidRDefault="00A107ED" w:rsidP="00D0386E">
            <w:pPr>
              <w:jc w:val="center"/>
              <w:rPr>
                <w:rFonts w:ascii="Arial" w:eastAsia="Arial Unicode MS" w:hAnsi="Arial" w:cs="Arial"/>
                <w:b/>
              </w:rPr>
            </w:pPr>
            <w:r w:rsidRPr="00742230">
              <w:rPr>
                <w:rFonts w:ascii="Arial" w:hAnsi="Arial" w:cs="Arial"/>
                <w:b/>
              </w:rPr>
              <w:t xml:space="preserve">luna corespunzătoare din anul precedent </w:t>
            </w:r>
            <w:r w:rsidR="00D0386E">
              <w:rPr>
                <w:rFonts w:ascii="Arial" w:hAnsi="Arial" w:cs="Arial"/>
                <w:b/>
              </w:rPr>
              <w:t xml:space="preserve"> </w:t>
            </w:r>
            <w:r w:rsidRPr="00742230">
              <w:rPr>
                <w:rFonts w:ascii="Arial" w:hAnsi="Arial" w:cs="Arial"/>
                <w:b/>
              </w:rPr>
              <w:t>= 100</w:t>
            </w:r>
          </w:p>
        </w:tc>
      </w:tr>
      <w:tr w:rsidR="00A107ED" w:rsidRPr="00742230" w:rsidTr="00D0386E">
        <w:trPr>
          <w:cantSplit/>
          <w:trHeight w:val="323"/>
          <w:jc w:val="center"/>
        </w:trPr>
        <w:tc>
          <w:tcPr>
            <w:tcW w:w="2765" w:type="dxa"/>
            <w:vMerge/>
            <w:tcBorders>
              <w:top w:val="single" w:sz="8" w:space="0" w:color="auto"/>
              <w:left w:val="single" w:sz="8" w:space="0" w:color="auto"/>
              <w:bottom w:val="single" w:sz="8" w:space="0" w:color="000000"/>
              <w:right w:val="single" w:sz="8" w:space="0" w:color="000000"/>
            </w:tcBorders>
            <w:shd w:val="clear" w:color="auto" w:fill="FBD4B4" w:themeFill="accent6" w:themeFillTint="66"/>
            <w:vAlign w:val="center"/>
          </w:tcPr>
          <w:p w:rsidR="00A107ED" w:rsidRPr="00742230" w:rsidRDefault="00A107ED" w:rsidP="00D0386E">
            <w:pPr>
              <w:ind w:left="28"/>
              <w:rPr>
                <w:rFonts w:ascii="Arial" w:eastAsia="Arial Unicode MS" w:hAnsi="Arial" w:cs="Arial"/>
                <w:b/>
              </w:rPr>
            </w:pPr>
          </w:p>
        </w:tc>
        <w:tc>
          <w:tcPr>
            <w:tcW w:w="850"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apr.</w:t>
            </w:r>
          </w:p>
        </w:tc>
        <w:tc>
          <w:tcPr>
            <w:tcW w:w="709"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mai</w:t>
            </w:r>
          </w:p>
        </w:tc>
        <w:tc>
          <w:tcPr>
            <w:tcW w:w="850"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iun.</w:t>
            </w:r>
          </w:p>
        </w:tc>
        <w:tc>
          <w:tcPr>
            <w:tcW w:w="769"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iul.</w:t>
            </w:r>
          </w:p>
        </w:tc>
        <w:tc>
          <w:tcPr>
            <w:tcW w:w="649"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aug.</w:t>
            </w:r>
          </w:p>
        </w:tc>
        <w:tc>
          <w:tcPr>
            <w:tcW w:w="704"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rPr>
            </w:pPr>
            <w:r w:rsidRPr="00742230">
              <w:rPr>
                <w:rFonts w:ascii="Arial" w:hAnsi="Arial" w:cs="Arial"/>
                <w:b/>
              </w:rPr>
              <w:t>sep.</w:t>
            </w:r>
          </w:p>
        </w:tc>
        <w:tc>
          <w:tcPr>
            <w:tcW w:w="713"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oct.</w:t>
            </w:r>
          </w:p>
        </w:tc>
        <w:tc>
          <w:tcPr>
            <w:tcW w:w="705"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nov.</w:t>
            </w:r>
          </w:p>
        </w:tc>
        <w:tc>
          <w:tcPr>
            <w:tcW w:w="1142" w:type="dxa"/>
            <w:tcBorders>
              <w:top w:val="nil"/>
              <w:left w:val="single" w:sz="4" w:space="0" w:color="auto"/>
              <w:bottom w:val="single" w:sz="8" w:space="0" w:color="auto"/>
              <w:right w:val="single" w:sz="8" w:space="0" w:color="auto"/>
            </w:tcBorders>
            <w:shd w:val="clear" w:color="auto" w:fill="FBD4B4" w:themeFill="accent6" w:themeFillTint="66"/>
            <w:vAlign w:val="center"/>
          </w:tcPr>
          <w:p w:rsidR="00A107ED" w:rsidRPr="00742230" w:rsidRDefault="00A107ED" w:rsidP="00D0386E">
            <w:pPr>
              <w:jc w:val="center"/>
              <w:rPr>
                <w:rFonts w:ascii="Arial" w:eastAsia="Arial Unicode MS" w:hAnsi="Arial" w:cs="Arial"/>
                <w:b/>
                <w:vertAlign w:val="superscript"/>
              </w:rPr>
            </w:pPr>
            <w:r w:rsidRPr="00742230">
              <w:rPr>
                <w:rFonts w:ascii="Arial" w:hAnsi="Arial" w:cs="Arial"/>
                <w:b/>
              </w:rPr>
              <w:t>dec.</w:t>
            </w:r>
          </w:p>
        </w:tc>
      </w:tr>
      <w:tr w:rsidR="00A107ED" w:rsidRPr="00742230" w:rsidTr="00D0386E">
        <w:trPr>
          <w:cantSplit/>
          <w:trHeight w:val="429"/>
          <w:jc w:val="center"/>
        </w:trPr>
        <w:tc>
          <w:tcPr>
            <w:tcW w:w="2765" w:type="dxa"/>
            <w:tcBorders>
              <w:top w:val="single" w:sz="8" w:space="0" w:color="000000"/>
              <w:left w:val="single" w:sz="8" w:space="0" w:color="auto"/>
              <w:right w:val="single" w:sz="8" w:space="0" w:color="000000"/>
            </w:tcBorders>
            <w:shd w:val="clear" w:color="auto" w:fill="FDE9D9" w:themeFill="accent6" w:themeFillTint="33"/>
            <w:vAlign w:val="center"/>
          </w:tcPr>
          <w:p w:rsidR="00A107ED" w:rsidRPr="00742230" w:rsidRDefault="00A107ED" w:rsidP="00D0386E">
            <w:pPr>
              <w:pStyle w:val="Heading1"/>
              <w:ind w:left="57"/>
              <w:rPr>
                <w:rFonts w:eastAsia="Arial Unicode MS"/>
                <w:sz w:val="24"/>
                <w:szCs w:val="24"/>
              </w:rPr>
            </w:pPr>
            <w:r w:rsidRPr="00742230">
              <w:rPr>
                <w:sz w:val="24"/>
                <w:szCs w:val="24"/>
              </w:rPr>
              <w:t>Total ţară</w:t>
            </w:r>
          </w:p>
        </w:tc>
        <w:tc>
          <w:tcPr>
            <w:tcW w:w="850" w:type="dxa"/>
            <w:tcBorders>
              <w:top w:val="single" w:sz="8" w:space="0" w:color="auto"/>
              <w:left w:val="nil"/>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103,9</w:t>
            </w:r>
          </w:p>
        </w:tc>
        <w:tc>
          <w:tcPr>
            <w:tcW w:w="709"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108,5</w:t>
            </w:r>
          </w:p>
        </w:tc>
        <w:tc>
          <w:tcPr>
            <w:tcW w:w="850"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109,0</w:t>
            </w:r>
          </w:p>
        </w:tc>
        <w:tc>
          <w:tcPr>
            <w:tcW w:w="769"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105,3</w:t>
            </w:r>
          </w:p>
        </w:tc>
        <w:tc>
          <w:tcPr>
            <w:tcW w:w="649"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104,1</w:t>
            </w:r>
          </w:p>
        </w:tc>
        <w:tc>
          <w:tcPr>
            <w:tcW w:w="704"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104,7</w:t>
            </w:r>
          </w:p>
        </w:tc>
        <w:tc>
          <w:tcPr>
            <w:tcW w:w="713"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103,9</w:t>
            </w:r>
          </w:p>
        </w:tc>
        <w:tc>
          <w:tcPr>
            <w:tcW w:w="705"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105,9</w:t>
            </w:r>
          </w:p>
        </w:tc>
        <w:tc>
          <w:tcPr>
            <w:tcW w:w="1142" w:type="dxa"/>
            <w:tcBorders>
              <w:top w:val="single" w:sz="8" w:space="0" w:color="auto"/>
              <w:left w:val="dotted" w:sz="4" w:space="0" w:color="auto"/>
              <w:bottom w:val="dotted" w:sz="4" w:space="0" w:color="auto"/>
              <w:right w:val="single" w:sz="8" w:space="0" w:color="auto"/>
            </w:tcBorders>
            <w:shd w:val="clear" w:color="auto" w:fill="FDE9D9" w:themeFill="accent6" w:themeFillTint="33"/>
            <w:vAlign w:val="center"/>
          </w:tcPr>
          <w:p w:rsidR="00A107ED" w:rsidRPr="00742230" w:rsidRDefault="00A107ED" w:rsidP="00D0386E">
            <w:pPr>
              <w:jc w:val="center"/>
              <w:rPr>
                <w:rFonts w:ascii="Arial" w:hAnsi="Arial" w:cs="Arial"/>
                <w:b/>
              </w:rPr>
            </w:pPr>
            <w:r w:rsidRPr="00742230">
              <w:rPr>
                <w:rFonts w:ascii="Arial" w:hAnsi="Arial" w:cs="Arial"/>
                <w:b/>
              </w:rPr>
              <w:t>106,5</w:t>
            </w:r>
          </w:p>
        </w:tc>
      </w:tr>
      <w:tr w:rsidR="00A107ED" w:rsidRPr="00742230" w:rsidTr="00D0386E">
        <w:trPr>
          <w:cantSplit/>
          <w:trHeight w:val="260"/>
          <w:jc w:val="center"/>
        </w:trPr>
        <w:tc>
          <w:tcPr>
            <w:tcW w:w="2765" w:type="dxa"/>
            <w:tcBorders>
              <w:top w:val="dotted" w:sz="4" w:space="0" w:color="auto"/>
              <w:left w:val="single" w:sz="8" w:space="0" w:color="auto"/>
              <w:bottom w:val="dotted" w:sz="4" w:space="0" w:color="auto"/>
              <w:right w:val="single" w:sz="8" w:space="0" w:color="000000"/>
            </w:tcBorders>
            <w:shd w:val="clear" w:color="auto" w:fill="FDE9D9" w:themeFill="accent6" w:themeFillTint="33"/>
            <w:vAlign w:val="center"/>
          </w:tcPr>
          <w:p w:rsidR="00A107ED" w:rsidRPr="00D90E14" w:rsidRDefault="00A107ED" w:rsidP="00D0386E">
            <w:pPr>
              <w:rPr>
                <w:rFonts w:ascii="Arial" w:hAnsi="Arial" w:cs="Arial"/>
              </w:rPr>
            </w:pPr>
            <w:r w:rsidRPr="00D90E14">
              <w:rPr>
                <w:rFonts w:ascii="Arial" w:hAnsi="Arial" w:cs="Arial"/>
              </w:rPr>
              <w:t>Cu vânzare predominantă</w:t>
            </w:r>
          </w:p>
          <w:p w:rsidR="00A107ED" w:rsidRPr="00D90E14" w:rsidRDefault="00A107ED" w:rsidP="00D0386E">
            <w:pPr>
              <w:rPr>
                <w:rFonts w:ascii="Arial" w:hAnsi="Arial" w:cs="Arial"/>
              </w:rPr>
            </w:pPr>
            <w:r w:rsidRPr="00D90E14">
              <w:rPr>
                <w:rFonts w:ascii="Arial" w:hAnsi="Arial" w:cs="Arial"/>
              </w:rPr>
              <w:t>de produse alimentare,</w:t>
            </w:r>
          </w:p>
          <w:p w:rsidR="00A107ED" w:rsidRPr="00D90E14" w:rsidRDefault="00A107ED" w:rsidP="00D0386E">
            <w:pPr>
              <w:rPr>
                <w:rFonts w:ascii="Arial" w:eastAsia="Arial Unicode MS" w:hAnsi="Arial" w:cs="Arial"/>
              </w:rPr>
            </w:pPr>
            <w:r w:rsidRPr="00D90E14">
              <w:rPr>
                <w:rFonts w:ascii="Arial" w:hAnsi="Arial" w:cs="Arial"/>
              </w:rPr>
              <w:t>băuturi şi tutun</w:t>
            </w:r>
          </w:p>
        </w:tc>
        <w:tc>
          <w:tcPr>
            <w:tcW w:w="850" w:type="dxa"/>
            <w:tcBorders>
              <w:top w:val="dotted" w:sz="4" w:space="0" w:color="auto"/>
              <w:left w:val="nil"/>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108,4</w:t>
            </w:r>
          </w:p>
        </w:tc>
        <w:tc>
          <w:tcPr>
            <w:tcW w:w="709"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103,8</w:t>
            </w:r>
          </w:p>
        </w:tc>
        <w:tc>
          <w:tcPr>
            <w:tcW w:w="850"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107,8</w:t>
            </w:r>
          </w:p>
        </w:tc>
        <w:tc>
          <w:tcPr>
            <w:tcW w:w="769"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107,9</w:t>
            </w:r>
          </w:p>
        </w:tc>
        <w:tc>
          <w:tcPr>
            <w:tcW w:w="649"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105,7</w:t>
            </w:r>
          </w:p>
        </w:tc>
        <w:tc>
          <w:tcPr>
            <w:tcW w:w="704"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102,4</w:t>
            </w:r>
          </w:p>
        </w:tc>
        <w:tc>
          <w:tcPr>
            <w:tcW w:w="713"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103,7</w:t>
            </w:r>
          </w:p>
        </w:tc>
        <w:tc>
          <w:tcPr>
            <w:tcW w:w="705"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104,1</w:t>
            </w:r>
          </w:p>
        </w:tc>
        <w:tc>
          <w:tcPr>
            <w:tcW w:w="1142" w:type="dxa"/>
            <w:tcBorders>
              <w:top w:val="dotted" w:sz="4" w:space="0" w:color="auto"/>
              <w:left w:val="dotted" w:sz="4" w:space="0" w:color="auto"/>
              <w:bottom w:val="dotted" w:sz="4" w:space="0" w:color="auto"/>
              <w:right w:val="single" w:sz="8"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104,5</w:t>
            </w:r>
          </w:p>
        </w:tc>
      </w:tr>
      <w:tr w:rsidR="00A107ED" w:rsidRPr="00742230" w:rsidTr="00D0386E">
        <w:trPr>
          <w:cantSplit/>
          <w:trHeight w:val="260"/>
          <w:jc w:val="center"/>
        </w:trPr>
        <w:tc>
          <w:tcPr>
            <w:tcW w:w="2765" w:type="dxa"/>
            <w:tcBorders>
              <w:top w:val="dotted" w:sz="4" w:space="0" w:color="auto"/>
              <w:left w:val="single" w:sz="8" w:space="0" w:color="auto"/>
              <w:bottom w:val="single" w:sz="8" w:space="0" w:color="auto"/>
              <w:right w:val="single" w:sz="8" w:space="0" w:color="000000"/>
            </w:tcBorders>
            <w:shd w:val="clear" w:color="auto" w:fill="FDE9D9" w:themeFill="accent6" w:themeFillTint="33"/>
            <w:vAlign w:val="center"/>
          </w:tcPr>
          <w:p w:rsidR="00A107ED" w:rsidRPr="00D90E14" w:rsidRDefault="00A107ED" w:rsidP="00D0386E">
            <w:pPr>
              <w:rPr>
                <w:rFonts w:ascii="Arial" w:hAnsi="Arial" w:cs="Arial"/>
              </w:rPr>
            </w:pPr>
            <w:r w:rsidRPr="00D90E14">
              <w:rPr>
                <w:rFonts w:ascii="Arial" w:hAnsi="Arial" w:cs="Arial"/>
              </w:rPr>
              <w:t>Cu vânzare predominantă</w:t>
            </w:r>
          </w:p>
          <w:p w:rsidR="00A107ED" w:rsidRPr="00D90E14" w:rsidRDefault="00A107ED" w:rsidP="00D0386E">
            <w:pPr>
              <w:rPr>
                <w:rFonts w:ascii="Arial" w:eastAsia="Arial Unicode MS" w:hAnsi="Arial" w:cs="Arial"/>
              </w:rPr>
            </w:pPr>
            <w:r w:rsidRPr="00D90E14">
              <w:rPr>
                <w:rFonts w:ascii="Arial" w:hAnsi="Arial" w:cs="Arial"/>
              </w:rPr>
              <w:t>de produse nealimentare</w:t>
            </w:r>
          </w:p>
        </w:tc>
        <w:tc>
          <w:tcPr>
            <w:tcW w:w="850" w:type="dxa"/>
            <w:tcBorders>
              <w:top w:val="dotted" w:sz="4" w:space="0" w:color="auto"/>
              <w:left w:val="nil"/>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106,1</w:t>
            </w:r>
          </w:p>
        </w:tc>
        <w:tc>
          <w:tcPr>
            <w:tcW w:w="709"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116,4</w:t>
            </w:r>
          </w:p>
        </w:tc>
        <w:tc>
          <w:tcPr>
            <w:tcW w:w="850"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114,1</w:t>
            </w:r>
          </w:p>
        </w:tc>
        <w:tc>
          <w:tcPr>
            <w:tcW w:w="769"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108,8</w:t>
            </w:r>
          </w:p>
        </w:tc>
        <w:tc>
          <w:tcPr>
            <w:tcW w:w="649"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108,5</w:t>
            </w:r>
          </w:p>
        </w:tc>
        <w:tc>
          <w:tcPr>
            <w:tcW w:w="704"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111,6</w:t>
            </w:r>
          </w:p>
        </w:tc>
        <w:tc>
          <w:tcPr>
            <w:tcW w:w="713"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108,2</w:t>
            </w:r>
          </w:p>
        </w:tc>
        <w:tc>
          <w:tcPr>
            <w:tcW w:w="705"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112,3</w:t>
            </w:r>
          </w:p>
        </w:tc>
        <w:tc>
          <w:tcPr>
            <w:tcW w:w="1142" w:type="dxa"/>
            <w:tcBorders>
              <w:top w:val="dotted" w:sz="4" w:space="0" w:color="auto"/>
              <w:left w:val="dotted" w:sz="4" w:space="0" w:color="auto"/>
              <w:bottom w:val="single" w:sz="8" w:space="0" w:color="auto"/>
              <w:right w:val="single" w:sz="8" w:space="0" w:color="auto"/>
            </w:tcBorders>
            <w:shd w:val="clear" w:color="auto" w:fill="FDE9D9" w:themeFill="accent6" w:themeFillTint="33"/>
            <w:vAlign w:val="center"/>
          </w:tcPr>
          <w:p w:rsidR="00A107ED" w:rsidRPr="00742230" w:rsidRDefault="00A107ED" w:rsidP="00D0386E">
            <w:pPr>
              <w:jc w:val="center"/>
              <w:rPr>
                <w:rFonts w:ascii="Arial" w:hAnsi="Arial" w:cs="Arial"/>
              </w:rPr>
            </w:pPr>
            <w:r w:rsidRPr="00742230">
              <w:rPr>
                <w:rFonts w:ascii="Arial" w:hAnsi="Arial" w:cs="Arial"/>
              </w:rPr>
              <w:t>107,1</w:t>
            </w:r>
          </w:p>
        </w:tc>
      </w:tr>
    </w:tbl>
    <w:p w:rsidR="00A107ED" w:rsidRPr="00FB4C8D" w:rsidRDefault="00A107ED" w:rsidP="00A107ED">
      <w:pPr>
        <w:pStyle w:val="Default"/>
        <w:rPr>
          <w:rFonts w:ascii="Arial" w:hAnsi="Arial" w:cs="Arial"/>
          <w:b/>
          <w:bCs/>
          <w:color w:val="auto"/>
        </w:rPr>
      </w:pPr>
    </w:p>
    <w:p w:rsidR="00A107ED" w:rsidRDefault="00A107ED" w:rsidP="00A107ED">
      <w:pPr>
        <w:pStyle w:val="Default"/>
        <w:rPr>
          <w:rFonts w:ascii="Arial" w:hAnsi="Arial" w:cs="Arial"/>
          <w:b/>
          <w:bCs/>
          <w:i/>
          <w:color w:val="auto"/>
          <w:u w:val="single"/>
        </w:rPr>
      </w:pPr>
    </w:p>
    <w:p w:rsidR="00A107ED" w:rsidRPr="001B1C65" w:rsidRDefault="00A107ED" w:rsidP="00A107ED">
      <w:pPr>
        <w:pStyle w:val="Default"/>
        <w:rPr>
          <w:rFonts w:ascii="Arial" w:hAnsi="Arial" w:cs="Arial"/>
          <w:b/>
          <w:bCs/>
          <w:color w:val="auto"/>
        </w:rPr>
      </w:pPr>
      <w:r w:rsidRPr="001B1C65">
        <w:rPr>
          <w:rFonts w:ascii="Arial" w:hAnsi="Arial" w:cs="Arial"/>
          <w:b/>
          <w:bCs/>
          <w:color w:val="auto"/>
        </w:rPr>
        <w:t>XI.1.2. Locuințe</w:t>
      </w:r>
    </w:p>
    <w:p w:rsidR="00A107ED" w:rsidRDefault="00A107ED" w:rsidP="00A107ED">
      <w:pPr>
        <w:pStyle w:val="Default"/>
        <w:rPr>
          <w:rFonts w:ascii="Arial" w:hAnsi="Arial" w:cs="Arial"/>
          <w:b/>
          <w:bCs/>
          <w:i/>
          <w:color w:val="auto"/>
          <w:u w:val="single"/>
        </w:rPr>
      </w:pPr>
    </w:p>
    <w:p w:rsidR="00A107ED" w:rsidRPr="00FB4C8D" w:rsidRDefault="00A107ED" w:rsidP="00A107ED">
      <w:pPr>
        <w:pStyle w:val="Default"/>
        <w:rPr>
          <w:rFonts w:ascii="Arial" w:hAnsi="Arial" w:cs="Arial"/>
          <w:b/>
          <w:bCs/>
          <w:i/>
          <w:color w:val="auto"/>
          <w:u w:val="single"/>
        </w:rPr>
      </w:pPr>
      <w:r w:rsidRPr="00FB4C8D">
        <w:rPr>
          <w:rFonts w:ascii="Arial" w:hAnsi="Arial" w:cs="Arial"/>
          <w:b/>
          <w:color w:val="auto"/>
        </w:rPr>
        <w:t>Număr mediu de persoane pe locuință</w:t>
      </w:r>
      <w:r w:rsidRPr="00FB4C8D">
        <w:rPr>
          <w:rFonts w:ascii="Arial" w:hAnsi="Arial" w:cs="Arial"/>
          <w:b/>
          <w:i/>
          <w:iCs/>
          <w:color w:val="auto"/>
        </w:rPr>
        <w:t xml:space="preserve"> </w:t>
      </w:r>
      <w:r w:rsidRPr="00FB4C8D">
        <w:rPr>
          <w:rFonts w:ascii="Arial" w:hAnsi="Arial" w:cs="Arial"/>
          <w:b/>
          <w:iCs/>
          <w:color w:val="auto"/>
        </w:rPr>
        <w:t>(persoane/gospodărie) în județul Brăila</w:t>
      </w:r>
    </w:p>
    <w:p w:rsidR="00A107ED" w:rsidRPr="00FB4C8D" w:rsidRDefault="00A107ED" w:rsidP="00A107ED">
      <w:pPr>
        <w:pStyle w:val="Default"/>
        <w:rPr>
          <w:rFonts w:ascii="Arial" w:hAnsi="Arial" w:cs="Arial"/>
          <w:b/>
          <w:bCs/>
          <w:iCs/>
          <w:color w:val="auto"/>
          <w:u w:val="single"/>
        </w:rPr>
      </w:pPr>
    </w:p>
    <w:p w:rsidR="00A107ED" w:rsidRDefault="00A107ED" w:rsidP="00A107ED">
      <w:pPr>
        <w:pStyle w:val="Default"/>
        <w:rPr>
          <w:rFonts w:ascii="Arial" w:hAnsi="Arial" w:cs="Arial"/>
          <w:b/>
          <w:lang w:val="es-ES"/>
        </w:rPr>
      </w:pPr>
      <w:r>
        <w:rPr>
          <w:rFonts w:ascii="Arial" w:hAnsi="Arial" w:cs="Arial"/>
          <w:b/>
          <w:bCs/>
          <w:color w:val="auto"/>
        </w:rPr>
        <w:t xml:space="preserve">Tabelul </w:t>
      </w:r>
      <w:r w:rsidRPr="00FB4C8D">
        <w:rPr>
          <w:rFonts w:ascii="Arial" w:hAnsi="Arial" w:cs="Arial"/>
          <w:b/>
          <w:bCs/>
          <w:color w:val="auto"/>
        </w:rPr>
        <w:t>nr. XI.</w:t>
      </w:r>
      <w:r>
        <w:rPr>
          <w:rFonts w:ascii="Arial" w:hAnsi="Arial" w:cs="Arial"/>
          <w:b/>
          <w:bCs/>
          <w:color w:val="auto"/>
        </w:rPr>
        <w:t>1.2.-1</w:t>
      </w:r>
      <w:r w:rsidRPr="00FB4C8D">
        <w:rPr>
          <w:rFonts w:ascii="Arial" w:hAnsi="Arial" w:cs="Arial"/>
          <w:b/>
          <w:bCs/>
          <w:color w:val="auto"/>
        </w:rPr>
        <w:t xml:space="preserve"> </w:t>
      </w:r>
      <w:r w:rsidRPr="001B1C65">
        <w:rPr>
          <w:rFonts w:ascii="Arial" w:hAnsi="Arial" w:cs="Arial"/>
          <w:lang w:val="es-ES"/>
        </w:rPr>
        <w:t>Locuinţe existente la sfârşitul anului, pe medii</w:t>
      </w:r>
    </w:p>
    <w:p w:rsidR="00A107ED" w:rsidRDefault="00A107ED" w:rsidP="00A107ED">
      <w:pPr>
        <w:rPr>
          <w:rFonts w:ascii="Arial" w:hAnsi="Arial" w:cs="Arial"/>
          <w:bCs/>
          <w:color w:val="000000"/>
        </w:rPr>
      </w:pPr>
      <w:r w:rsidRPr="00157F42">
        <w:rPr>
          <w:rFonts w:ascii="Arial" w:hAnsi="Arial" w:cs="Arial"/>
          <w:bCs/>
          <w:color w:val="000000"/>
        </w:rPr>
        <w:t>Număr</w:t>
      </w:r>
      <w:r>
        <w:rPr>
          <w:rFonts w:ascii="Arial" w:hAnsi="Arial" w:cs="Arial"/>
          <w:bCs/>
          <w:color w:val="000000"/>
        </w:rPr>
        <w:t xml:space="preserve"> locuințe</w:t>
      </w:r>
    </w:p>
    <w:p w:rsidR="00A107ED" w:rsidRPr="00157F42" w:rsidRDefault="00A107ED" w:rsidP="00A107ED">
      <w:pPr>
        <w:rPr>
          <w:rFonts w:ascii="Arial" w:hAnsi="Arial" w:cs="Arial"/>
        </w:rPr>
      </w:pPr>
    </w:p>
    <w:tbl>
      <w:tblPr>
        <w:tblW w:w="7997" w:type="dxa"/>
        <w:jc w:val="center"/>
        <w:tblInd w:w="155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382"/>
        <w:gridCol w:w="1123"/>
        <w:gridCol w:w="1123"/>
        <w:gridCol w:w="1123"/>
        <w:gridCol w:w="1123"/>
        <w:gridCol w:w="1123"/>
      </w:tblGrid>
      <w:tr w:rsidR="00A107ED" w:rsidRPr="00157F42" w:rsidTr="00D0386E">
        <w:trPr>
          <w:trHeight w:val="542"/>
          <w:jc w:val="center"/>
        </w:trPr>
        <w:tc>
          <w:tcPr>
            <w:tcW w:w="2382" w:type="dxa"/>
            <w:shd w:val="clear" w:color="auto" w:fill="F2DBDB" w:themeFill="accent2" w:themeFillTint="33"/>
            <w:noWrap/>
            <w:vAlign w:val="center"/>
          </w:tcPr>
          <w:p w:rsidR="00A107ED" w:rsidRPr="00157F42" w:rsidRDefault="00A107ED" w:rsidP="00D0386E">
            <w:pPr>
              <w:jc w:val="center"/>
              <w:rPr>
                <w:rFonts w:ascii="Arial" w:hAnsi="Arial" w:cs="Arial"/>
                <w:color w:val="000000"/>
                <w:lang w:val="it-IT"/>
              </w:rPr>
            </w:pPr>
            <w:r w:rsidRPr="00157F42">
              <w:rPr>
                <w:rFonts w:ascii="Arial" w:hAnsi="Arial" w:cs="Arial"/>
                <w:b/>
                <w:bCs/>
                <w:color w:val="000000"/>
              </w:rPr>
              <w:t>Judeţul Brăila</w:t>
            </w:r>
          </w:p>
        </w:tc>
        <w:tc>
          <w:tcPr>
            <w:tcW w:w="1123" w:type="dxa"/>
            <w:shd w:val="clear" w:color="auto" w:fill="F2DBDB" w:themeFill="accent2" w:themeFillTint="33"/>
            <w:noWrap/>
            <w:vAlign w:val="center"/>
          </w:tcPr>
          <w:p w:rsidR="00A107ED" w:rsidRPr="00157F42" w:rsidRDefault="00A107ED" w:rsidP="00D0386E">
            <w:pPr>
              <w:jc w:val="center"/>
              <w:rPr>
                <w:rFonts w:ascii="Arial" w:hAnsi="Arial" w:cs="Arial"/>
                <w:b/>
                <w:bCs/>
                <w:color w:val="000000"/>
              </w:rPr>
            </w:pPr>
            <w:r w:rsidRPr="00157F42">
              <w:rPr>
                <w:rFonts w:ascii="Arial" w:hAnsi="Arial" w:cs="Arial"/>
                <w:b/>
                <w:bCs/>
                <w:color w:val="000000"/>
              </w:rPr>
              <w:t>2010</w:t>
            </w:r>
          </w:p>
        </w:tc>
        <w:tc>
          <w:tcPr>
            <w:tcW w:w="1123" w:type="dxa"/>
            <w:shd w:val="clear" w:color="auto" w:fill="F2DBDB" w:themeFill="accent2" w:themeFillTint="33"/>
            <w:noWrap/>
            <w:vAlign w:val="center"/>
          </w:tcPr>
          <w:p w:rsidR="00A107ED" w:rsidRPr="00157F42" w:rsidRDefault="00A107ED" w:rsidP="00D0386E">
            <w:pPr>
              <w:jc w:val="center"/>
              <w:rPr>
                <w:rFonts w:ascii="Arial" w:hAnsi="Arial" w:cs="Arial"/>
                <w:b/>
                <w:bCs/>
                <w:color w:val="000000"/>
              </w:rPr>
            </w:pPr>
            <w:r w:rsidRPr="00157F42">
              <w:rPr>
                <w:rFonts w:ascii="Arial" w:hAnsi="Arial" w:cs="Arial"/>
                <w:b/>
                <w:bCs/>
                <w:color w:val="000000"/>
              </w:rPr>
              <w:t>2011</w:t>
            </w:r>
          </w:p>
        </w:tc>
        <w:tc>
          <w:tcPr>
            <w:tcW w:w="1123" w:type="dxa"/>
            <w:shd w:val="clear" w:color="auto" w:fill="F2DBDB" w:themeFill="accent2" w:themeFillTint="33"/>
            <w:noWrap/>
            <w:vAlign w:val="center"/>
          </w:tcPr>
          <w:p w:rsidR="00A107ED" w:rsidRPr="00157F42" w:rsidRDefault="00A107ED" w:rsidP="00D0386E">
            <w:pPr>
              <w:jc w:val="center"/>
              <w:rPr>
                <w:rFonts w:ascii="Arial" w:hAnsi="Arial" w:cs="Arial"/>
                <w:b/>
                <w:bCs/>
                <w:color w:val="000000"/>
              </w:rPr>
            </w:pPr>
            <w:r w:rsidRPr="00157F42">
              <w:rPr>
                <w:rFonts w:ascii="Arial" w:hAnsi="Arial" w:cs="Arial"/>
                <w:b/>
                <w:bCs/>
                <w:color w:val="000000"/>
              </w:rPr>
              <w:t>2012</w:t>
            </w:r>
          </w:p>
        </w:tc>
        <w:tc>
          <w:tcPr>
            <w:tcW w:w="1123" w:type="dxa"/>
            <w:shd w:val="clear" w:color="auto" w:fill="F2DBDB" w:themeFill="accent2" w:themeFillTint="33"/>
            <w:noWrap/>
            <w:vAlign w:val="center"/>
          </w:tcPr>
          <w:p w:rsidR="00A107ED" w:rsidRPr="00157F42" w:rsidRDefault="00A107ED" w:rsidP="00D0386E">
            <w:pPr>
              <w:jc w:val="center"/>
              <w:rPr>
                <w:rFonts w:ascii="Arial" w:hAnsi="Arial" w:cs="Arial"/>
                <w:b/>
                <w:bCs/>
                <w:color w:val="000000"/>
              </w:rPr>
            </w:pPr>
            <w:r w:rsidRPr="00157F42">
              <w:rPr>
                <w:rFonts w:ascii="Arial" w:hAnsi="Arial" w:cs="Arial"/>
                <w:b/>
                <w:bCs/>
                <w:color w:val="000000"/>
              </w:rPr>
              <w:t>2013</w:t>
            </w:r>
          </w:p>
        </w:tc>
        <w:tc>
          <w:tcPr>
            <w:tcW w:w="1123" w:type="dxa"/>
            <w:shd w:val="clear" w:color="auto" w:fill="F2DBDB" w:themeFill="accent2" w:themeFillTint="33"/>
            <w:noWrap/>
            <w:vAlign w:val="center"/>
          </w:tcPr>
          <w:p w:rsidR="00A107ED" w:rsidRPr="00157F42" w:rsidRDefault="00A107ED" w:rsidP="00D0386E">
            <w:pPr>
              <w:jc w:val="center"/>
              <w:rPr>
                <w:rFonts w:ascii="Arial" w:hAnsi="Arial" w:cs="Arial"/>
                <w:b/>
                <w:bCs/>
                <w:color w:val="000000"/>
              </w:rPr>
            </w:pPr>
            <w:r w:rsidRPr="00157F42">
              <w:rPr>
                <w:rFonts w:ascii="Arial" w:hAnsi="Arial" w:cs="Arial"/>
                <w:b/>
                <w:bCs/>
                <w:color w:val="000000"/>
              </w:rPr>
              <w:t>2014</w:t>
            </w:r>
          </w:p>
        </w:tc>
      </w:tr>
      <w:tr w:rsidR="00A107ED" w:rsidRPr="00157F42" w:rsidTr="00D0386E">
        <w:trPr>
          <w:trHeight w:val="300"/>
          <w:jc w:val="center"/>
        </w:trPr>
        <w:tc>
          <w:tcPr>
            <w:tcW w:w="2382" w:type="dxa"/>
            <w:shd w:val="clear" w:color="auto" w:fill="FDE9D9" w:themeFill="accent6" w:themeFillTint="33"/>
            <w:noWrap/>
            <w:vAlign w:val="center"/>
          </w:tcPr>
          <w:p w:rsidR="00A107ED" w:rsidRPr="00157F42" w:rsidRDefault="00A107ED" w:rsidP="00D0386E">
            <w:pPr>
              <w:rPr>
                <w:rFonts w:ascii="Arial" w:hAnsi="Arial" w:cs="Arial"/>
                <w:b/>
                <w:bCs/>
                <w:color w:val="000000"/>
              </w:rPr>
            </w:pPr>
            <w:r w:rsidRPr="00157F42">
              <w:rPr>
                <w:rFonts w:ascii="Arial" w:hAnsi="Arial" w:cs="Arial"/>
                <w:b/>
                <w:bCs/>
                <w:color w:val="000000"/>
              </w:rPr>
              <w:t xml:space="preserve">Total </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136561</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137188</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137311</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137474</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137698</w:t>
            </w:r>
          </w:p>
        </w:tc>
      </w:tr>
      <w:tr w:rsidR="00A107ED" w:rsidRPr="00157F42" w:rsidTr="00D0386E">
        <w:trPr>
          <w:trHeight w:val="300"/>
          <w:jc w:val="center"/>
        </w:trPr>
        <w:tc>
          <w:tcPr>
            <w:tcW w:w="2382" w:type="dxa"/>
            <w:shd w:val="clear" w:color="auto" w:fill="FDE9D9" w:themeFill="accent6" w:themeFillTint="33"/>
            <w:noWrap/>
            <w:vAlign w:val="center"/>
          </w:tcPr>
          <w:p w:rsidR="00A107ED" w:rsidRPr="00157F42" w:rsidRDefault="00A107ED" w:rsidP="00D0386E">
            <w:pPr>
              <w:rPr>
                <w:rFonts w:ascii="Arial" w:hAnsi="Arial" w:cs="Arial"/>
                <w:bCs/>
                <w:color w:val="000000"/>
              </w:rPr>
            </w:pPr>
            <w:r w:rsidRPr="00157F42">
              <w:rPr>
                <w:rFonts w:ascii="Arial" w:hAnsi="Arial" w:cs="Arial"/>
                <w:bCs/>
                <w:color w:val="000000"/>
              </w:rPr>
              <w:t>Urban</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87285</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87433</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87393</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87381</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87500</w:t>
            </w:r>
          </w:p>
        </w:tc>
      </w:tr>
      <w:tr w:rsidR="00A107ED" w:rsidRPr="00157F42" w:rsidTr="00D0386E">
        <w:trPr>
          <w:trHeight w:val="300"/>
          <w:jc w:val="center"/>
        </w:trPr>
        <w:tc>
          <w:tcPr>
            <w:tcW w:w="2382" w:type="dxa"/>
            <w:shd w:val="clear" w:color="auto" w:fill="FDE9D9" w:themeFill="accent6" w:themeFillTint="33"/>
            <w:noWrap/>
            <w:vAlign w:val="center"/>
          </w:tcPr>
          <w:p w:rsidR="00A107ED" w:rsidRPr="00157F42" w:rsidRDefault="00A107ED" w:rsidP="00D0386E">
            <w:pPr>
              <w:rPr>
                <w:rFonts w:ascii="Arial" w:hAnsi="Arial" w:cs="Arial"/>
                <w:bCs/>
                <w:color w:val="000000"/>
              </w:rPr>
            </w:pPr>
            <w:r w:rsidRPr="00157F42">
              <w:rPr>
                <w:rFonts w:ascii="Arial" w:hAnsi="Arial" w:cs="Arial"/>
                <w:bCs/>
                <w:color w:val="000000"/>
              </w:rPr>
              <w:t>Rural</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49276</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49755</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49918</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50093</w:t>
            </w:r>
          </w:p>
        </w:tc>
        <w:tc>
          <w:tcPr>
            <w:tcW w:w="1123" w:type="dxa"/>
            <w:shd w:val="clear" w:color="auto" w:fill="FDE9D9" w:themeFill="accent6" w:themeFillTint="33"/>
            <w:noWrap/>
            <w:vAlign w:val="bottom"/>
          </w:tcPr>
          <w:p w:rsidR="00A107ED" w:rsidRPr="00157F42" w:rsidRDefault="00A107ED" w:rsidP="00D0386E">
            <w:pPr>
              <w:jc w:val="center"/>
              <w:rPr>
                <w:rFonts w:ascii="Arial" w:hAnsi="Arial" w:cs="Arial"/>
                <w:color w:val="000000"/>
              </w:rPr>
            </w:pPr>
            <w:r w:rsidRPr="00157F42">
              <w:rPr>
                <w:rFonts w:ascii="Arial" w:hAnsi="Arial" w:cs="Arial"/>
                <w:color w:val="000000"/>
              </w:rPr>
              <w:t>50198</w:t>
            </w:r>
          </w:p>
        </w:tc>
      </w:tr>
    </w:tbl>
    <w:p w:rsidR="00A107ED" w:rsidRDefault="00A107ED" w:rsidP="00A107ED">
      <w:pPr>
        <w:rPr>
          <w:rFonts w:ascii="Arial" w:hAnsi="Arial" w:cs="Arial"/>
          <w:bCs/>
          <w:color w:val="000000"/>
        </w:rPr>
      </w:pPr>
      <w:r>
        <w:rPr>
          <w:rFonts w:ascii="Arial" w:hAnsi="Arial" w:cs="Arial"/>
          <w:bCs/>
          <w:color w:val="000000"/>
        </w:rPr>
        <w:t xml:space="preserve">       </w:t>
      </w:r>
    </w:p>
    <w:p w:rsidR="00A107ED" w:rsidRPr="00622930" w:rsidRDefault="00A107ED" w:rsidP="00A107ED">
      <w:pPr>
        <w:rPr>
          <w:rFonts w:ascii="Arial" w:hAnsi="Arial" w:cs="Arial"/>
          <w:b/>
          <w:bCs/>
          <w:iCs/>
          <w:u w:val="single"/>
        </w:rPr>
      </w:pPr>
      <w:r w:rsidRPr="001B1C65">
        <w:rPr>
          <w:rFonts w:ascii="Arial" w:hAnsi="Arial" w:cs="Arial"/>
          <w:b/>
          <w:bCs/>
        </w:rPr>
        <w:t>Tabelul nr. XI.1.2.- 2</w:t>
      </w:r>
      <w:r w:rsidRPr="00FB4C8D">
        <w:rPr>
          <w:rFonts w:ascii="Arial" w:hAnsi="Arial" w:cs="Arial"/>
          <w:b/>
          <w:bCs/>
        </w:rPr>
        <w:t xml:space="preserve">  </w:t>
      </w:r>
      <w:r w:rsidRPr="001B1C65">
        <w:rPr>
          <w:rFonts w:ascii="Arial" w:hAnsi="Arial" w:cs="Arial"/>
          <w:lang w:val="it-IT"/>
        </w:rPr>
        <w:t xml:space="preserve">Populaţia după domiciliu, pe medii </w:t>
      </w:r>
      <w:r>
        <w:rPr>
          <w:rFonts w:ascii="Arial" w:hAnsi="Arial" w:cs="Arial"/>
        </w:rPr>
        <w:t>în perioada 2010 - 2014</w:t>
      </w:r>
    </w:p>
    <w:p w:rsidR="00A107ED" w:rsidRDefault="00A107ED" w:rsidP="00A107ED">
      <w:pPr>
        <w:jc w:val="both"/>
        <w:rPr>
          <w:rFonts w:ascii="Arial" w:hAnsi="Arial" w:cs="Arial"/>
          <w:bCs/>
          <w:color w:val="000000"/>
        </w:rPr>
      </w:pPr>
      <w:r>
        <w:rPr>
          <w:rFonts w:ascii="Arial" w:hAnsi="Arial" w:cs="Arial"/>
          <w:bCs/>
          <w:color w:val="000000"/>
        </w:rPr>
        <w:t xml:space="preserve"> N</w:t>
      </w:r>
      <w:r w:rsidRPr="00880304">
        <w:rPr>
          <w:rFonts w:ascii="Arial" w:hAnsi="Arial" w:cs="Arial"/>
          <w:bCs/>
          <w:color w:val="000000"/>
        </w:rPr>
        <w:t>umăr persoane</w:t>
      </w:r>
    </w:p>
    <w:p w:rsidR="00A107ED" w:rsidRPr="00880304" w:rsidRDefault="00A107ED" w:rsidP="00A107ED">
      <w:pPr>
        <w:rPr>
          <w:rFonts w:ascii="Arial" w:hAnsi="Arial" w:cs="Arial"/>
        </w:rPr>
      </w:pPr>
    </w:p>
    <w:tbl>
      <w:tblPr>
        <w:tblW w:w="0" w:type="auto"/>
        <w:jc w:val="center"/>
        <w:tblInd w:w="45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486"/>
        <w:gridCol w:w="1191"/>
        <w:gridCol w:w="1191"/>
        <w:gridCol w:w="1191"/>
        <w:gridCol w:w="1191"/>
        <w:gridCol w:w="1191"/>
      </w:tblGrid>
      <w:tr w:rsidR="00A107ED" w:rsidRPr="00880304" w:rsidTr="00D0386E">
        <w:trPr>
          <w:trHeight w:val="397"/>
          <w:jc w:val="center"/>
        </w:trPr>
        <w:tc>
          <w:tcPr>
            <w:tcW w:w="2486" w:type="dxa"/>
            <w:shd w:val="clear" w:color="auto" w:fill="F2DBDB" w:themeFill="accent2" w:themeFillTint="33"/>
            <w:vAlign w:val="center"/>
          </w:tcPr>
          <w:p w:rsidR="00A107ED" w:rsidRPr="00880304" w:rsidRDefault="00A107ED" w:rsidP="00D0386E">
            <w:pPr>
              <w:rPr>
                <w:rFonts w:ascii="Arial" w:hAnsi="Arial" w:cs="Arial"/>
                <w:b/>
                <w:bCs/>
                <w:color w:val="000000"/>
              </w:rPr>
            </w:pPr>
            <w:r w:rsidRPr="00880304">
              <w:rPr>
                <w:rFonts w:ascii="Arial" w:hAnsi="Arial" w:cs="Arial"/>
                <w:b/>
                <w:bCs/>
                <w:color w:val="000000"/>
              </w:rPr>
              <w:t>Judeţul Brăila</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2010</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2011</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2012</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2013</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2014</w:t>
            </w:r>
          </w:p>
        </w:tc>
      </w:tr>
      <w:tr w:rsidR="00A107ED" w:rsidRPr="00880304" w:rsidTr="00D0386E">
        <w:trPr>
          <w:trHeight w:val="300"/>
          <w:jc w:val="center"/>
        </w:trPr>
        <w:tc>
          <w:tcPr>
            <w:tcW w:w="2486" w:type="dxa"/>
            <w:shd w:val="clear" w:color="auto" w:fill="FDE9D9" w:themeFill="accent6" w:themeFillTint="33"/>
            <w:vAlign w:val="center"/>
          </w:tcPr>
          <w:p w:rsidR="00A107ED" w:rsidRPr="00880304" w:rsidRDefault="00A107ED" w:rsidP="00D0386E">
            <w:pPr>
              <w:rPr>
                <w:rFonts w:ascii="Arial" w:hAnsi="Arial" w:cs="Arial"/>
                <w:b/>
                <w:bCs/>
                <w:color w:val="000000"/>
              </w:rPr>
            </w:pPr>
            <w:r w:rsidRPr="00880304">
              <w:rPr>
                <w:rFonts w:ascii="Arial" w:hAnsi="Arial" w:cs="Arial"/>
                <w:b/>
                <w:bCs/>
                <w:color w:val="000000"/>
              </w:rPr>
              <w:t>Total populaţie</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373941</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370805</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367771</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364644</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361218</w:t>
            </w:r>
          </w:p>
        </w:tc>
      </w:tr>
      <w:tr w:rsidR="00A107ED" w:rsidRPr="00880304" w:rsidTr="00D0386E">
        <w:trPr>
          <w:trHeight w:val="300"/>
          <w:jc w:val="center"/>
        </w:trPr>
        <w:tc>
          <w:tcPr>
            <w:tcW w:w="2486" w:type="dxa"/>
            <w:shd w:val="clear" w:color="auto" w:fill="FDE9D9" w:themeFill="accent6" w:themeFillTint="33"/>
            <w:vAlign w:val="center"/>
          </w:tcPr>
          <w:p w:rsidR="00A107ED" w:rsidRPr="00880304" w:rsidRDefault="00A107ED" w:rsidP="00D0386E">
            <w:pPr>
              <w:rPr>
                <w:rFonts w:ascii="Arial" w:hAnsi="Arial" w:cs="Arial"/>
                <w:bCs/>
                <w:color w:val="000000"/>
              </w:rPr>
            </w:pPr>
            <w:r w:rsidRPr="00880304">
              <w:rPr>
                <w:rFonts w:ascii="Arial" w:hAnsi="Arial" w:cs="Arial"/>
                <w:bCs/>
                <w:color w:val="000000"/>
              </w:rPr>
              <w:t>Urban</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246172</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243742</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241431</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239119</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236557</w:t>
            </w:r>
          </w:p>
        </w:tc>
      </w:tr>
      <w:tr w:rsidR="00A107ED" w:rsidRPr="00880304" w:rsidTr="00D0386E">
        <w:trPr>
          <w:trHeight w:val="300"/>
          <w:jc w:val="center"/>
        </w:trPr>
        <w:tc>
          <w:tcPr>
            <w:tcW w:w="2486" w:type="dxa"/>
            <w:shd w:val="clear" w:color="auto" w:fill="FDE9D9" w:themeFill="accent6" w:themeFillTint="33"/>
            <w:vAlign w:val="center"/>
          </w:tcPr>
          <w:p w:rsidR="00A107ED" w:rsidRPr="00880304" w:rsidRDefault="00A107ED" w:rsidP="00D0386E">
            <w:pPr>
              <w:rPr>
                <w:rFonts w:ascii="Arial" w:hAnsi="Arial" w:cs="Arial"/>
                <w:bCs/>
                <w:color w:val="000000"/>
              </w:rPr>
            </w:pPr>
            <w:r w:rsidRPr="00880304">
              <w:rPr>
                <w:rFonts w:ascii="Arial" w:hAnsi="Arial" w:cs="Arial"/>
                <w:bCs/>
                <w:color w:val="000000"/>
              </w:rPr>
              <w:t>Rural</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127769</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127063</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126340</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125525</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124661</w:t>
            </w:r>
          </w:p>
        </w:tc>
      </w:tr>
    </w:tbl>
    <w:p w:rsidR="00A107ED" w:rsidRPr="00880304" w:rsidRDefault="00A107ED" w:rsidP="00A107ED">
      <w:pPr>
        <w:rPr>
          <w:rFonts w:ascii="Arial" w:hAnsi="Arial" w:cs="Arial"/>
        </w:rPr>
      </w:pPr>
    </w:p>
    <w:p w:rsidR="00A107ED" w:rsidRPr="001B1C65" w:rsidRDefault="00A107ED" w:rsidP="00A107ED">
      <w:pPr>
        <w:autoSpaceDE w:val="0"/>
        <w:autoSpaceDN w:val="0"/>
        <w:adjustRightInd w:val="0"/>
        <w:rPr>
          <w:rFonts w:ascii="Arial" w:hAnsi="Arial" w:cs="Arial"/>
          <w:color w:val="000000"/>
        </w:rPr>
      </w:pPr>
      <w:r w:rsidRPr="001B1C65">
        <w:rPr>
          <w:rFonts w:ascii="Arial" w:hAnsi="Arial" w:cs="Arial"/>
          <w:b/>
          <w:bCs/>
        </w:rPr>
        <w:t xml:space="preserve">Tabelul nr. XI.1.2.- </w:t>
      </w:r>
      <w:r>
        <w:rPr>
          <w:rFonts w:ascii="Arial" w:hAnsi="Arial" w:cs="Arial"/>
          <w:b/>
          <w:bCs/>
        </w:rPr>
        <w:t>3</w:t>
      </w:r>
      <w:r w:rsidRPr="00FB4C8D">
        <w:rPr>
          <w:rFonts w:ascii="Arial" w:hAnsi="Arial" w:cs="Arial"/>
          <w:b/>
          <w:bCs/>
        </w:rPr>
        <w:t xml:space="preserve">  </w:t>
      </w:r>
      <w:r w:rsidRPr="001B1C65">
        <w:rPr>
          <w:rFonts w:ascii="Arial" w:hAnsi="Arial" w:cs="Arial"/>
          <w:color w:val="000000"/>
        </w:rPr>
        <w:t xml:space="preserve">Populaţia totală stabilă raportată la numărul total de locuinţe, la nivelul  județului Brăila, pentru </w:t>
      </w:r>
      <w:r>
        <w:rPr>
          <w:rFonts w:ascii="Arial" w:hAnsi="Arial" w:cs="Arial"/>
        </w:rPr>
        <w:t>perioada 2010 - 2014</w:t>
      </w:r>
    </w:p>
    <w:p w:rsidR="00A107ED" w:rsidRPr="00FB4C8D" w:rsidRDefault="00A107ED" w:rsidP="00A107ED">
      <w:pPr>
        <w:autoSpaceDE w:val="0"/>
        <w:autoSpaceDN w:val="0"/>
        <w:adjustRightInd w:val="0"/>
        <w:rPr>
          <w:rFonts w:ascii="Arial" w:hAnsi="Arial" w:cs="Arial"/>
          <w:color w:val="000000"/>
        </w:rPr>
      </w:pPr>
    </w:p>
    <w:tbl>
      <w:tblPr>
        <w:tblW w:w="0" w:type="auto"/>
        <w:jc w:val="center"/>
        <w:tblInd w:w="708"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tblPr>
      <w:tblGrid>
        <w:gridCol w:w="3993"/>
        <w:gridCol w:w="776"/>
        <w:gridCol w:w="776"/>
        <w:gridCol w:w="851"/>
        <w:gridCol w:w="776"/>
        <w:gridCol w:w="776"/>
      </w:tblGrid>
      <w:tr w:rsidR="00A107ED" w:rsidRPr="00FB4C8D" w:rsidTr="00D0386E">
        <w:trPr>
          <w:jc w:val="center"/>
        </w:trPr>
        <w:tc>
          <w:tcPr>
            <w:tcW w:w="3993" w:type="dxa"/>
            <w:shd w:val="clear" w:color="auto" w:fill="F2DBDB" w:themeFill="accent2" w:themeFillTint="33"/>
            <w:vAlign w:val="center"/>
          </w:tcPr>
          <w:p w:rsidR="00A107ED" w:rsidRPr="00FB4C8D" w:rsidRDefault="00A107ED" w:rsidP="00D0386E">
            <w:pPr>
              <w:pStyle w:val="Default"/>
              <w:jc w:val="center"/>
              <w:rPr>
                <w:rFonts w:ascii="Arial" w:hAnsi="Arial" w:cs="Arial"/>
                <w:b/>
                <w:iCs/>
                <w:color w:val="auto"/>
              </w:rPr>
            </w:pPr>
            <w:r w:rsidRPr="00FB4C8D">
              <w:rPr>
                <w:rFonts w:ascii="Arial" w:hAnsi="Arial" w:cs="Arial"/>
                <w:b/>
                <w:iCs/>
                <w:color w:val="auto"/>
              </w:rPr>
              <w:t>Județul Brăila</w:t>
            </w:r>
          </w:p>
        </w:tc>
        <w:tc>
          <w:tcPr>
            <w:tcW w:w="776" w:type="dxa"/>
            <w:shd w:val="clear" w:color="auto" w:fill="F2DBDB" w:themeFill="accent2" w:themeFillTint="33"/>
            <w:vAlign w:val="center"/>
          </w:tcPr>
          <w:p w:rsidR="00A107ED" w:rsidRPr="00FB4C8D" w:rsidRDefault="00A107ED" w:rsidP="00D0386E">
            <w:pPr>
              <w:pStyle w:val="Default"/>
              <w:rPr>
                <w:rFonts w:ascii="Arial" w:hAnsi="Arial" w:cs="Arial"/>
                <w:b/>
                <w:iCs/>
                <w:color w:val="auto"/>
              </w:rPr>
            </w:pPr>
            <w:r w:rsidRPr="00FB4C8D">
              <w:rPr>
                <w:rFonts w:ascii="Arial" w:hAnsi="Arial" w:cs="Arial"/>
                <w:b/>
                <w:iCs/>
                <w:color w:val="auto"/>
              </w:rPr>
              <w:t>2010</w:t>
            </w:r>
          </w:p>
        </w:tc>
        <w:tc>
          <w:tcPr>
            <w:tcW w:w="776" w:type="dxa"/>
            <w:shd w:val="clear" w:color="auto" w:fill="F2DBDB" w:themeFill="accent2" w:themeFillTint="33"/>
            <w:vAlign w:val="center"/>
          </w:tcPr>
          <w:p w:rsidR="00A107ED" w:rsidRPr="00FB4C8D" w:rsidRDefault="00A107ED" w:rsidP="00D0386E">
            <w:pPr>
              <w:pStyle w:val="Default"/>
              <w:rPr>
                <w:rFonts w:ascii="Arial" w:hAnsi="Arial" w:cs="Arial"/>
                <w:b/>
                <w:iCs/>
                <w:color w:val="auto"/>
              </w:rPr>
            </w:pPr>
            <w:r w:rsidRPr="00FB4C8D">
              <w:rPr>
                <w:rFonts w:ascii="Arial" w:hAnsi="Arial" w:cs="Arial"/>
                <w:b/>
                <w:iCs/>
                <w:color w:val="auto"/>
              </w:rPr>
              <w:t>2011</w:t>
            </w:r>
          </w:p>
        </w:tc>
        <w:tc>
          <w:tcPr>
            <w:tcW w:w="851" w:type="dxa"/>
            <w:shd w:val="clear" w:color="auto" w:fill="F2DBDB" w:themeFill="accent2" w:themeFillTint="33"/>
            <w:vAlign w:val="center"/>
          </w:tcPr>
          <w:p w:rsidR="00A107ED" w:rsidRPr="00FB4C8D" w:rsidRDefault="00A107ED" w:rsidP="00D0386E">
            <w:pPr>
              <w:pStyle w:val="Default"/>
              <w:rPr>
                <w:rFonts w:ascii="Arial" w:hAnsi="Arial" w:cs="Arial"/>
                <w:b/>
                <w:iCs/>
                <w:color w:val="auto"/>
              </w:rPr>
            </w:pPr>
            <w:r w:rsidRPr="00FB4C8D">
              <w:rPr>
                <w:rFonts w:ascii="Arial" w:hAnsi="Arial" w:cs="Arial"/>
                <w:b/>
                <w:iCs/>
                <w:color w:val="auto"/>
              </w:rPr>
              <w:t>2012</w:t>
            </w:r>
          </w:p>
        </w:tc>
        <w:tc>
          <w:tcPr>
            <w:tcW w:w="776" w:type="dxa"/>
            <w:shd w:val="clear" w:color="auto" w:fill="F2DBDB" w:themeFill="accent2" w:themeFillTint="33"/>
            <w:vAlign w:val="center"/>
          </w:tcPr>
          <w:p w:rsidR="00A107ED" w:rsidRPr="00FB4C8D" w:rsidRDefault="00A107ED" w:rsidP="00D0386E">
            <w:pPr>
              <w:pStyle w:val="Default"/>
              <w:rPr>
                <w:rFonts w:ascii="Arial" w:hAnsi="Arial" w:cs="Arial"/>
                <w:b/>
                <w:iCs/>
                <w:color w:val="auto"/>
              </w:rPr>
            </w:pPr>
            <w:r w:rsidRPr="00FB4C8D">
              <w:rPr>
                <w:rFonts w:ascii="Arial" w:hAnsi="Arial" w:cs="Arial"/>
                <w:b/>
                <w:iCs/>
                <w:color w:val="auto"/>
              </w:rPr>
              <w:t>2013</w:t>
            </w:r>
          </w:p>
        </w:tc>
        <w:tc>
          <w:tcPr>
            <w:tcW w:w="776" w:type="dxa"/>
            <w:shd w:val="clear" w:color="auto" w:fill="F2DBDB" w:themeFill="accent2" w:themeFillTint="33"/>
            <w:vAlign w:val="center"/>
          </w:tcPr>
          <w:p w:rsidR="00A107ED" w:rsidRPr="00FB4C8D" w:rsidRDefault="00A107ED" w:rsidP="00D0386E">
            <w:pPr>
              <w:pStyle w:val="Default"/>
              <w:rPr>
                <w:rFonts w:ascii="Arial" w:hAnsi="Arial" w:cs="Arial"/>
                <w:b/>
                <w:iCs/>
                <w:color w:val="auto"/>
              </w:rPr>
            </w:pPr>
            <w:r w:rsidRPr="00FB4C8D">
              <w:rPr>
                <w:rFonts w:ascii="Arial" w:hAnsi="Arial" w:cs="Arial"/>
                <w:b/>
                <w:iCs/>
                <w:color w:val="auto"/>
              </w:rPr>
              <w:t>2014</w:t>
            </w:r>
          </w:p>
        </w:tc>
      </w:tr>
      <w:tr w:rsidR="00A107ED" w:rsidRPr="00FB4C8D" w:rsidTr="00D0386E">
        <w:trPr>
          <w:jc w:val="center"/>
        </w:trPr>
        <w:tc>
          <w:tcPr>
            <w:tcW w:w="3993"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sidRPr="00FB4C8D">
              <w:rPr>
                <w:rFonts w:ascii="Arial" w:hAnsi="Arial" w:cs="Arial"/>
                <w:iCs/>
                <w:color w:val="auto"/>
              </w:rPr>
              <w:t>Total populație stabilă/Total gospodării din care</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2,73</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2,70</w:t>
            </w:r>
          </w:p>
        </w:tc>
        <w:tc>
          <w:tcPr>
            <w:tcW w:w="851"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2,67</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2,65</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2,62</w:t>
            </w:r>
          </w:p>
        </w:tc>
      </w:tr>
      <w:tr w:rsidR="00A107ED" w:rsidRPr="00FB4C8D" w:rsidTr="00D0386E">
        <w:trPr>
          <w:jc w:val="center"/>
        </w:trPr>
        <w:tc>
          <w:tcPr>
            <w:tcW w:w="3993"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sidRPr="00FB4C8D">
              <w:rPr>
                <w:rFonts w:ascii="Arial" w:hAnsi="Arial" w:cs="Arial"/>
                <w:iCs/>
                <w:color w:val="auto"/>
              </w:rPr>
              <w:t>Total populație stabilă/Total gospodării Urban</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2,82</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2,78</w:t>
            </w:r>
          </w:p>
        </w:tc>
        <w:tc>
          <w:tcPr>
            <w:tcW w:w="851"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2,76</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2,73</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2,70</w:t>
            </w:r>
          </w:p>
        </w:tc>
      </w:tr>
      <w:tr w:rsidR="00A107ED" w:rsidRPr="00FB4C8D" w:rsidTr="00D0386E">
        <w:trPr>
          <w:jc w:val="center"/>
        </w:trPr>
        <w:tc>
          <w:tcPr>
            <w:tcW w:w="3993"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sidRPr="00FB4C8D">
              <w:rPr>
                <w:rFonts w:ascii="Arial" w:hAnsi="Arial" w:cs="Arial"/>
                <w:iCs/>
                <w:color w:val="auto"/>
              </w:rPr>
              <w:t>Total populație stabilă/Total gospodării Rural</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2,59</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2,55</w:t>
            </w:r>
          </w:p>
        </w:tc>
        <w:tc>
          <w:tcPr>
            <w:tcW w:w="851"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2,53</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2,50</w:t>
            </w:r>
          </w:p>
        </w:tc>
        <w:tc>
          <w:tcPr>
            <w:tcW w:w="776" w:type="dxa"/>
            <w:shd w:val="clear" w:color="auto" w:fill="FDE9D9" w:themeFill="accent6" w:themeFillTint="33"/>
            <w:vAlign w:val="center"/>
          </w:tcPr>
          <w:p w:rsidR="00A107ED" w:rsidRPr="00FB4C8D" w:rsidRDefault="00A107ED" w:rsidP="00D0386E">
            <w:pPr>
              <w:pStyle w:val="Default"/>
              <w:rPr>
                <w:rFonts w:ascii="Arial" w:hAnsi="Arial" w:cs="Arial"/>
                <w:iCs/>
                <w:color w:val="auto"/>
              </w:rPr>
            </w:pPr>
            <w:r>
              <w:rPr>
                <w:rFonts w:ascii="Arial" w:hAnsi="Arial" w:cs="Arial"/>
                <w:iCs/>
                <w:color w:val="auto"/>
              </w:rPr>
              <w:t>2,48</w:t>
            </w:r>
          </w:p>
        </w:tc>
      </w:tr>
    </w:tbl>
    <w:p w:rsidR="00A107ED" w:rsidRPr="00FB4C8D" w:rsidRDefault="00A107ED" w:rsidP="00A107ED">
      <w:pPr>
        <w:pStyle w:val="Default"/>
        <w:rPr>
          <w:rFonts w:ascii="Arial" w:hAnsi="Arial" w:cs="Arial"/>
          <w:b/>
          <w:bCs/>
          <w:iCs/>
          <w:color w:val="auto"/>
          <w:u w:val="single"/>
        </w:rPr>
      </w:pPr>
    </w:p>
    <w:p w:rsidR="00A107ED" w:rsidRPr="00EC2B0A" w:rsidRDefault="00A107ED" w:rsidP="00A107ED">
      <w:pPr>
        <w:ind w:firstLine="708"/>
        <w:rPr>
          <w:rFonts w:ascii="Arial" w:hAnsi="Arial" w:cs="Arial"/>
        </w:rPr>
      </w:pPr>
      <w:r>
        <w:rPr>
          <w:rFonts w:ascii="Arial" w:hAnsi="Arial" w:cs="Arial"/>
          <w:noProof/>
          <w:lang w:val="ro-RO" w:eastAsia="ro-RO"/>
        </w:rPr>
        <w:drawing>
          <wp:inline distT="0" distB="0" distL="0" distR="0">
            <wp:extent cx="5486400" cy="3200400"/>
            <wp:effectExtent l="19050" t="0" r="19050" b="0"/>
            <wp:docPr id="104" name="Chart 4"/>
            <wp:cNvGraphicFramePr/>
            <a:graphic xmlns:a="http://schemas.openxmlformats.org/drawingml/2006/main">
              <a:graphicData uri="http://schemas.openxmlformats.org/drawingml/2006/chart">
                <c:chart xmlns:c="http://schemas.openxmlformats.org/drawingml/2006/chart" xmlns:r="http://schemas.openxmlformats.org/officeDocument/2006/relationships" r:id="rId138"/>
              </a:graphicData>
            </a:graphic>
          </wp:inline>
        </w:drawing>
      </w:r>
    </w:p>
    <w:p w:rsidR="00A107ED" w:rsidRPr="001B1C65" w:rsidRDefault="00A107ED" w:rsidP="00A107ED">
      <w:pPr>
        <w:autoSpaceDE w:val="0"/>
        <w:autoSpaceDN w:val="0"/>
        <w:adjustRightInd w:val="0"/>
        <w:jc w:val="center"/>
        <w:rPr>
          <w:rFonts w:ascii="Arial" w:hAnsi="Arial" w:cs="Arial"/>
          <w:color w:val="000000"/>
        </w:rPr>
      </w:pPr>
      <w:r w:rsidRPr="007002CC">
        <w:rPr>
          <w:rFonts w:ascii="Arial" w:hAnsi="Arial" w:cs="Arial"/>
          <w:b/>
        </w:rPr>
        <w:t>Figura</w:t>
      </w:r>
      <w:r>
        <w:rPr>
          <w:rFonts w:ascii="Arial" w:hAnsi="Arial" w:cs="Arial"/>
        </w:rPr>
        <w:t xml:space="preserve"> </w:t>
      </w:r>
      <w:r w:rsidRPr="001B1C65">
        <w:rPr>
          <w:rFonts w:ascii="Arial" w:hAnsi="Arial" w:cs="Arial"/>
          <w:b/>
          <w:bCs/>
        </w:rPr>
        <w:t>nr. XI.1.2.</w:t>
      </w:r>
      <w:r>
        <w:rPr>
          <w:rFonts w:ascii="Arial" w:hAnsi="Arial" w:cs="Arial"/>
          <w:b/>
          <w:bCs/>
        </w:rPr>
        <w:t xml:space="preserve"> - 1</w:t>
      </w:r>
      <w:r w:rsidRPr="00622930">
        <w:rPr>
          <w:rFonts w:ascii="Arial" w:hAnsi="Arial" w:cs="Arial"/>
          <w:color w:val="000000"/>
        </w:rPr>
        <w:t xml:space="preserve"> </w:t>
      </w:r>
      <w:r w:rsidRPr="001B1C65">
        <w:rPr>
          <w:rFonts w:ascii="Arial" w:hAnsi="Arial" w:cs="Arial"/>
          <w:color w:val="000000"/>
        </w:rPr>
        <w:t xml:space="preserve">Populaţia totală stabilă raportată la numărul total de locuinţe, la nivelul  județului Brăila, pentru </w:t>
      </w:r>
      <w:r>
        <w:rPr>
          <w:rFonts w:ascii="Arial" w:hAnsi="Arial" w:cs="Arial"/>
        </w:rPr>
        <w:t>perioada 2010 - 2014</w:t>
      </w:r>
    </w:p>
    <w:p w:rsidR="00A107ED" w:rsidRDefault="00A107ED" w:rsidP="00A107ED">
      <w:pPr>
        <w:ind w:firstLine="708"/>
        <w:jc w:val="center"/>
        <w:rPr>
          <w:rFonts w:ascii="Arial" w:hAnsi="Arial" w:cs="Arial"/>
        </w:rPr>
      </w:pPr>
    </w:p>
    <w:p w:rsidR="00A107ED" w:rsidRPr="00FB4C8D" w:rsidRDefault="00A107ED" w:rsidP="00A107ED">
      <w:pPr>
        <w:pStyle w:val="Default"/>
        <w:jc w:val="center"/>
        <w:rPr>
          <w:rFonts w:ascii="Arial" w:hAnsi="Arial" w:cs="Arial"/>
          <w:b/>
          <w:bCs/>
          <w:i/>
          <w:iCs/>
          <w:color w:val="auto"/>
          <w:u w:val="single"/>
        </w:rPr>
      </w:pPr>
    </w:p>
    <w:p w:rsidR="00A107ED" w:rsidRDefault="00A107ED" w:rsidP="00A107ED">
      <w:pPr>
        <w:pStyle w:val="Default"/>
        <w:rPr>
          <w:rFonts w:ascii="Arial" w:hAnsi="Arial" w:cs="Arial"/>
          <w:b/>
          <w:bCs/>
          <w:i/>
          <w:iCs/>
          <w:color w:val="auto"/>
          <w:u w:val="single"/>
        </w:rPr>
      </w:pPr>
      <w:r w:rsidRPr="00FB4C8D">
        <w:rPr>
          <w:rFonts w:ascii="Arial" w:hAnsi="Arial" w:cs="Arial"/>
          <w:b/>
          <w:bCs/>
          <w:i/>
          <w:iCs/>
          <w:color w:val="auto"/>
          <w:u w:val="single"/>
        </w:rPr>
        <w:t>XI.1.3. Mobilitate</w:t>
      </w:r>
      <w:r>
        <w:rPr>
          <w:rFonts w:ascii="Arial" w:hAnsi="Arial" w:cs="Arial"/>
          <w:b/>
          <w:bCs/>
          <w:i/>
          <w:iCs/>
          <w:color w:val="auto"/>
          <w:u w:val="single"/>
        </w:rPr>
        <w:t xml:space="preserve"> </w:t>
      </w:r>
    </w:p>
    <w:p w:rsidR="00A107ED" w:rsidRDefault="00A107ED" w:rsidP="00A107ED">
      <w:pPr>
        <w:pStyle w:val="Default"/>
        <w:rPr>
          <w:rFonts w:ascii="Arial" w:hAnsi="Arial" w:cs="Arial"/>
          <w:b/>
          <w:bCs/>
          <w:i/>
          <w:iCs/>
          <w:color w:val="auto"/>
          <w:u w:val="single"/>
        </w:rPr>
      </w:pPr>
    </w:p>
    <w:p w:rsidR="00A107ED" w:rsidRPr="00FB4C8D" w:rsidRDefault="00A107ED" w:rsidP="00A107ED">
      <w:pPr>
        <w:pStyle w:val="Default"/>
        <w:rPr>
          <w:rFonts w:ascii="Arial" w:hAnsi="Arial" w:cs="Arial"/>
          <w:b/>
          <w:bCs/>
          <w:iCs/>
          <w:color w:val="auto"/>
        </w:rPr>
      </w:pPr>
      <w:r w:rsidRPr="00FB4C8D">
        <w:rPr>
          <w:rFonts w:ascii="Arial" w:hAnsi="Arial" w:cs="Arial"/>
          <w:b/>
          <w:bCs/>
          <w:iCs/>
          <w:color w:val="auto"/>
        </w:rPr>
        <w:t>XI.1.3.1. Transportul de pasageri</w:t>
      </w:r>
    </w:p>
    <w:p w:rsidR="00A107ED" w:rsidRPr="00FB4C8D" w:rsidRDefault="00A107ED" w:rsidP="00A107ED">
      <w:pPr>
        <w:pStyle w:val="Default"/>
        <w:rPr>
          <w:rFonts w:ascii="Arial" w:hAnsi="Arial" w:cs="Arial"/>
          <w:b/>
          <w:bCs/>
          <w:iCs/>
          <w:color w:val="auto"/>
          <w:u w:val="single"/>
        </w:rPr>
      </w:pPr>
    </w:p>
    <w:p w:rsidR="00A107ED" w:rsidRPr="007002CC" w:rsidRDefault="00A107ED" w:rsidP="005E6B2E">
      <w:pPr>
        <w:pStyle w:val="Default"/>
        <w:widowControl w:val="0"/>
        <w:numPr>
          <w:ilvl w:val="0"/>
          <w:numId w:val="57"/>
        </w:numPr>
        <w:rPr>
          <w:rFonts w:ascii="Arial" w:hAnsi="Arial" w:cs="Arial"/>
          <w:b/>
        </w:rPr>
      </w:pPr>
      <w:r w:rsidRPr="007002CC">
        <w:rPr>
          <w:rFonts w:ascii="Arial" w:hAnsi="Arial" w:cs="Arial"/>
          <w:b/>
          <w:color w:val="auto"/>
        </w:rPr>
        <w:t>Tabelul</w:t>
      </w:r>
      <w:r>
        <w:rPr>
          <w:rFonts w:ascii="Arial" w:hAnsi="Arial" w:cs="Arial"/>
          <w:b/>
          <w:color w:val="auto"/>
        </w:rPr>
        <w:t xml:space="preserve"> nr.</w:t>
      </w:r>
      <w:r w:rsidRPr="007002CC">
        <w:rPr>
          <w:rFonts w:ascii="Arial" w:hAnsi="Arial" w:cs="Arial"/>
          <w:b/>
          <w:color w:val="auto"/>
        </w:rPr>
        <w:t xml:space="preserve"> XI.1.3.</w:t>
      </w:r>
      <w:r>
        <w:rPr>
          <w:rFonts w:ascii="Arial" w:hAnsi="Arial" w:cs="Arial"/>
          <w:b/>
          <w:color w:val="auto"/>
        </w:rPr>
        <w:t>1.</w:t>
      </w:r>
      <w:r w:rsidRPr="007002CC">
        <w:rPr>
          <w:rFonts w:ascii="Arial" w:hAnsi="Arial" w:cs="Arial"/>
          <w:b/>
          <w:color w:val="auto"/>
        </w:rPr>
        <w:t>-</w:t>
      </w:r>
      <w:r w:rsidRPr="00B72725">
        <w:rPr>
          <w:rFonts w:ascii="Arial" w:hAnsi="Arial" w:cs="Arial"/>
          <w:b/>
          <w:color w:val="auto"/>
        </w:rPr>
        <w:t>1</w:t>
      </w:r>
      <w:r>
        <w:rPr>
          <w:rFonts w:ascii="Arial" w:hAnsi="Arial" w:cs="Arial"/>
          <w:b/>
          <w:color w:val="auto"/>
        </w:rPr>
        <w:t xml:space="preserve"> </w:t>
      </w:r>
      <w:r w:rsidRPr="007002CC">
        <w:rPr>
          <w:rFonts w:ascii="Arial" w:hAnsi="Arial" w:cs="Arial"/>
          <w:lang w:val="pt-BR"/>
        </w:rPr>
        <w:t>Numărul vehiculelor în inventar pentru transport public local de pasageri,</w:t>
      </w:r>
      <w:r>
        <w:rPr>
          <w:rFonts w:ascii="Arial" w:hAnsi="Arial" w:cs="Arial"/>
          <w:lang w:val="pt-BR"/>
        </w:rPr>
        <w:t xml:space="preserve"> </w:t>
      </w:r>
      <w:r w:rsidRPr="007002CC">
        <w:rPr>
          <w:rFonts w:ascii="Arial" w:hAnsi="Arial" w:cs="Arial"/>
        </w:rPr>
        <w:t>pe tipuri de vehicule</w:t>
      </w:r>
    </w:p>
    <w:p w:rsidR="00A107ED" w:rsidRPr="00750C45" w:rsidRDefault="00A107ED" w:rsidP="005E6B2E">
      <w:pPr>
        <w:pStyle w:val="ListParagraph"/>
        <w:numPr>
          <w:ilvl w:val="0"/>
          <w:numId w:val="57"/>
        </w:numPr>
        <w:ind w:left="0"/>
        <w:rPr>
          <w:rFonts w:ascii="Arial" w:hAnsi="Arial" w:cs="Arial"/>
        </w:rPr>
      </w:pPr>
      <w:r>
        <w:rPr>
          <w:rFonts w:ascii="Arial" w:hAnsi="Arial" w:cs="Arial"/>
          <w:bCs/>
          <w:color w:val="000000"/>
        </w:rPr>
        <w:t xml:space="preserve">                                                                                                                              </w:t>
      </w:r>
      <w:r w:rsidRPr="00750C45">
        <w:rPr>
          <w:rFonts w:ascii="Arial" w:hAnsi="Arial" w:cs="Arial"/>
          <w:bCs/>
          <w:color w:val="000000"/>
        </w:rPr>
        <w:t>număr</w:t>
      </w:r>
    </w:p>
    <w:tbl>
      <w:tblPr>
        <w:tblW w:w="8277" w:type="dxa"/>
        <w:jc w:val="center"/>
        <w:tblInd w:w="125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677"/>
        <w:gridCol w:w="1120"/>
        <w:gridCol w:w="1120"/>
        <w:gridCol w:w="1120"/>
        <w:gridCol w:w="1120"/>
        <w:gridCol w:w="1120"/>
      </w:tblGrid>
      <w:tr w:rsidR="00A107ED" w:rsidRPr="00750C45" w:rsidTr="00D0386E">
        <w:trPr>
          <w:trHeight w:val="511"/>
          <w:jc w:val="center"/>
        </w:trPr>
        <w:tc>
          <w:tcPr>
            <w:tcW w:w="2677" w:type="dxa"/>
            <w:shd w:val="clear" w:color="auto" w:fill="F2DBDB" w:themeFill="accent2" w:themeFillTint="33"/>
            <w:vAlign w:val="center"/>
          </w:tcPr>
          <w:p w:rsidR="00A107ED" w:rsidRPr="00750C45" w:rsidRDefault="00A107ED" w:rsidP="00D0386E">
            <w:pPr>
              <w:rPr>
                <w:rFonts w:ascii="Arial" w:hAnsi="Arial" w:cs="Arial"/>
                <w:b/>
                <w:bCs/>
                <w:color w:val="000000"/>
              </w:rPr>
            </w:pPr>
            <w:r w:rsidRPr="00750C45">
              <w:rPr>
                <w:rFonts w:ascii="Arial" w:hAnsi="Arial" w:cs="Arial"/>
                <w:b/>
                <w:bCs/>
                <w:color w:val="000000"/>
              </w:rPr>
              <w:t>Judeţul Brăila</w:t>
            </w:r>
          </w:p>
        </w:tc>
        <w:tc>
          <w:tcPr>
            <w:tcW w:w="1120" w:type="dxa"/>
            <w:shd w:val="clear" w:color="auto" w:fill="F2DBDB" w:themeFill="accent2" w:themeFillTint="33"/>
            <w:vAlign w:val="center"/>
          </w:tcPr>
          <w:p w:rsidR="00A107ED" w:rsidRPr="00750C45" w:rsidRDefault="00A107ED" w:rsidP="00D0386E">
            <w:pPr>
              <w:jc w:val="center"/>
              <w:rPr>
                <w:rFonts w:ascii="Arial" w:hAnsi="Arial" w:cs="Arial"/>
                <w:b/>
                <w:bCs/>
                <w:color w:val="000000"/>
              </w:rPr>
            </w:pPr>
            <w:r w:rsidRPr="00750C45">
              <w:rPr>
                <w:rFonts w:ascii="Arial" w:hAnsi="Arial" w:cs="Arial"/>
                <w:b/>
                <w:bCs/>
                <w:color w:val="000000"/>
              </w:rPr>
              <w:t>2010</w:t>
            </w:r>
          </w:p>
        </w:tc>
        <w:tc>
          <w:tcPr>
            <w:tcW w:w="1120" w:type="dxa"/>
            <w:shd w:val="clear" w:color="auto" w:fill="F2DBDB" w:themeFill="accent2" w:themeFillTint="33"/>
            <w:vAlign w:val="center"/>
          </w:tcPr>
          <w:p w:rsidR="00A107ED" w:rsidRPr="00750C45" w:rsidRDefault="00A107ED" w:rsidP="00D0386E">
            <w:pPr>
              <w:jc w:val="center"/>
              <w:rPr>
                <w:rFonts w:ascii="Arial" w:hAnsi="Arial" w:cs="Arial"/>
                <w:b/>
                <w:bCs/>
                <w:color w:val="000000"/>
              </w:rPr>
            </w:pPr>
            <w:r w:rsidRPr="00750C45">
              <w:rPr>
                <w:rFonts w:ascii="Arial" w:hAnsi="Arial" w:cs="Arial"/>
                <w:b/>
                <w:bCs/>
                <w:color w:val="000000"/>
              </w:rPr>
              <w:t>2011</w:t>
            </w:r>
          </w:p>
        </w:tc>
        <w:tc>
          <w:tcPr>
            <w:tcW w:w="1120" w:type="dxa"/>
            <w:shd w:val="clear" w:color="auto" w:fill="F2DBDB" w:themeFill="accent2" w:themeFillTint="33"/>
            <w:vAlign w:val="center"/>
          </w:tcPr>
          <w:p w:rsidR="00A107ED" w:rsidRPr="00750C45" w:rsidRDefault="00A107ED" w:rsidP="00D0386E">
            <w:pPr>
              <w:jc w:val="center"/>
              <w:rPr>
                <w:rFonts w:ascii="Arial" w:hAnsi="Arial" w:cs="Arial"/>
                <w:b/>
                <w:bCs/>
                <w:color w:val="000000"/>
              </w:rPr>
            </w:pPr>
            <w:r w:rsidRPr="00750C45">
              <w:rPr>
                <w:rFonts w:ascii="Arial" w:hAnsi="Arial" w:cs="Arial"/>
                <w:b/>
                <w:bCs/>
                <w:color w:val="000000"/>
              </w:rPr>
              <w:t>2012</w:t>
            </w:r>
          </w:p>
        </w:tc>
        <w:tc>
          <w:tcPr>
            <w:tcW w:w="1120" w:type="dxa"/>
            <w:shd w:val="clear" w:color="auto" w:fill="F2DBDB" w:themeFill="accent2" w:themeFillTint="33"/>
            <w:vAlign w:val="center"/>
          </w:tcPr>
          <w:p w:rsidR="00A107ED" w:rsidRPr="00750C45" w:rsidRDefault="00A107ED" w:rsidP="00D0386E">
            <w:pPr>
              <w:jc w:val="center"/>
              <w:rPr>
                <w:rFonts w:ascii="Arial" w:hAnsi="Arial" w:cs="Arial"/>
                <w:b/>
                <w:bCs/>
                <w:color w:val="000000"/>
              </w:rPr>
            </w:pPr>
            <w:r w:rsidRPr="00750C45">
              <w:rPr>
                <w:rFonts w:ascii="Arial" w:hAnsi="Arial" w:cs="Arial"/>
                <w:b/>
                <w:bCs/>
                <w:color w:val="000000"/>
              </w:rPr>
              <w:t>2013</w:t>
            </w:r>
          </w:p>
        </w:tc>
        <w:tc>
          <w:tcPr>
            <w:tcW w:w="1120" w:type="dxa"/>
            <w:shd w:val="clear" w:color="auto" w:fill="F2DBDB" w:themeFill="accent2" w:themeFillTint="33"/>
            <w:vAlign w:val="center"/>
          </w:tcPr>
          <w:p w:rsidR="00A107ED" w:rsidRPr="00750C45" w:rsidRDefault="00A107ED" w:rsidP="00D0386E">
            <w:pPr>
              <w:jc w:val="center"/>
              <w:rPr>
                <w:rFonts w:ascii="Arial" w:hAnsi="Arial" w:cs="Arial"/>
                <w:b/>
                <w:bCs/>
                <w:color w:val="000000"/>
              </w:rPr>
            </w:pPr>
            <w:r w:rsidRPr="00750C45">
              <w:rPr>
                <w:rFonts w:ascii="Arial" w:hAnsi="Arial" w:cs="Arial"/>
                <w:b/>
                <w:bCs/>
                <w:color w:val="000000"/>
              </w:rPr>
              <w:t>2014</w:t>
            </w:r>
          </w:p>
        </w:tc>
      </w:tr>
      <w:tr w:rsidR="00A107ED" w:rsidRPr="00750C45" w:rsidTr="00D0386E">
        <w:trPr>
          <w:trHeight w:val="300"/>
          <w:jc w:val="center"/>
        </w:trPr>
        <w:tc>
          <w:tcPr>
            <w:tcW w:w="2677" w:type="dxa"/>
            <w:shd w:val="clear" w:color="auto" w:fill="FDE9D9" w:themeFill="accent6" w:themeFillTint="33"/>
            <w:vAlign w:val="center"/>
          </w:tcPr>
          <w:p w:rsidR="00A107ED" w:rsidRPr="00750C45" w:rsidRDefault="00A107ED" w:rsidP="00D0386E">
            <w:pPr>
              <w:rPr>
                <w:rFonts w:ascii="Arial" w:hAnsi="Arial" w:cs="Arial"/>
                <w:bCs/>
                <w:color w:val="000000"/>
              </w:rPr>
            </w:pPr>
            <w:r w:rsidRPr="00750C45">
              <w:rPr>
                <w:rFonts w:ascii="Arial" w:hAnsi="Arial" w:cs="Arial"/>
                <w:bCs/>
                <w:color w:val="000000"/>
              </w:rPr>
              <w:t>Tramvaie</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49</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49</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34</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31</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31</w:t>
            </w:r>
          </w:p>
        </w:tc>
      </w:tr>
      <w:tr w:rsidR="00A107ED" w:rsidRPr="00750C45" w:rsidTr="00D0386E">
        <w:trPr>
          <w:trHeight w:val="300"/>
          <w:jc w:val="center"/>
        </w:trPr>
        <w:tc>
          <w:tcPr>
            <w:tcW w:w="2677" w:type="dxa"/>
            <w:shd w:val="clear" w:color="auto" w:fill="FDE9D9" w:themeFill="accent6" w:themeFillTint="33"/>
            <w:vAlign w:val="center"/>
          </w:tcPr>
          <w:p w:rsidR="00A107ED" w:rsidRPr="00750C45" w:rsidRDefault="00A107ED" w:rsidP="00D0386E">
            <w:pPr>
              <w:rPr>
                <w:rFonts w:ascii="Arial" w:hAnsi="Arial" w:cs="Arial"/>
                <w:bCs/>
                <w:color w:val="000000"/>
              </w:rPr>
            </w:pPr>
            <w:r w:rsidRPr="00750C45">
              <w:rPr>
                <w:rFonts w:ascii="Arial" w:hAnsi="Arial" w:cs="Arial"/>
                <w:bCs/>
                <w:color w:val="000000"/>
              </w:rPr>
              <w:t>Autobuze si microbuze</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195</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200</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157</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164</w:t>
            </w:r>
          </w:p>
        </w:tc>
        <w:tc>
          <w:tcPr>
            <w:tcW w:w="1120" w:type="dxa"/>
            <w:shd w:val="clear" w:color="auto" w:fill="FDE9D9" w:themeFill="accent6" w:themeFillTint="33"/>
            <w:vAlign w:val="bottom"/>
          </w:tcPr>
          <w:p w:rsidR="00A107ED" w:rsidRPr="00750C45" w:rsidRDefault="00A107ED" w:rsidP="00D0386E">
            <w:pPr>
              <w:jc w:val="center"/>
              <w:rPr>
                <w:rFonts w:ascii="Arial" w:hAnsi="Arial" w:cs="Arial"/>
                <w:color w:val="000000"/>
              </w:rPr>
            </w:pPr>
            <w:r w:rsidRPr="00750C45">
              <w:rPr>
                <w:rFonts w:ascii="Arial" w:hAnsi="Arial" w:cs="Arial"/>
                <w:color w:val="000000"/>
              </w:rPr>
              <w:t>178</w:t>
            </w:r>
          </w:p>
        </w:tc>
      </w:tr>
    </w:tbl>
    <w:p w:rsidR="00A107ED" w:rsidRPr="00FB4C8D" w:rsidRDefault="00A107ED" w:rsidP="00A107ED">
      <w:pPr>
        <w:pStyle w:val="Default"/>
        <w:rPr>
          <w:rFonts w:ascii="Arial" w:hAnsi="Arial" w:cs="Arial"/>
          <w:color w:val="auto"/>
        </w:rPr>
      </w:pPr>
    </w:p>
    <w:p w:rsidR="00A107ED" w:rsidRDefault="00A107ED" w:rsidP="00A107ED">
      <w:pPr>
        <w:pStyle w:val="Default"/>
        <w:rPr>
          <w:rFonts w:ascii="Arial" w:hAnsi="Arial" w:cs="Arial"/>
          <w:b/>
          <w:bCs/>
          <w:color w:val="auto"/>
        </w:rPr>
      </w:pPr>
    </w:p>
    <w:p w:rsidR="00A107ED" w:rsidRDefault="00A107ED" w:rsidP="00A107ED">
      <w:pPr>
        <w:tabs>
          <w:tab w:val="left" w:pos="2110"/>
        </w:tabs>
        <w:jc w:val="center"/>
        <w:rPr>
          <w:rFonts w:ascii="Arial" w:hAnsi="Arial" w:cs="Arial"/>
        </w:rPr>
      </w:pPr>
      <w:r>
        <w:rPr>
          <w:rFonts w:ascii="Arial" w:hAnsi="Arial" w:cs="Arial"/>
          <w:noProof/>
          <w:lang w:val="ro-RO" w:eastAsia="ro-RO"/>
        </w:rPr>
        <w:drawing>
          <wp:inline distT="0" distB="0" distL="0" distR="0">
            <wp:extent cx="4953000" cy="2562225"/>
            <wp:effectExtent l="19050" t="0" r="19050" b="0"/>
            <wp:docPr id="105" name="Chart 7"/>
            <wp:cNvGraphicFramePr/>
            <a:graphic xmlns:a="http://schemas.openxmlformats.org/drawingml/2006/main">
              <a:graphicData uri="http://schemas.openxmlformats.org/drawingml/2006/chart">
                <c:chart xmlns:c="http://schemas.openxmlformats.org/drawingml/2006/chart" xmlns:r="http://schemas.openxmlformats.org/officeDocument/2006/relationships" r:id="rId139"/>
              </a:graphicData>
            </a:graphic>
          </wp:inline>
        </w:drawing>
      </w:r>
    </w:p>
    <w:p w:rsidR="00A107ED" w:rsidRDefault="00A107ED" w:rsidP="00A107ED">
      <w:pPr>
        <w:pStyle w:val="Default"/>
        <w:jc w:val="center"/>
        <w:rPr>
          <w:rFonts w:ascii="Arial" w:hAnsi="Arial" w:cs="Arial"/>
          <w:b/>
          <w:bCs/>
          <w:color w:val="auto"/>
        </w:rPr>
      </w:pPr>
    </w:p>
    <w:p w:rsidR="00A107ED" w:rsidRDefault="00A107ED" w:rsidP="00A107ED">
      <w:pPr>
        <w:pStyle w:val="Default"/>
        <w:jc w:val="center"/>
        <w:rPr>
          <w:rFonts w:ascii="Arial" w:hAnsi="Arial" w:cs="Arial"/>
        </w:rPr>
      </w:pPr>
      <w:r>
        <w:rPr>
          <w:rFonts w:ascii="Arial" w:hAnsi="Arial" w:cs="Arial"/>
          <w:b/>
          <w:color w:val="auto"/>
        </w:rPr>
        <w:t>Figura nr.</w:t>
      </w:r>
      <w:r w:rsidRPr="007002CC">
        <w:rPr>
          <w:rFonts w:ascii="Arial" w:hAnsi="Arial" w:cs="Arial"/>
          <w:b/>
          <w:color w:val="auto"/>
        </w:rPr>
        <w:t xml:space="preserve"> XI.1.3.</w:t>
      </w:r>
      <w:r>
        <w:rPr>
          <w:rFonts w:ascii="Arial" w:hAnsi="Arial" w:cs="Arial"/>
          <w:b/>
          <w:color w:val="auto"/>
        </w:rPr>
        <w:t>1.</w:t>
      </w:r>
      <w:r w:rsidRPr="007002CC">
        <w:rPr>
          <w:rFonts w:ascii="Arial" w:hAnsi="Arial" w:cs="Arial"/>
          <w:b/>
          <w:color w:val="auto"/>
        </w:rPr>
        <w:t>-</w:t>
      </w:r>
      <w:r w:rsidRPr="007002CC">
        <w:rPr>
          <w:rFonts w:ascii="Arial" w:hAnsi="Arial" w:cs="Arial"/>
          <w:color w:val="auto"/>
        </w:rPr>
        <w:t>1</w:t>
      </w:r>
      <w:r>
        <w:rPr>
          <w:rFonts w:ascii="Arial" w:hAnsi="Arial" w:cs="Arial"/>
          <w:color w:val="auto"/>
        </w:rPr>
        <w:t xml:space="preserve"> </w:t>
      </w:r>
      <w:r w:rsidRPr="007002CC">
        <w:rPr>
          <w:rFonts w:ascii="Arial" w:hAnsi="Arial" w:cs="Arial"/>
          <w:lang w:val="pt-BR"/>
        </w:rPr>
        <w:t>Numărul vehiculelor în inventar pentru transport public local de pasageri,</w:t>
      </w:r>
      <w:r>
        <w:rPr>
          <w:rFonts w:ascii="Arial" w:hAnsi="Arial" w:cs="Arial"/>
          <w:lang w:val="pt-BR"/>
        </w:rPr>
        <w:t xml:space="preserve"> </w:t>
      </w:r>
      <w:r w:rsidRPr="007002CC">
        <w:rPr>
          <w:rFonts w:ascii="Arial" w:hAnsi="Arial" w:cs="Arial"/>
        </w:rPr>
        <w:t>pe tipuri de vehicule</w:t>
      </w:r>
    </w:p>
    <w:p w:rsidR="00A107ED" w:rsidRDefault="00A107ED" w:rsidP="00A107ED">
      <w:pPr>
        <w:pStyle w:val="Default"/>
        <w:rPr>
          <w:rFonts w:ascii="Arial" w:hAnsi="Arial" w:cs="Arial"/>
          <w:b/>
          <w:bCs/>
          <w:color w:val="auto"/>
        </w:rPr>
      </w:pPr>
    </w:p>
    <w:p w:rsidR="00A107ED" w:rsidRDefault="00A107ED" w:rsidP="00A107ED">
      <w:pPr>
        <w:pStyle w:val="Default"/>
        <w:rPr>
          <w:rFonts w:ascii="Arial" w:hAnsi="Arial" w:cs="Arial"/>
          <w:b/>
          <w:bCs/>
          <w:color w:val="auto"/>
        </w:rPr>
      </w:pPr>
    </w:p>
    <w:p w:rsidR="00A107ED" w:rsidRDefault="00A107ED" w:rsidP="00A107ED">
      <w:pPr>
        <w:pStyle w:val="Default"/>
        <w:rPr>
          <w:rFonts w:ascii="Arial" w:hAnsi="Arial" w:cs="Arial"/>
          <w:b/>
          <w:iCs/>
          <w:color w:val="auto"/>
        </w:rPr>
      </w:pPr>
      <w:r w:rsidRPr="007002CC">
        <w:rPr>
          <w:rFonts w:ascii="Arial" w:hAnsi="Arial" w:cs="Arial"/>
          <w:b/>
          <w:color w:val="auto"/>
        </w:rPr>
        <w:t>Utilizarea transportului în comun</w:t>
      </w:r>
      <w:r>
        <w:rPr>
          <w:rFonts w:ascii="Arial" w:hAnsi="Arial" w:cs="Arial"/>
          <w:b/>
          <w:color w:val="auto"/>
        </w:rPr>
        <w:t xml:space="preserve"> </w:t>
      </w:r>
      <w:r w:rsidRPr="007002CC">
        <w:rPr>
          <w:rFonts w:ascii="Arial" w:hAnsi="Arial" w:cs="Arial"/>
          <w:b/>
          <w:iCs/>
          <w:color w:val="auto"/>
        </w:rPr>
        <w:t xml:space="preserve">(mii pasageri) </w:t>
      </w:r>
      <w:r>
        <w:rPr>
          <w:rFonts w:ascii="Arial" w:hAnsi="Arial" w:cs="Arial"/>
          <w:b/>
          <w:iCs/>
          <w:color w:val="auto"/>
        </w:rPr>
        <w:t>/</w:t>
      </w:r>
      <w:r w:rsidRPr="007002CC">
        <w:rPr>
          <w:rFonts w:ascii="Arial" w:hAnsi="Arial" w:cs="Arial"/>
          <w:b/>
          <w:i/>
          <w:iCs/>
          <w:color w:val="auto"/>
        </w:rPr>
        <w:t xml:space="preserve"> </w:t>
      </w:r>
      <w:r w:rsidRPr="007002CC">
        <w:rPr>
          <w:rFonts w:ascii="Arial" w:hAnsi="Arial" w:cs="Arial"/>
          <w:b/>
          <w:iCs/>
          <w:color w:val="auto"/>
        </w:rPr>
        <w:t xml:space="preserve">(mii pasageri/km) la nivelul județului Brăila pentru perioada 2010 - 2014: </w:t>
      </w:r>
      <w:r w:rsidRPr="007002CC">
        <w:rPr>
          <w:rFonts w:ascii="Arial" w:hAnsi="Arial" w:cs="Arial"/>
          <w:b/>
          <w:iCs/>
          <w:color w:val="auto"/>
        </w:rPr>
        <w:tab/>
      </w:r>
    </w:p>
    <w:p w:rsidR="00A107ED" w:rsidRDefault="00A107ED" w:rsidP="00A107ED">
      <w:pPr>
        <w:pStyle w:val="Default"/>
        <w:rPr>
          <w:rFonts w:ascii="Arial" w:hAnsi="Arial" w:cs="Arial"/>
          <w:b/>
          <w:iCs/>
          <w:color w:val="auto"/>
        </w:rPr>
      </w:pPr>
    </w:p>
    <w:p w:rsidR="00A107ED" w:rsidRDefault="00A107ED" w:rsidP="00A107ED">
      <w:pPr>
        <w:pStyle w:val="Default"/>
        <w:rPr>
          <w:rFonts w:ascii="Arial" w:hAnsi="Arial" w:cs="Arial"/>
        </w:rPr>
      </w:pPr>
      <w:r>
        <w:rPr>
          <w:rFonts w:ascii="Arial" w:hAnsi="Arial" w:cs="Arial"/>
          <w:b/>
        </w:rPr>
        <w:t>Tabelul nr. XI.1.3.1</w:t>
      </w:r>
      <w:r w:rsidRPr="005E1F84">
        <w:rPr>
          <w:rFonts w:ascii="Arial" w:hAnsi="Arial" w:cs="Arial"/>
          <w:b/>
        </w:rPr>
        <w:t>.-2</w:t>
      </w:r>
      <w:r>
        <w:rPr>
          <w:rFonts w:ascii="Arial" w:hAnsi="Arial" w:cs="Arial"/>
        </w:rPr>
        <w:t xml:space="preserve"> </w:t>
      </w:r>
      <w:r w:rsidRPr="007002CC">
        <w:rPr>
          <w:rFonts w:ascii="Arial" w:hAnsi="Arial" w:cs="Arial"/>
        </w:rPr>
        <w:t>Numărul pasagerilor transportaţi în transportul public local, pe tipuri de vehicule</w:t>
      </w:r>
    </w:p>
    <w:p w:rsidR="00A107ED" w:rsidRPr="009B3239" w:rsidRDefault="00A107ED" w:rsidP="00A107ED">
      <w:pPr>
        <w:pStyle w:val="Default"/>
        <w:rPr>
          <w:rFonts w:ascii="Arial" w:hAnsi="Arial" w:cs="Arial"/>
        </w:rPr>
      </w:pPr>
    </w:p>
    <w:tbl>
      <w:tblPr>
        <w:tblW w:w="9617" w:type="dxa"/>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335"/>
        <w:gridCol w:w="1229"/>
        <w:gridCol w:w="1366"/>
        <w:gridCol w:w="1229"/>
        <w:gridCol w:w="1229"/>
        <w:gridCol w:w="1229"/>
      </w:tblGrid>
      <w:tr w:rsidR="00A107ED" w:rsidRPr="009B3239" w:rsidTr="00D0386E">
        <w:trPr>
          <w:trHeight w:val="601"/>
          <w:jc w:val="center"/>
        </w:trPr>
        <w:tc>
          <w:tcPr>
            <w:tcW w:w="3335" w:type="dxa"/>
            <w:shd w:val="clear" w:color="auto" w:fill="FBD4B4" w:themeFill="accent6" w:themeFillTint="66"/>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Judeţul Brăila</w:t>
            </w:r>
          </w:p>
        </w:tc>
        <w:tc>
          <w:tcPr>
            <w:tcW w:w="1229" w:type="dxa"/>
            <w:shd w:val="clear" w:color="auto" w:fill="FBD4B4" w:themeFill="accent6" w:themeFillTint="66"/>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2010</w:t>
            </w:r>
          </w:p>
        </w:tc>
        <w:tc>
          <w:tcPr>
            <w:tcW w:w="1366" w:type="dxa"/>
            <w:shd w:val="clear" w:color="auto" w:fill="FBD4B4" w:themeFill="accent6" w:themeFillTint="66"/>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2011</w:t>
            </w:r>
          </w:p>
        </w:tc>
        <w:tc>
          <w:tcPr>
            <w:tcW w:w="1229" w:type="dxa"/>
            <w:shd w:val="clear" w:color="auto" w:fill="FBD4B4" w:themeFill="accent6" w:themeFillTint="66"/>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2012</w:t>
            </w:r>
          </w:p>
        </w:tc>
        <w:tc>
          <w:tcPr>
            <w:tcW w:w="1229" w:type="dxa"/>
            <w:shd w:val="clear" w:color="auto" w:fill="FBD4B4" w:themeFill="accent6" w:themeFillTint="66"/>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2013</w:t>
            </w:r>
          </w:p>
        </w:tc>
        <w:tc>
          <w:tcPr>
            <w:tcW w:w="1229" w:type="dxa"/>
            <w:shd w:val="clear" w:color="auto" w:fill="FBD4B4" w:themeFill="accent6" w:themeFillTint="66"/>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2014</w:t>
            </w:r>
          </w:p>
        </w:tc>
      </w:tr>
      <w:tr w:rsidR="00A107ED" w:rsidRPr="009B3239" w:rsidTr="00D0386E">
        <w:trPr>
          <w:trHeight w:val="300"/>
          <w:jc w:val="center"/>
        </w:trPr>
        <w:tc>
          <w:tcPr>
            <w:tcW w:w="3335" w:type="dxa"/>
            <w:shd w:val="clear" w:color="auto" w:fill="FFFF00"/>
            <w:vAlign w:val="center"/>
          </w:tcPr>
          <w:p w:rsidR="00A107ED" w:rsidRPr="009B3239" w:rsidRDefault="00A107ED" w:rsidP="00D0386E">
            <w:pPr>
              <w:jc w:val="center"/>
              <w:rPr>
                <w:rFonts w:ascii="Arial" w:hAnsi="Arial" w:cs="Arial"/>
                <w:b/>
                <w:bCs/>
                <w:color w:val="000000"/>
              </w:rPr>
            </w:pPr>
          </w:p>
        </w:tc>
        <w:tc>
          <w:tcPr>
            <w:tcW w:w="6282" w:type="dxa"/>
            <w:gridSpan w:val="5"/>
            <w:shd w:val="clear" w:color="auto" w:fill="FFFF00"/>
            <w:vAlign w:val="bottom"/>
          </w:tcPr>
          <w:p w:rsidR="00A107ED" w:rsidRPr="009B3239" w:rsidRDefault="00A107ED" w:rsidP="00D0386E">
            <w:pPr>
              <w:jc w:val="center"/>
              <w:rPr>
                <w:rFonts w:ascii="Arial" w:hAnsi="Arial" w:cs="Arial"/>
                <w:color w:val="000000"/>
              </w:rPr>
            </w:pPr>
            <w:r w:rsidRPr="009B3239">
              <w:rPr>
                <w:rFonts w:ascii="Arial" w:hAnsi="Arial" w:cs="Arial"/>
                <w:b/>
                <w:bCs/>
                <w:color w:val="000000"/>
              </w:rPr>
              <w:t>Mii pasageri</w:t>
            </w:r>
          </w:p>
        </w:tc>
      </w:tr>
      <w:tr w:rsidR="00A107ED" w:rsidRPr="009B3239" w:rsidTr="00D0386E">
        <w:trPr>
          <w:trHeight w:val="300"/>
          <w:jc w:val="center"/>
        </w:trPr>
        <w:tc>
          <w:tcPr>
            <w:tcW w:w="3335" w:type="dxa"/>
            <w:shd w:val="clear" w:color="auto" w:fill="FDE9D9" w:themeFill="accent6" w:themeFillTint="33"/>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Tramvaie</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14378,0</w:t>
            </w:r>
          </w:p>
        </w:tc>
        <w:tc>
          <w:tcPr>
            <w:tcW w:w="1366"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7000,0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1807,0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4898,0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6082,0</w:t>
            </w:r>
          </w:p>
        </w:tc>
      </w:tr>
      <w:tr w:rsidR="00A107ED" w:rsidRPr="009B3239" w:rsidTr="00D0386E">
        <w:trPr>
          <w:trHeight w:val="300"/>
          <w:jc w:val="center"/>
        </w:trPr>
        <w:tc>
          <w:tcPr>
            <w:tcW w:w="3335" w:type="dxa"/>
            <w:shd w:val="clear" w:color="auto" w:fill="FDE9D9" w:themeFill="accent6" w:themeFillTint="33"/>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Autobuze si microbuze</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30072,6</w:t>
            </w:r>
          </w:p>
        </w:tc>
        <w:tc>
          <w:tcPr>
            <w:tcW w:w="1366"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32458,3</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29791,9</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27369,8</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27069,5</w:t>
            </w:r>
          </w:p>
        </w:tc>
      </w:tr>
      <w:tr w:rsidR="00A107ED" w:rsidRPr="009B3239" w:rsidTr="00D0386E">
        <w:trPr>
          <w:trHeight w:val="300"/>
          <w:jc w:val="center"/>
        </w:trPr>
        <w:tc>
          <w:tcPr>
            <w:tcW w:w="3335" w:type="dxa"/>
            <w:shd w:val="clear" w:color="auto" w:fill="FFFF00"/>
            <w:vAlign w:val="center"/>
          </w:tcPr>
          <w:p w:rsidR="00A107ED" w:rsidRPr="009B3239" w:rsidRDefault="00A107ED" w:rsidP="00D0386E">
            <w:pPr>
              <w:jc w:val="center"/>
              <w:rPr>
                <w:rFonts w:ascii="Arial" w:hAnsi="Arial" w:cs="Arial"/>
                <w:b/>
                <w:bCs/>
                <w:color w:val="000000"/>
              </w:rPr>
            </w:pPr>
          </w:p>
        </w:tc>
        <w:tc>
          <w:tcPr>
            <w:tcW w:w="6282" w:type="dxa"/>
            <w:gridSpan w:val="5"/>
            <w:shd w:val="clear" w:color="auto" w:fill="FFFF00"/>
            <w:vAlign w:val="bottom"/>
          </w:tcPr>
          <w:p w:rsidR="00A107ED" w:rsidRPr="009B3239" w:rsidRDefault="00A107ED" w:rsidP="00D0386E">
            <w:pPr>
              <w:jc w:val="center"/>
              <w:rPr>
                <w:rFonts w:ascii="Arial" w:hAnsi="Arial" w:cs="Arial"/>
                <w:color w:val="000000"/>
              </w:rPr>
            </w:pPr>
            <w:r w:rsidRPr="009B3239">
              <w:rPr>
                <w:rFonts w:ascii="Arial" w:hAnsi="Arial" w:cs="Arial"/>
                <w:b/>
                <w:bCs/>
                <w:color w:val="000000"/>
              </w:rPr>
              <w:t>Mii pasageri-km</w:t>
            </w:r>
          </w:p>
        </w:tc>
      </w:tr>
      <w:tr w:rsidR="00A107ED" w:rsidRPr="009B3239" w:rsidTr="00D0386E">
        <w:trPr>
          <w:trHeight w:val="300"/>
          <w:jc w:val="center"/>
        </w:trPr>
        <w:tc>
          <w:tcPr>
            <w:tcW w:w="3335" w:type="dxa"/>
            <w:shd w:val="clear" w:color="auto" w:fill="FDE9D9" w:themeFill="accent6" w:themeFillTint="33"/>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Tramvaie</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64703,0</w:t>
            </w:r>
          </w:p>
        </w:tc>
        <w:tc>
          <w:tcPr>
            <w:tcW w:w="1366"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28501,0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3975,0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10775,0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13379,0</w:t>
            </w:r>
          </w:p>
        </w:tc>
      </w:tr>
      <w:tr w:rsidR="00A107ED" w:rsidRPr="009B3239" w:rsidTr="00D0386E">
        <w:trPr>
          <w:trHeight w:val="300"/>
          <w:jc w:val="center"/>
        </w:trPr>
        <w:tc>
          <w:tcPr>
            <w:tcW w:w="3335" w:type="dxa"/>
            <w:shd w:val="clear" w:color="auto" w:fill="FDE9D9" w:themeFill="accent6" w:themeFillTint="33"/>
            <w:vAlign w:val="center"/>
          </w:tcPr>
          <w:p w:rsidR="00A107ED" w:rsidRPr="009B3239" w:rsidRDefault="00A107ED" w:rsidP="00D0386E">
            <w:pPr>
              <w:jc w:val="center"/>
              <w:rPr>
                <w:rFonts w:ascii="Arial" w:hAnsi="Arial" w:cs="Arial"/>
                <w:b/>
                <w:bCs/>
                <w:color w:val="000000"/>
              </w:rPr>
            </w:pPr>
            <w:r w:rsidRPr="009B3239">
              <w:rPr>
                <w:rFonts w:ascii="Arial" w:hAnsi="Arial" w:cs="Arial"/>
                <w:b/>
                <w:bCs/>
                <w:color w:val="000000"/>
              </w:rPr>
              <w:t>Autobuze si microbuze</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150497,6</w:t>
            </w:r>
          </w:p>
        </w:tc>
        <w:tc>
          <w:tcPr>
            <w:tcW w:w="1366"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160422,0</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144459,7</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131755,2</w:t>
            </w:r>
          </w:p>
        </w:tc>
        <w:tc>
          <w:tcPr>
            <w:tcW w:w="1229" w:type="dxa"/>
            <w:shd w:val="clear" w:color="auto" w:fill="FDE9D9" w:themeFill="accent6" w:themeFillTint="33"/>
            <w:vAlign w:val="bottom"/>
          </w:tcPr>
          <w:p w:rsidR="00A107ED" w:rsidRPr="009B3239" w:rsidRDefault="00A107ED" w:rsidP="00D0386E">
            <w:pPr>
              <w:jc w:val="right"/>
              <w:rPr>
                <w:rFonts w:ascii="Arial" w:hAnsi="Arial" w:cs="Arial"/>
                <w:color w:val="000000"/>
              </w:rPr>
            </w:pPr>
            <w:r w:rsidRPr="009B3239">
              <w:rPr>
                <w:rFonts w:ascii="Arial" w:hAnsi="Arial" w:cs="Arial"/>
                <w:color w:val="000000"/>
              </w:rPr>
              <w:t>131151,0</w:t>
            </w:r>
          </w:p>
        </w:tc>
      </w:tr>
    </w:tbl>
    <w:p w:rsidR="00A107ED" w:rsidRPr="00FB4C8D" w:rsidRDefault="00A107ED" w:rsidP="00A107ED">
      <w:pPr>
        <w:pStyle w:val="Default"/>
        <w:rPr>
          <w:rFonts w:ascii="Arial" w:hAnsi="Arial" w:cs="Arial"/>
          <w:color w:val="auto"/>
        </w:rPr>
      </w:pPr>
    </w:p>
    <w:p w:rsidR="00A107ED" w:rsidRDefault="00A107ED" w:rsidP="00A107ED">
      <w:pPr>
        <w:pStyle w:val="Default"/>
        <w:rPr>
          <w:rFonts w:ascii="Arial" w:hAnsi="Arial" w:cs="Arial"/>
          <w:color w:val="auto"/>
        </w:rPr>
      </w:pPr>
      <w:r w:rsidRPr="00FB4C8D">
        <w:rPr>
          <w:rFonts w:ascii="Arial" w:hAnsi="Arial" w:cs="Arial"/>
          <w:color w:val="auto"/>
        </w:rPr>
        <w:t>Transportul public local de</w:t>
      </w:r>
      <w:r w:rsidRPr="00FB4C8D">
        <w:rPr>
          <w:rFonts w:ascii="Arial" w:hAnsi="Arial" w:cs="Arial"/>
          <w:b/>
          <w:bCs/>
          <w:color w:val="auto"/>
        </w:rPr>
        <w:t xml:space="preserve"> </w:t>
      </w:r>
      <w:r w:rsidRPr="00FB4C8D">
        <w:rPr>
          <w:rFonts w:ascii="Arial" w:hAnsi="Arial" w:cs="Arial"/>
          <w:color w:val="auto"/>
        </w:rPr>
        <w:t>pasageri cuprinde transportul, în interiorul zonei administrativ</w:t>
      </w:r>
      <w:r>
        <w:rPr>
          <w:rFonts w:ascii="Arial" w:hAnsi="Arial" w:cs="Arial"/>
          <w:color w:val="auto"/>
        </w:rPr>
        <w:t xml:space="preserve"> </w:t>
      </w:r>
      <w:r w:rsidRPr="00FB4C8D">
        <w:rPr>
          <w:rFonts w:ascii="Arial" w:hAnsi="Arial" w:cs="Arial"/>
          <w:color w:val="auto"/>
        </w:rPr>
        <w:t xml:space="preserve">-teritoriale a unei localităţi, fără a depăşi limitele acesteia. </w:t>
      </w:r>
    </w:p>
    <w:p w:rsidR="00A107ED" w:rsidRDefault="00A107ED" w:rsidP="00A107ED">
      <w:pPr>
        <w:pStyle w:val="Default"/>
        <w:rPr>
          <w:rFonts w:ascii="Arial" w:hAnsi="Arial" w:cs="Arial"/>
          <w:color w:val="auto"/>
        </w:rPr>
      </w:pPr>
    </w:p>
    <w:p w:rsidR="00A107ED" w:rsidRPr="00FB4C8D" w:rsidRDefault="00A107ED" w:rsidP="00A107ED">
      <w:pPr>
        <w:pStyle w:val="Default"/>
        <w:rPr>
          <w:rFonts w:ascii="Arial" w:hAnsi="Arial" w:cs="Arial"/>
          <w:color w:val="auto"/>
        </w:rPr>
      </w:pPr>
    </w:p>
    <w:p w:rsidR="00A107ED" w:rsidRDefault="00A107ED" w:rsidP="00A107ED">
      <w:pPr>
        <w:tabs>
          <w:tab w:val="left" w:pos="3834"/>
        </w:tabs>
        <w:jc w:val="center"/>
        <w:rPr>
          <w:rFonts w:ascii="Arial" w:hAnsi="Arial" w:cs="Arial"/>
        </w:rPr>
      </w:pPr>
      <w:r>
        <w:rPr>
          <w:noProof/>
          <w:lang w:val="ro-RO" w:eastAsia="ro-RO"/>
        </w:rPr>
        <w:drawing>
          <wp:inline distT="0" distB="0" distL="0" distR="0">
            <wp:extent cx="5524500" cy="3219450"/>
            <wp:effectExtent l="19050" t="0" r="19050" b="0"/>
            <wp:docPr id="106" name="Chart 9"/>
            <wp:cNvGraphicFramePr>
              <a:graphicFrameLocks xmlns:a="http://schemas.openxmlformats.org/drawingml/2006/main"/>
            </wp:cNvGraphicFramePr>
            <a:graphic xmlns:a="http://schemas.openxmlformats.org/drawingml/2006/main">
              <a:graphicData uri="http://schemas.openxmlformats.org/drawingml/2006/chart">
                <c:chart xmlns:c="http://schemas.openxmlformats.org/drawingml/2006/chart" xmlns:r="http://schemas.openxmlformats.org/officeDocument/2006/relationships" r:id="rId140"/>
              </a:graphicData>
            </a:graphic>
          </wp:inline>
        </w:drawing>
      </w:r>
    </w:p>
    <w:p w:rsidR="00A107ED" w:rsidRDefault="00A107ED" w:rsidP="00A107ED">
      <w:pPr>
        <w:pStyle w:val="Default"/>
        <w:rPr>
          <w:rFonts w:ascii="Arial" w:hAnsi="Arial" w:cs="Arial"/>
          <w:color w:val="auto"/>
        </w:rPr>
      </w:pPr>
    </w:p>
    <w:p w:rsidR="00A107ED" w:rsidRDefault="00A107ED" w:rsidP="00A107ED">
      <w:pPr>
        <w:tabs>
          <w:tab w:val="left" w:pos="3834"/>
        </w:tabs>
        <w:jc w:val="center"/>
        <w:rPr>
          <w:rFonts w:ascii="Arial" w:hAnsi="Arial" w:cs="Arial"/>
        </w:rPr>
      </w:pPr>
      <w:r w:rsidRPr="001569B5">
        <w:rPr>
          <w:rFonts w:ascii="Arial" w:hAnsi="Arial" w:cs="Arial"/>
          <w:noProof/>
          <w:highlight w:val="yellow"/>
          <w:lang w:val="ro-RO" w:eastAsia="ro-RO"/>
        </w:rPr>
        <w:lastRenderedPageBreak/>
        <w:drawing>
          <wp:inline distT="0" distB="0" distL="0" distR="0">
            <wp:extent cx="5486400" cy="3200400"/>
            <wp:effectExtent l="19050" t="0" r="19050" b="0"/>
            <wp:docPr id="107" name="Chart 9"/>
            <wp:cNvGraphicFramePr/>
            <a:graphic xmlns:a="http://schemas.openxmlformats.org/drawingml/2006/main">
              <a:graphicData uri="http://schemas.openxmlformats.org/drawingml/2006/chart">
                <c:chart xmlns:c="http://schemas.openxmlformats.org/drawingml/2006/chart" xmlns:r="http://schemas.openxmlformats.org/officeDocument/2006/relationships" r:id="rId141"/>
              </a:graphicData>
            </a:graphic>
          </wp:inline>
        </w:drawing>
      </w:r>
    </w:p>
    <w:p w:rsidR="00A107ED" w:rsidRDefault="00A107ED" w:rsidP="00A107ED">
      <w:pPr>
        <w:pStyle w:val="Default"/>
        <w:rPr>
          <w:rFonts w:ascii="Arial" w:hAnsi="Arial" w:cs="Arial"/>
          <w:color w:val="auto"/>
        </w:rPr>
      </w:pPr>
    </w:p>
    <w:p w:rsidR="00A107ED" w:rsidRPr="00FB4C8D" w:rsidRDefault="00A107ED" w:rsidP="00A107ED">
      <w:pPr>
        <w:pStyle w:val="Default"/>
        <w:rPr>
          <w:rFonts w:ascii="Arial" w:hAnsi="Arial" w:cs="Arial"/>
          <w:color w:val="auto"/>
        </w:rPr>
      </w:pPr>
    </w:p>
    <w:p w:rsidR="00A107ED" w:rsidRPr="00DE1593" w:rsidRDefault="00A107ED" w:rsidP="00A107ED">
      <w:pPr>
        <w:jc w:val="both"/>
        <w:outlineLvl w:val="0"/>
        <w:rPr>
          <w:b/>
        </w:rPr>
      </w:pPr>
      <w:r w:rsidRPr="00DE1593">
        <w:rPr>
          <w:rFonts w:ascii="Arial" w:hAnsi="Arial" w:cs="Arial"/>
          <w:b/>
        </w:rPr>
        <w:t xml:space="preserve">XI.1.3.2. Transportul de mărfuri </w:t>
      </w:r>
    </w:p>
    <w:p w:rsidR="00A107ED" w:rsidRDefault="00A107ED" w:rsidP="00A107ED">
      <w:pPr>
        <w:rPr>
          <w:rFonts w:ascii="Arial" w:hAnsi="Arial" w:cs="Arial"/>
          <w:b/>
        </w:rPr>
      </w:pPr>
    </w:p>
    <w:p w:rsidR="00A107ED" w:rsidRPr="00C86129" w:rsidRDefault="00A107ED" w:rsidP="00A107ED">
      <w:pPr>
        <w:rPr>
          <w:rFonts w:ascii="Arial" w:hAnsi="Arial" w:cs="Arial"/>
          <w:b/>
        </w:rPr>
      </w:pPr>
      <w:r w:rsidRPr="00C86129">
        <w:rPr>
          <w:rFonts w:ascii="Arial" w:hAnsi="Arial" w:cs="Arial"/>
          <w:b/>
        </w:rPr>
        <w:t>Vehicule rutiere înmatriculate în circulaţie, pe categorii de vehicule</w:t>
      </w:r>
    </w:p>
    <w:p w:rsidR="00A107ED" w:rsidRDefault="00A107ED" w:rsidP="00A107ED">
      <w:pPr>
        <w:rPr>
          <w:rFonts w:ascii="Arial" w:hAnsi="Arial" w:cs="Arial"/>
          <w:b/>
        </w:rPr>
      </w:pPr>
    </w:p>
    <w:p w:rsidR="00A107ED" w:rsidRDefault="00A107ED" w:rsidP="00A107ED">
      <w:pPr>
        <w:rPr>
          <w:rFonts w:ascii="Arial" w:hAnsi="Arial" w:cs="Arial"/>
          <w:bCs/>
          <w:color w:val="000000"/>
        </w:rPr>
      </w:pPr>
      <w:r>
        <w:rPr>
          <w:rFonts w:ascii="Arial" w:hAnsi="Arial" w:cs="Arial"/>
          <w:b/>
        </w:rPr>
        <w:t>Tabelul nr. XI.1.3.2.</w:t>
      </w:r>
      <w:r w:rsidRPr="00C86129">
        <w:rPr>
          <w:rFonts w:ascii="Arial" w:hAnsi="Arial" w:cs="Arial"/>
          <w:b/>
        </w:rPr>
        <w:t>-1</w:t>
      </w:r>
      <w:r w:rsidRPr="00C86129">
        <w:rPr>
          <w:rFonts w:ascii="Arial" w:hAnsi="Arial" w:cs="Arial"/>
          <w:bCs/>
          <w:color w:val="000000"/>
        </w:rPr>
        <w:t xml:space="preserve">  </w:t>
      </w:r>
      <w:r w:rsidRPr="00C86129">
        <w:rPr>
          <w:rFonts w:ascii="Arial" w:hAnsi="Arial" w:cs="Arial"/>
          <w:b/>
        </w:rPr>
        <w:t>Vehicule rutiere înmatriculate în circulaţie, pe categorii de vehicule</w:t>
      </w:r>
      <w:r>
        <w:rPr>
          <w:rFonts w:ascii="Arial" w:hAnsi="Arial" w:cs="Arial"/>
          <w:b/>
        </w:rPr>
        <w:t xml:space="preserve"> în perioada 2010 - 2014</w:t>
      </w:r>
      <w:r w:rsidRPr="00C86129">
        <w:rPr>
          <w:rFonts w:ascii="Arial" w:hAnsi="Arial" w:cs="Arial"/>
          <w:bCs/>
          <w:color w:val="000000"/>
        </w:rPr>
        <w:t xml:space="preserve">        </w:t>
      </w:r>
    </w:p>
    <w:p w:rsidR="00A107ED" w:rsidRPr="00C86129" w:rsidRDefault="00A107ED" w:rsidP="00A107ED">
      <w:r w:rsidRPr="00C86129">
        <w:rPr>
          <w:rFonts w:ascii="Arial" w:hAnsi="Arial" w:cs="Arial"/>
          <w:bCs/>
          <w:color w:val="000000"/>
        </w:rPr>
        <w:t xml:space="preserve">                                                                 </w:t>
      </w:r>
      <w:r>
        <w:rPr>
          <w:rFonts w:ascii="Arial" w:hAnsi="Arial" w:cs="Arial"/>
          <w:bCs/>
          <w:color w:val="000000"/>
        </w:rPr>
        <w:t xml:space="preserve">                                                                  </w:t>
      </w:r>
      <w:r w:rsidRPr="00C86129">
        <w:rPr>
          <w:rFonts w:ascii="Arial" w:hAnsi="Arial" w:cs="Arial"/>
          <w:bCs/>
          <w:color w:val="000000"/>
        </w:rPr>
        <w:t>număr</w:t>
      </w:r>
    </w:p>
    <w:tbl>
      <w:tblPr>
        <w:tblW w:w="93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3983"/>
        <w:gridCol w:w="1080"/>
        <w:gridCol w:w="1080"/>
        <w:gridCol w:w="1080"/>
        <w:gridCol w:w="1080"/>
        <w:gridCol w:w="1080"/>
      </w:tblGrid>
      <w:tr w:rsidR="00A107ED" w:rsidRPr="00C86129" w:rsidTr="00D0386E">
        <w:trPr>
          <w:trHeight w:val="510"/>
          <w:jc w:val="center"/>
        </w:trPr>
        <w:tc>
          <w:tcPr>
            <w:tcW w:w="3983" w:type="dxa"/>
            <w:shd w:val="clear" w:color="auto" w:fill="FABF8F" w:themeFill="accent6" w:themeFillTint="99"/>
            <w:vAlign w:val="center"/>
          </w:tcPr>
          <w:p w:rsidR="00A107ED" w:rsidRPr="00C86129" w:rsidRDefault="00A107ED" w:rsidP="00D0386E">
            <w:pPr>
              <w:jc w:val="center"/>
              <w:rPr>
                <w:rFonts w:ascii="Arial" w:hAnsi="Arial" w:cs="Arial"/>
                <w:b/>
                <w:bCs/>
                <w:color w:val="000000"/>
              </w:rPr>
            </w:pPr>
            <w:r w:rsidRPr="00C86129">
              <w:rPr>
                <w:rFonts w:ascii="Arial" w:hAnsi="Arial" w:cs="Arial"/>
                <w:b/>
                <w:bCs/>
                <w:color w:val="000000"/>
              </w:rPr>
              <w:t>Judeţul Brăila</w:t>
            </w:r>
          </w:p>
        </w:tc>
        <w:tc>
          <w:tcPr>
            <w:tcW w:w="1080" w:type="dxa"/>
            <w:shd w:val="clear" w:color="auto" w:fill="FABF8F" w:themeFill="accent6" w:themeFillTint="99"/>
            <w:vAlign w:val="center"/>
          </w:tcPr>
          <w:p w:rsidR="00A107ED" w:rsidRPr="00C86129" w:rsidRDefault="00A107ED" w:rsidP="00D0386E">
            <w:pPr>
              <w:jc w:val="center"/>
              <w:rPr>
                <w:rFonts w:ascii="Arial" w:hAnsi="Arial" w:cs="Arial"/>
                <w:b/>
                <w:bCs/>
                <w:color w:val="000000"/>
              </w:rPr>
            </w:pPr>
            <w:r w:rsidRPr="00C86129">
              <w:rPr>
                <w:rFonts w:ascii="Arial" w:hAnsi="Arial" w:cs="Arial"/>
                <w:b/>
                <w:bCs/>
                <w:color w:val="000000"/>
              </w:rPr>
              <w:t>2010</w:t>
            </w:r>
          </w:p>
        </w:tc>
        <w:tc>
          <w:tcPr>
            <w:tcW w:w="1080" w:type="dxa"/>
            <w:shd w:val="clear" w:color="auto" w:fill="FABF8F" w:themeFill="accent6" w:themeFillTint="99"/>
            <w:vAlign w:val="center"/>
          </w:tcPr>
          <w:p w:rsidR="00A107ED" w:rsidRPr="00C86129" w:rsidRDefault="00A107ED" w:rsidP="00D0386E">
            <w:pPr>
              <w:jc w:val="center"/>
              <w:rPr>
                <w:rFonts w:ascii="Arial" w:hAnsi="Arial" w:cs="Arial"/>
                <w:b/>
                <w:bCs/>
                <w:color w:val="000000"/>
              </w:rPr>
            </w:pPr>
            <w:r w:rsidRPr="00C86129">
              <w:rPr>
                <w:rFonts w:ascii="Arial" w:hAnsi="Arial" w:cs="Arial"/>
                <w:b/>
                <w:bCs/>
                <w:color w:val="000000"/>
              </w:rPr>
              <w:t>2011</w:t>
            </w:r>
          </w:p>
        </w:tc>
        <w:tc>
          <w:tcPr>
            <w:tcW w:w="1080" w:type="dxa"/>
            <w:shd w:val="clear" w:color="auto" w:fill="FABF8F" w:themeFill="accent6" w:themeFillTint="99"/>
            <w:vAlign w:val="center"/>
          </w:tcPr>
          <w:p w:rsidR="00A107ED" w:rsidRPr="00C86129" w:rsidRDefault="00A107ED" w:rsidP="00D0386E">
            <w:pPr>
              <w:jc w:val="center"/>
              <w:rPr>
                <w:rFonts w:ascii="Arial" w:hAnsi="Arial" w:cs="Arial"/>
                <w:b/>
                <w:bCs/>
                <w:color w:val="000000"/>
              </w:rPr>
            </w:pPr>
            <w:r w:rsidRPr="00C86129">
              <w:rPr>
                <w:rFonts w:ascii="Arial" w:hAnsi="Arial" w:cs="Arial"/>
                <w:b/>
                <w:bCs/>
                <w:color w:val="000000"/>
              </w:rPr>
              <w:t>2012</w:t>
            </w:r>
          </w:p>
        </w:tc>
        <w:tc>
          <w:tcPr>
            <w:tcW w:w="1080" w:type="dxa"/>
            <w:shd w:val="clear" w:color="auto" w:fill="FABF8F" w:themeFill="accent6" w:themeFillTint="99"/>
            <w:vAlign w:val="center"/>
          </w:tcPr>
          <w:p w:rsidR="00A107ED" w:rsidRPr="00C86129" w:rsidRDefault="00A107ED" w:rsidP="00D0386E">
            <w:pPr>
              <w:jc w:val="center"/>
              <w:rPr>
                <w:rFonts w:ascii="Arial" w:hAnsi="Arial" w:cs="Arial"/>
                <w:b/>
                <w:bCs/>
                <w:color w:val="000000"/>
              </w:rPr>
            </w:pPr>
            <w:r w:rsidRPr="00C86129">
              <w:rPr>
                <w:rFonts w:ascii="Arial" w:hAnsi="Arial" w:cs="Arial"/>
                <w:b/>
                <w:bCs/>
                <w:color w:val="000000"/>
              </w:rPr>
              <w:t>2013</w:t>
            </w:r>
          </w:p>
        </w:tc>
        <w:tc>
          <w:tcPr>
            <w:tcW w:w="1080" w:type="dxa"/>
            <w:shd w:val="clear" w:color="auto" w:fill="FABF8F" w:themeFill="accent6" w:themeFillTint="99"/>
            <w:vAlign w:val="center"/>
          </w:tcPr>
          <w:p w:rsidR="00A107ED" w:rsidRPr="00C86129" w:rsidRDefault="00A107ED" w:rsidP="00D0386E">
            <w:pPr>
              <w:jc w:val="center"/>
              <w:rPr>
                <w:rFonts w:ascii="Arial" w:hAnsi="Arial" w:cs="Arial"/>
                <w:b/>
                <w:bCs/>
                <w:color w:val="000000"/>
              </w:rPr>
            </w:pPr>
            <w:r w:rsidRPr="00C86129">
              <w:rPr>
                <w:rFonts w:ascii="Arial" w:hAnsi="Arial" w:cs="Arial"/>
                <w:b/>
                <w:bCs/>
                <w:color w:val="000000"/>
              </w:rPr>
              <w:t>2014</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rPr>
            </w:pPr>
            <w:r w:rsidRPr="00C86129">
              <w:rPr>
                <w:rFonts w:ascii="Arial" w:hAnsi="Arial" w:cs="Arial"/>
                <w:bCs/>
                <w:color w:val="000000"/>
              </w:rPr>
              <w:t>Autobuze şi microbuze</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618</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635</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644</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695</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735</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rPr>
            </w:pPr>
            <w:r w:rsidRPr="00C86129">
              <w:rPr>
                <w:rFonts w:ascii="Arial" w:hAnsi="Arial" w:cs="Arial"/>
                <w:bCs/>
                <w:color w:val="000000"/>
              </w:rPr>
              <w:t>Autoturisme</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51703</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53222</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56372</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59206</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62117</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rPr>
            </w:pPr>
            <w:r w:rsidRPr="00C86129">
              <w:rPr>
                <w:rFonts w:ascii="Arial" w:hAnsi="Arial" w:cs="Arial"/>
                <w:bCs/>
                <w:color w:val="000000"/>
              </w:rPr>
              <w:t>Mopede şi motociclete (inclusiv mototricicluri şi cvadricicluri)</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738</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799</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836</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874</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921</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rPr>
            </w:pPr>
            <w:r w:rsidRPr="00C86129">
              <w:rPr>
                <w:rFonts w:ascii="Arial" w:hAnsi="Arial" w:cs="Arial"/>
                <w:bCs/>
                <w:color w:val="000000"/>
              </w:rPr>
              <w:t>Autovehicule de marfă</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7298</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7873</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8247</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8764</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9409</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ind w:firstLine="191"/>
              <w:rPr>
                <w:rFonts w:ascii="Arial" w:hAnsi="Arial" w:cs="Arial"/>
                <w:bCs/>
                <w:color w:val="000000"/>
              </w:rPr>
            </w:pPr>
            <w:r w:rsidRPr="00C86129">
              <w:rPr>
                <w:rFonts w:ascii="Arial" w:hAnsi="Arial" w:cs="Arial"/>
                <w:bCs/>
                <w:color w:val="000000"/>
              </w:rPr>
              <w:t>- Autocamioane</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6986</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7517</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bCs/>
                <w:color w:val="000000"/>
              </w:rPr>
            </w:pPr>
            <w:r w:rsidRPr="00C86129">
              <w:rPr>
                <w:rFonts w:ascii="Arial" w:hAnsi="Arial" w:cs="Arial"/>
                <w:bCs/>
                <w:color w:val="000000"/>
              </w:rPr>
              <w:t>7395</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7830</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8348</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ind w:firstLine="191"/>
              <w:rPr>
                <w:rFonts w:ascii="Arial" w:hAnsi="Arial" w:cs="Arial"/>
                <w:bCs/>
                <w:color w:val="000000"/>
              </w:rPr>
            </w:pPr>
            <w:r w:rsidRPr="00C86129">
              <w:rPr>
                <w:rFonts w:ascii="Arial" w:hAnsi="Arial" w:cs="Arial"/>
                <w:bCs/>
                <w:color w:val="000000"/>
              </w:rPr>
              <w:t>- Autotractoare</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312</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356</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bCs/>
                <w:color w:val="000000"/>
              </w:rPr>
            </w:pPr>
            <w:r w:rsidRPr="00C86129">
              <w:rPr>
                <w:rFonts w:ascii="Arial" w:hAnsi="Arial" w:cs="Arial"/>
                <w:bCs/>
                <w:color w:val="000000"/>
              </w:rPr>
              <w:t>852</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934</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1061</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lang w:val="it-IT"/>
              </w:rPr>
            </w:pPr>
            <w:r w:rsidRPr="00C86129">
              <w:rPr>
                <w:rFonts w:ascii="Arial" w:hAnsi="Arial" w:cs="Arial"/>
                <w:bCs/>
                <w:color w:val="000000"/>
                <w:lang w:val="it-IT"/>
              </w:rPr>
              <w:t>Vehicule rutiere pentru scopuri speciale</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339</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333</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341</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356</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361</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rPr>
            </w:pPr>
            <w:r w:rsidRPr="00C86129">
              <w:rPr>
                <w:rFonts w:ascii="Arial" w:hAnsi="Arial" w:cs="Arial"/>
                <w:bCs/>
                <w:color w:val="000000"/>
              </w:rPr>
              <w:t>Tractoare</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440</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433</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436</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432</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424</w:t>
            </w:r>
          </w:p>
        </w:tc>
      </w:tr>
      <w:tr w:rsidR="00A107ED" w:rsidRPr="00C86129" w:rsidTr="00D0386E">
        <w:trPr>
          <w:trHeight w:val="284"/>
          <w:jc w:val="center"/>
        </w:trPr>
        <w:tc>
          <w:tcPr>
            <w:tcW w:w="3983" w:type="dxa"/>
            <w:shd w:val="clear" w:color="auto" w:fill="FDE9D9" w:themeFill="accent6" w:themeFillTint="33"/>
            <w:vAlign w:val="center"/>
          </w:tcPr>
          <w:p w:rsidR="00A107ED" w:rsidRPr="00C86129" w:rsidRDefault="00A107ED" w:rsidP="00D0386E">
            <w:pPr>
              <w:rPr>
                <w:rFonts w:ascii="Arial" w:hAnsi="Arial" w:cs="Arial"/>
                <w:bCs/>
                <w:color w:val="000000"/>
              </w:rPr>
            </w:pPr>
            <w:r w:rsidRPr="00C86129">
              <w:rPr>
                <w:rFonts w:ascii="Arial" w:hAnsi="Arial" w:cs="Arial"/>
                <w:bCs/>
                <w:color w:val="000000"/>
              </w:rPr>
              <w:t>Remorci şi semiremorci</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3363</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3620</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3921</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4175</w:t>
            </w:r>
          </w:p>
        </w:tc>
        <w:tc>
          <w:tcPr>
            <w:tcW w:w="1080" w:type="dxa"/>
            <w:shd w:val="clear" w:color="auto" w:fill="FDE9D9" w:themeFill="accent6" w:themeFillTint="33"/>
            <w:vAlign w:val="center"/>
          </w:tcPr>
          <w:p w:rsidR="00A107ED" w:rsidRPr="00C86129" w:rsidRDefault="00A107ED" w:rsidP="00D0386E">
            <w:pPr>
              <w:jc w:val="center"/>
              <w:rPr>
                <w:rFonts w:ascii="Arial" w:hAnsi="Arial" w:cs="Arial"/>
                <w:color w:val="000000"/>
              </w:rPr>
            </w:pPr>
            <w:r w:rsidRPr="00C86129">
              <w:rPr>
                <w:rFonts w:ascii="Arial" w:hAnsi="Arial" w:cs="Arial"/>
                <w:color w:val="000000"/>
              </w:rPr>
              <w:t>4459</w:t>
            </w:r>
          </w:p>
        </w:tc>
      </w:tr>
    </w:tbl>
    <w:p w:rsidR="00A107ED" w:rsidRPr="00FB4C8D" w:rsidRDefault="00A107ED" w:rsidP="00A107ED">
      <w:pPr>
        <w:pStyle w:val="Default"/>
        <w:rPr>
          <w:rFonts w:ascii="Arial" w:hAnsi="Arial" w:cs="Arial"/>
          <w:color w:val="auto"/>
        </w:rPr>
      </w:pPr>
    </w:p>
    <w:p w:rsidR="00A107ED" w:rsidRDefault="00A107ED" w:rsidP="00A107ED">
      <w:pPr>
        <w:tabs>
          <w:tab w:val="left" w:pos="972"/>
        </w:tabs>
        <w:spacing w:line="60" w:lineRule="atLeast"/>
        <w:jc w:val="both"/>
        <w:outlineLvl w:val="0"/>
        <w:rPr>
          <w:rFonts w:ascii="Arial" w:hAnsi="Arial" w:cs="Arial"/>
          <w:b/>
          <w:u w:val="single"/>
        </w:rPr>
      </w:pPr>
    </w:p>
    <w:p w:rsidR="00A107ED" w:rsidRPr="00FB4C8D" w:rsidRDefault="00A107ED" w:rsidP="00A107ED">
      <w:pPr>
        <w:tabs>
          <w:tab w:val="left" w:pos="972"/>
        </w:tabs>
        <w:spacing w:line="60" w:lineRule="atLeast"/>
        <w:jc w:val="both"/>
        <w:outlineLvl w:val="0"/>
        <w:rPr>
          <w:rFonts w:ascii="Arial" w:hAnsi="Arial" w:cs="Arial"/>
          <w:b/>
          <w:u w:val="single"/>
        </w:rPr>
      </w:pPr>
      <w:r w:rsidRPr="00FB4C8D">
        <w:rPr>
          <w:rFonts w:ascii="Arial" w:hAnsi="Arial" w:cs="Arial"/>
          <w:b/>
          <w:u w:val="single"/>
        </w:rPr>
        <w:t>XI.2. Factori care influențează consumul</w:t>
      </w:r>
      <w:r>
        <w:rPr>
          <w:rFonts w:ascii="Arial" w:hAnsi="Arial" w:cs="Arial"/>
          <w:b/>
          <w:u w:val="single"/>
        </w:rPr>
        <w:t xml:space="preserve"> </w:t>
      </w:r>
    </w:p>
    <w:p w:rsidR="00A107ED" w:rsidRPr="00EA38C1" w:rsidRDefault="00A107ED" w:rsidP="005E6B2E">
      <w:pPr>
        <w:pStyle w:val="Default"/>
        <w:widowControl w:val="0"/>
        <w:numPr>
          <w:ilvl w:val="0"/>
          <w:numId w:val="58"/>
        </w:numPr>
        <w:rPr>
          <w:rFonts w:ascii="Arial" w:hAnsi="Arial" w:cs="Arial"/>
          <w:b/>
          <w:color w:val="auto"/>
        </w:rPr>
      </w:pPr>
      <w:r w:rsidRPr="00EA38C1">
        <w:rPr>
          <w:rFonts w:ascii="Arial" w:hAnsi="Arial" w:cs="Arial"/>
          <w:b/>
          <w:color w:val="auto"/>
        </w:rPr>
        <w:t xml:space="preserve">Influenţele economice </w:t>
      </w:r>
    </w:p>
    <w:p w:rsidR="00A107ED" w:rsidRDefault="00A107ED" w:rsidP="005E6B2E">
      <w:pPr>
        <w:pStyle w:val="Default"/>
        <w:widowControl w:val="0"/>
        <w:numPr>
          <w:ilvl w:val="1"/>
          <w:numId w:val="58"/>
        </w:numPr>
        <w:rPr>
          <w:rFonts w:ascii="Arial" w:hAnsi="Arial" w:cs="Arial"/>
          <w:b/>
          <w:color w:val="auto"/>
        </w:rPr>
      </w:pPr>
    </w:p>
    <w:p w:rsidR="00A107ED" w:rsidRPr="004C6A15" w:rsidRDefault="00A107ED" w:rsidP="005E6B2E">
      <w:pPr>
        <w:pStyle w:val="Default"/>
        <w:widowControl w:val="0"/>
        <w:numPr>
          <w:ilvl w:val="1"/>
          <w:numId w:val="58"/>
        </w:numPr>
        <w:rPr>
          <w:rFonts w:ascii="Arial" w:hAnsi="Arial" w:cs="Arial"/>
          <w:b/>
          <w:color w:val="auto"/>
        </w:rPr>
      </w:pPr>
      <w:r w:rsidRPr="004C6A15">
        <w:rPr>
          <w:rFonts w:ascii="Arial" w:hAnsi="Arial" w:cs="Arial"/>
          <w:b/>
          <w:color w:val="auto"/>
        </w:rPr>
        <w:t>Industria</w:t>
      </w:r>
    </w:p>
    <w:p w:rsidR="00A107ED" w:rsidRDefault="00A107ED" w:rsidP="005E6B2E">
      <w:pPr>
        <w:pStyle w:val="ListParagraph"/>
        <w:numPr>
          <w:ilvl w:val="0"/>
          <w:numId w:val="58"/>
        </w:numPr>
        <w:tabs>
          <w:tab w:val="left" w:pos="9167"/>
        </w:tabs>
        <w:rPr>
          <w:rFonts w:ascii="Arial" w:hAnsi="Arial"/>
          <w:b/>
        </w:rPr>
      </w:pPr>
    </w:p>
    <w:p w:rsidR="00A107ED" w:rsidRPr="00EA38C1" w:rsidRDefault="00A107ED" w:rsidP="005E6B2E">
      <w:pPr>
        <w:pStyle w:val="ListParagraph"/>
        <w:numPr>
          <w:ilvl w:val="0"/>
          <w:numId w:val="58"/>
        </w:numPr>
        <w:tabs>
          <w:tab w:val="left" w:pos="9167"/>
        </w:tabs>
        <w:rPr>
          <w:rFonts w:ascii="Arial" w:hAnsi="Arial"/>
          <w:b/>
        </w:rPr>
      </w:pPr>
      <w:r>
        <w:rPr>
          <w:rFonts w:ascii="Arial" w:hAnsi="Arial"/>
          <w:b/>
        </w:rPr>
        <w:t>Tabelul nr. XI.2.-</w:t>
      </w:r>
      <w:r w:rsidRPr="00EA38C1">
        <w:rPr>
          <w:rFonts w:ascii="Arial" w:hAnsi="Arial"/>
          <w:b/>
        </w:rPr>
        <w:t xml:space="preserve">1 </w:t>
      </w:r>
      <w:r w:rsidRPr="004C6A15">
        <w:rPr>
          <w:rFonts w:ascii="Arial" w:hAnsi="Arial"/>
        </w:rPr>
        <w:t>Indicii producţiei industriale</w:t>
      </w:r>
      <w:r w:rsidRPr="00EA38C1">
        <w:rPr>
          <w:rFonts w:ascii="Arial" w:hAnsi="Arial"/>
          <w:b/>
        </w:rPr>
        <w:tab/>
      </w:r>
    </w:p>
    <w:p w:rsidR="00A107ED" w:rsidRPr="00EA38C1" w:rsidRDefault="00A107ED" w:rsidP="005E6B2E">
      <w:pPr>
        <w:pStyle w:val="ListParagraph"/>
        <w:numPr>
          <w:ilvl w:val="0"/>
          <w:numId w:val="58"/>
        </w:numPr>
        <w:tabs>
          <w:tab w:val="left" w:pos="142"/>
          <w:tab w:val="left" w:pos="284"/>
        </w:tabs>
        <w:spacing w:after="200" w:line="276" w:lineRule="auto"/>
        <w:rPr>
          <w:rFonts w:ascii="Arial" w:hAnsi="Arial"/>
        </w:rPr>
      </w:pPr>
      <w:r w:rsidRPr="00EA38C1">
        <w:rPr>
          <w:rFonts w:ascii="Arial" w:hAnsi="Arial"/>
        </w:rPr>
        <w:t xml:space="preserve">  </w:t>
      </w:r>
      <w:r>
        <w:rPr>
          <w:rFonts w:ascii="Arial" w:hAnsi="Arial"/>
        </w:rPr>
        <w:tab/>
      </w:r>
      <w:r>
        <w:rPr>
          <w:rFonts w:ascii="Arial" w:hAnsi="Arial"/>
        </w:rPr>
        <w:tab/>
      </w:r>
      <w:r>
        <w:rPr>
          <w:rFonts w:ascii="Arial" w:hAnsi="Arial"/>
        </w:rPr>
        <w:tab/>
      </w:r>
      <w:r>
        <w:rPr>
          <w:rFonts w:ascii="Arial" w:hAnsi="Arial"/>
        </w:rPr>
        <w:tab/>
      </w:r>
    </w:p>
    <w:tbl>
      <w:tblPr>
        <w:tblW w:w="0" w:type="auto"/>
        <w:jc w:val="center"/>
        <w:tblLayout w:type="fixed"/>
        <w:tblCellMar>
          <w:left w:w="0" w:type="dxa"/>
          <w:right w:w="0" w:type="dxa"/>
        </w:tblCellMar>
        <w:tblLook w:val="0000"/>
      </w:tblPr>
      <w:tblGrid>
        <w:gridCol w:w="737"/>
        <w:gridCol w:w="737"/>
        <w:gridCol w:w="737"/>
        <w:gridCol w:w="737"/>
        <w:gridCol w:w="737"/>
        <w:gridCol w:w="737"/>
        <w:gridCol w:w="980"/>
        <w:gridCol w:w="1275"/>
        <w:gridCol w:w="1134"/>
      </w:tblGrid>
      <w:tr w:rsidR="00A107ED" w:rsidRPr="00EA38C1" w:rsidTr="00D0386E">
        <w:trPr>
          <w:cantSplit/>
          <w:trHeight w:val="261"/>
          <w:jc w:val="center"/>
        </w:trPr>
        <w:tc>
          <w:tcPr>
            <w:tcW w:w="7811" w:type="dxa"/>
            <w:gridSpan w:val="9"/>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pStyle w:val="ListParagraph"/>
              <w:jc w:val="center"/>
              <w:rPr>
                <w:rFonts w:ascii="Arial" w:eastAsia="Arial Unicode MS" w:hAnsi="Arial" w:cs="Arial"/>
                <w:b/>
              </w:rPr>
            </w:pPr>
            <w:r w:rsidRPr="00EA38C1">
              <w:rPr>
                <w:rFonts w:ascii="Arial" w:eastAsia="Arial Unicode MS" w:hAnsi="Arial" w:cs="Arial"/>
                <w:b/>
              </w:rPr>
              <w:lastRenderedPageBreak/>
              <w:t xml:space="preserve">2014 </w:t>
            </w:r>
            <w:r w:rsidRPr="00EA38C1">
              <w:rPr>
                <w:rFonts w:ascii="Arial" w:hAnsi="Arial" w:cs="Arial"/>
              </w:rPr>
              <w:t>(%)</w:t>
            </w:r>
          </w:p>
          <w:p w:rsidR="00A107ED" w:rsidRPr="00EA38C1" w:rsidRDefault="00A107ED" w:rsidP="00D0386E">
            <w:pPr>
              <w:jc w:val="center"/>
              <w:rPr>
                <w:rFonts w:ascii="Arial" w:eastAsia="Arial Unicode MS" w:hAnsi="Arial" w:cs="Arial"/>
                <w:b/>
              </w:rPr>
            </w:pPr>
            <w:r w:rsidRPr="00EA38C1">
              <w:rPr>
                <w:rFonts w:ascii="Arial" w:hAnsi="Arial" w:cs="Arial"/>
                <w:b/>
              </w:rPr>
              <w:t>luna corespunzătoare din anul precedent = 100</w:t>
            </w:r>
          </w:p>
        </w:tc>
      </w:tr>
      <w:tr w:rsidR="00D0386E" w:rsidRPr="00EA38C1" w:rsidTr="00D0386E">
        <w:trPr>
          <w:cantSplit/>
          <w:trHeight w:val="272"/>
          <w:jc w:val="center"/>
        </w:trPr>
        <w:tc>
          <w:tcPr>
            <w:tcW w:w="737"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apr.</w:t>
            </w:r>
          </w:p>
        </w:tc>
        <w:tc>
          <w:tcPr>
            <w:tcW w:w="737"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mai</w:t>
            </w:r>
          </w:p>
        </w:tc>
        <w:tc>
          <w:tcPr>
            <w:tcW w:w="737"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iun.</w:t>
            </w:r>
          </w:p>
        </w:tc>
        <w:tc>
          <w:tcPr>
            <w:tcW w:w="737"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iul.</w:t>
            </w:r>
          </w:p>
        </w:tc>
        <w:tc>
          <w:tcPr>
            <w:tcW w:w="737"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aug.</w:t>
            </w:r>
          </w:p>
        </w:tc>
        <w:tc>
          <w:tcPr>
            <w:tcW w:w="737"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sep.</w:t>
            </w:r>
          </w:p>
        </w:tc>
        <w:tc>
          <w:tcPr>
            <w:tcW w:w="980"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oct.</w:t>
            </w:r>
          </w:p>
        </w:tc>
        <w:tc>
          <w:tcPr>
            <w:tcW w:w="1275"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nov.</w:t>
            </w:r>
          </w:p>
        </w:tc>
        <w:tc>
          <w:tcPr>
            <w:tcW w:w="1134"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dec.</w:t>
            </w:r>
          </w:p>
        </w:tc>
      </w:tr>
      <w:tr w:rsidR="00D0386E" w:rsidRPr="00EA38C1" w:rsidTr="00D0386E">
        <w:trPr>
          <w:cantSplit/>
          <w:trHeight w:val="300"/>
          <w:jc w:val="center"/>
        </w:trPr>
        <w:tc>
          <w:tcPr>
            <w:tcW w:w="737" w:type="dxa"/>
            <w:tcBorders>
              <w:top w:val="single" w:sz="8" w:space="0" w:color="auto"/>
              <w:left w:val="single" w:sz="8"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91,0</w:t>
            </w:r>
          </w:p>
        </w:tc>
        <w:tc>
          <w:tcPr>
            <w:tcW w:w="737"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108,2</w:t>
            </w:r>
          </w:p>
        </w:tc>
        <w:tc>
          <w:tcPr>
            <w:tcW w:w="737"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99,5</w:t>
            </w:r>
          </w:p>
        </w:tc>
        <w:tc>
          <w:tcPr>
            <w:tcW w:w="737"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100,9</w:t>
            </w:r>
          </w:p>
        </w:tc>
        <w:tc>
          <w:tcPr>
            <w:tcW w:w="737"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98,0</w:t>
            </w:r>
          </w:p>
        </w:tc>
        <w:tc>
          <w:tcPr>
            <w:tcW w:w="737"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114,1</w:t>
            </w:r>
          </w:p>
        </w:tc>
        <w:tc>
          <w:tcPr>
            <w:tcW w:w="980"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108,8</w:t>
            </w:r>
          </w:p>
        </w:tc>
        <w:tc>
          <w:tcPr>
            <w:tcW w:w="1275"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105,5</w:t>
            </w:r>
          </w:p>
        </w:tc>
        <w:tc>
          <w:tcPr>
            <w:tcW w:w="1134" w:type="dxa"/>
            <w:tcBorders>
              <w:top w:val="single" w:sz="8" w:space="0" w:color="auto"/>
              <w:left w:val="dotted" w:sz="4" w:space="0" w:color="auto"/>
              <w:bottom w:val="single" w:sz="8" w:space="0" w:color="auto"/>
              <w:right w:val="single" w:sz="8"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99,4</w:t>
            </w:r>
          </w:p>
        </w:tc>
      </w:tr>
    </w:tbl>
    <w:p w:rsidR="00A107ED" w:rsidRPr="007C6ABC" w:rsidRDefault="00A107ED" w:rsidP="005E6B2E">
      <w:pPr>
        <w:pStyle w:val="ListParagraph"/>
        <w:numPr>
          <w:ilvl w:val="0"/>
          <w:numId w:val="58"/>
        </w:numPr>
        <w:spacing w:after="200" w:line="276" w:lineRule="auto"/>
        <w:rPr>
          <w:rStyle w:val="Strong"/>
          <w:rFonts w:ascii="Arial Narrow" w:eastAsia="Calibri" w:hAnsi="Arial Narrow"/>
          <w:sz w:val="4"/>
          <w:szCs w:val="4"/>
          <w:vertAlign w:val="superscript"/>
        </w:rPr>
      </w:pPr>
    </w:p>
    <w:p w:rsidR="00A107ED" w:rsidRPr="007C6ABC" w:rsidRDefault="00A107ED" w:rsidP="005E6B2E">
      <w:pPr>
        <w:pStyle w:val="ListParagraph"/>
        <w:numPr>
          <w:ilvl w:val="0"/>
          <w:numId w:val="58"/>
        </w:numPr>
        <w:spacing w:after="200" w:line="276" w:lineRule="auto"/>
        <w:rPr>
          <w:rFonts w:ascii="Arial" w:hAnsi="Arial"/>
          <w:sz w:val="16"/>
          <w:szCs w:val="16"/>
        </w:rPr>
      </w:pPr>
      <w:r w:rsidRPr="007C6ABC">
        <w:rPr>
          <w:rFonts w:ascii="Arial" w:hAnsi="Arial"/>
          <w:sz w:val="16"/>
          <w:szCs w:val="16"/>
        </w:rPr>
        <w:tab/>
      </w:r>
    </w:p>
    <w:p w:rsidR="00A107ED" w:rsidRPr="004C6A15" w:rsidRDefault="00A107ED" w:rsidP="005E6B2E">
      <w:pPr>
        <w:pStyle w:val="BodyText"/>
        <w:numPr>
          <w:ilvl w:val="1"/>
          <w:numId w:val="58"/>
        </w:numPr>
        <w:spacing w:after="0" w:line="240" w:lineRule="auto"/>
        <w:rPr>
          <w:b/>
        </w:rPr>
      </w:pPr>
      <w:r w:rsidRPr="004C6A15">
        <w:rPr>
          <w:sz w:val="24"/>
          <w:szCs w:val="24"/>
        </w:rPr>
        <w:t>Tabelul nr. XI.2.</w:t>
      </w:r>
      <w:r>
        <w:rPr>
          <w:sz w:val="24"/>
          <w:szCs w:val="24"/>
        </w:rPr>
        <w:t>-</w:t>
      </w:r>
      <w:r w:rsidRPr="004C6A15">
        <w:rPr>
          <w:sz w:val="24"/>
          <w:szCs w:val="24"/>
        </w:rPr>
        <w:t>2</w:t>
      </w:r>
      <w:r w:rsidRPr="0053011E">
        <w:t xml:space="preserve"> </w:t>
      </w:r>
      <w:r w:rsidRPr="004C6A15">
        <w:rPr>
          <w:sz w:val="24"/>
          <w:szCs w:val="24"/>
        </w:rPr>
        <w:t xml:space="preserve">Indicii valorici ai cifrei de afaceri din industrie </w:t>
      </w:r>
      <w:r>
        <w:rPr>
          <w:sz w:val="24"/>
          <w:szCs w:val="24"/>
        </w:rPr>
        <w:t>-</w:t>
      </w:r>
      <w:r w:rsidRPr="004C6A15">
        <w:rPr>
          <w:sz w:val="24"/>
          <w:szCs w:val="24"/>
        </w:rPr>
        <w:t xml:space="preserve"> total</w:t>
      </w:r>
    </w:p>
    <w:p w:rsidR="00A107ED" w:rsidRPr="004C6A15" w:rsidRDefault="00A107ED" w:rsidP="005E6B2E">
      <w:pPr>
        <w:pStyle w:val="BodyText"/>
        <w:numPr>
          <w:ilvl w:val="0"/>
          <w:numId w:val="58"/>
        </w:numPr>
        <w:spacing w:after="0" w:line="240" w:lineRule="auto"/>
        <w:rPr>
          <w:b/>
        </w:rPr>
      </w:pPr>
      <w:r>
        <w:rPr>
          <w:sz w:val="24"/>
          <w:szCs w:val="24"/>
        </w:rPr>
        <w:t xml:space="preserve">                                          </w:t>
      </w:r>
      <w:r w:rsidRPr="004C6A15">
        <w:rPr>
          <w:sz w:val="24"/>
          <w:szCs w:val="24"/>
        </w:rPr>
        <w:t xml:space="preserve"> (piaţa internă şi piaţa externă</w:t>
      </w:r>
      <w:r w:rsidRPr="004C6A15">
        <w:t xml:space="preserve">) </w:t>
      </w:r>
    </w:p>
    <w:p w:rsidR="00A107ED" w:rsidRPr="0053011E" w:rsidRDefault="00A107ED" w:rsidP="005E6B2E">
      <w:pPr>
        <w:pStyle w:val="BodyText"/>
        <w:numPr>
          <w:ilvl w:val="0"/>
          <w:numId w:val="58"/>
        </w:numPr>
        <w:spacing w:after="0" w:line="240" w:lineRule="auto"/>
        <w:jc w:val="both"/>
      </w:pPr>
    </w:p>
    <w:tbl>
      <w:tblPr>
        <w:tblW w:w="0" w:type="auto"/>
        <w:jc w:val="center"/>
        <w:tblInd w:w="-10" w:type="dxa"/>
        <w:tblLayout w:type="fixed"/>
        <w:tblCellMar>
          <w:left w:w="0" w:type="dxa"/>
          <w:right w:w="0" w:type="dxa"/>
        </w:tblCellMar>
        <w:tblLook w:val="0000"/>
      </w:tblPr>
      <w:tblGrid>
        <w:gridCol w:w="851"/>
        <w:gridCol w:w="851"/>
        <w:gridCol w:w="851"/>
        <w:gridCol w:w="851"/>
        <w:gridCol w:w="851"/>
        <w:gridCol w:w="851"/>
        <w:gridCol w:w="851"/>
        <w:gridCol w:w="851"/>
        <w:gridCol w:w="851"/>
      </w:tblGrid>
      <w:tr w:rsidR="00A107ED" w:rsidRPr="00EA38C1" w:rsidTr="00D0386E">
        <w:trPr>
          <w:cantSplit/>
          <w:trHeight w:val="261"/>
          <w:jc w:val="center"/>
        </w:trPr>
        <w:tc>
          <w:tcPr>
            <w:tcW w:w="851" w:type="dxa"/>
            <w:gridSpan w:val="9"/>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eastAsia="Arial Unicode MS" w:hAnsi="Arial" w:cs="Arial"/>
                <w:b/>
              </w:rPr>
              <w:t>2014</w:t>
            </w:r>
            <w:r w:rsidRPr="00EA38C1">
              <w:rPr>
                <w:rFonts w:ascii="Arial" w:hAnsi="Arial" w:cs="Arial"/>
              </w:rPr>
              <w:t>(%</w:t>
            </w:r>
            <w:r>
              <w:rPr>
                <w:rFonts w:ascii="Arial" w:hAnsi="Arial" w:cs="Arial"/>
              </w:rPr>
              <w:t>)</w:t>
            </w:r>
          </w:p>
        </w:tc>
      </w:tr>
      <w:tr w:rsidR="00A107ED" w:rsidRPr="00EA38C1" w:rsidTr="00D0386E">
        <w:trPr>
          <w:cantSplit/>
          <w:trHeight w:val="567"/>
          <w:jc w:val="center"/>
        </w:trPr>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apr.</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mai</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iun.</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iul.</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aug.</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sep.</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oct.</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rPr>
            </w:pPr>
            <w:r w:rsidRPr="00EA38C1">
              <w:rPr>
                <w:rFonts w:ascii="Arial" w:hAnsi="Arial" w:cs="Arial"/>
                <w:b/>
              </w:rPr>
              <w:t>nov.</w:t>
            </w:r>
          </w:p>
        </w:tc>
        <w:tc>
          <w:tcPr>
            <w:tcW w:w="851" w:type="dxa"/>
            <w:tcBorders>
              <w:top w:val="nil"/>
              <w:left w:val="single" w:sz="8" w:space="0" w:color="auto"/>
              <w:bottom w:val="single" w:sz="8" w:space="0" w:color="auto"/>
              <w:right w:val="single" w:sz="8" w:space="0" w:color="auto"/>
            </w:tcBorders>
            <w:shd w:val="clear" w:color="auto" w:fill="FBD4B4" w:themeFill="accent6" w:themeFillTint="66"/>
            <w:vAlign w:val="center"/>
          </w:tcPr>
          <w:p w:rsidR="00A107ED" w:rsidRPr="00EA38C1" w:rsidRDefault="00A107ED" w:rsidP="00D0386E">
            <w:pPr>
              <w:jc w:val="center"/>
              <w:rPr>
                <w:rFonts w:ascii="Arial" w:eastAsia="Arial Unicode MS" w:hAnsi="Arial" w:cs="Arial"/>
                <w:b/>
                <w:caps/>
                <w:vertAlign w:val="superscript"/>
              </w:rPr>
            </w:pPr>
            <w:r w:rsidRPr="00EA38C1">
              <w:rPr>
                <w:rFonts w:ascii="Arial" w:hAnsi="Arial" w:cs="Arial"/>
                <w:b/>
              </w:rPr>
              <w:t>dec.</w:t>
            </w:r>
          </w:p>
        </w:tc>
      </w:tr>
      <w:tr w:rsidR="00A107ED" w:rsidRPr="00EA38C1" w:rsidTr="00D0386E">
        <w:trPr>
          <w:cantSplit/>
          <w:trHeight w:val="567"/>
          <w:jc w:val="center"/>
        </w:trPr>
        <w:tc>
          <w:tcPr>
            <w:tcW w:w="851" w:type="dxa"/>
            <w:tcBorders>
              <w:top w:val="single" w:sz="8" w:space="0" w:color="auto"/>
              <w:left w:val="single" w:sz="8"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174,9</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109,4</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105,5</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76,6</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94,5</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102,7</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63,0</w:t>
            </w:r>
          </w:p>
        </w:tc>
        <w:tc>
          <w:tcPr>
            <w:tcW w:w="851" w:type="dxa"/>
            <w:tcBorders>
              <w:top w:val="single" w:sz="8"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116,3</w:t>
            </w:r>
          </w:p>
        </w:tc>
        <w:tc>
          <w:tcPr>
            <w:tcW w:w="851" w:type="dxa"/>
            <w:tcBorders>
              <w:top w:val="single" w:sz="8" w:space="0" w:color="auto"/>
              <w:left w:val="dotted" w:sz="4" w:space="0" w:color="auto"/>
              <w:bottom w:val="single" w:sz="8" w:space="0" w:color="auto"/>
              <w:right w:val="single" w:sz="8" w:space="0" w:color="auto"/>
            </w:tcBorders>
            <w:shd w:val="clear" w:color="auto" w:fill="FDE9D9" w:themeFill="accent6" w:themeFillTint="33"/>
            <w:vAlign w:val="center"/>
          </w:tcPr>
          <w:p w:rsidR="00A107ED" w:rsidRPr="00EA38C1" w:rsidRDefault="00A107ED" w:rsidP="00D0386E">
            <w:pPr>
              <w:jc w:val="center"/>
              <w:rPr>
                <w:rFonts w:ascii="Arial" w:eastAsia="Arial Unicode MS" w:hAnsi="Arial" w:cs="Arial"/>
              </w:rPr>
            </w:pPr>
            <w:r w:rsidRPr="00EA38C1">
              <w:rPr>
                <w:rFonts w:ascii="Arial" w:eastAsia="Arial Unicode MS" w:hAnsi="Arial" w:cs="Arial"/>
              </w:rPr>
              <w:t>97,8</w:t>
            </w:r>
          </w:p>
        </w:tc>
      </w:tr>
    </w:tbl>
    <w:p w:rsidR="00A107ED" w:rsidRPr="001F2F0D" w:rsidRDefault="00A107ED" w:rsidP="005E6B2E">
      <w:pPr>
        <w:pStyle w:val="Heading2"/>
        <w:keepLines/>
        <w:numPr>
          <w:ilvl w:val="0"/>
          <w:numId w:val="58"/>
        </w:numPr>
        <w:spacing w:before="200" w:after="0" w:line="276" w:lineRule="auto"/>
        <w:rPr>
          <w:rStyle w:val="Strong"/>
          <w:rFonts w:ascii="Arial Narrow" w:hAnsi="Arial Narrow"/>
          <w:color w:val="4F81BD"/>
          <w:sz w:val="4"/>
          <w:szCs w:val="4"/>
          <w:vertAlign w:val="superscript"/>
        </w:rPr>
      </w:pPr>
    </w:p>
    <w:p w:rsidR="00A107ED" w:rsidRPr="003A6BD3" w:rsidRDefault="00A107ED" w:rsidP="005E6B2E">
      <w:pPr>
        <w:pStyle w:val="ListParagraph"/>
        <w:numPr>
          <w:ilvl w:val="0"/>
          <w:numId w:val="58"/>
        </w:numPr>
        <w:rPr>
          <w:rFonts w:ascii="Arial" w:hAnsi="Arial" w:cs="Arial"/>
          <w:b/>
        </w:rPr>
      </w:pPr>
      <w:r w:rsidRPr="003A6BD3">
        <w:rPr>
          <w:rFonts w:ascii="Arial" w:hAnsi="Arial" w:cs="Arial"/>
          <w:b/>
        </w:rPr>
        <w:t>Comerțul</w:t>
      </w:r>
    </w:p>
    <w:p w:rsidR="00A107ED" w:rsidRPr="00EA38C1" w:rsidRDefault="00A107ED" w:rsidP="005E6B2E">
      <w:pPr>
        <w:pStyle w:val="ListParagraph"/>
        <w:numPr>
          <w:ilvl w:val="0"/>
          <w:numId w:val="58"/>
        </w:numPr>
        <w:tabs>
          <w:tab w:val="left" w:pos="7641"/>
          <w:tab w:val="left" w:pos="8479"/>
        </w:tabs>
        <w:rPr>
          <w:rFonts w:ascii="Arial" w:hAnsi="Arial" w:cs="Arial"/>
        </w:rPr>
      </w:pPr>
    </w:p>
    <w:p w:rsidR="00A107ED" w:rsidRDefault="00A107ED" w:rsidP="005E6B2E">
      <w:pPr>
        <w:pStyle w:val="ListParagraph"/>
        <w:numPr>
          <w:ilvl w:val="0"/>
          <w:numId w:val="58"/>
        </w:numPr>
        <w:rPr>
          <w:rFonts w:ascii="Arial" w:hAnsi="Arial" w:cs="Arial"/>
          <w:b/>
        </w:rPr>
      </w:pPr>
      <w:r w:rsidRPr="004C6A15">
        <w:rPr>
          <w:rFonts w:ascii="Arial" w:hAnsi="Arial"/>
          <w:b/>
        </w:rPr>
        <w:t>Tabelul nr. XI.2.</w:t>
      </w:r>
      <w:r>
        <w:rPr>
          <w:rFonts w:ascii="Arial" w:hAnsi="Arial"/>
          <w:b/>
        </w:rPr>
        <w:t xml:space="preserve"> </w:t>
      </w:r>
      <w:r w:rsidRPr="004C6A15">
        <w:rPr>
          <w:b/>
        </w:rPr>
        <w:t>-</w:t>
      </w:r>
      <w:r>
        <w:rPr>
          <w:rFonts w:ascii="Arial" w:hAnsi="Arial"/>
          <w:b/>
        </w:rPr>
        <w:t xml:space="preserve"> 3</w:t>
      </w:r>
      <w:r w:rsidRPr="0053011E">
        <w:t xml:space="preserve"> </w:t>
      </w:r>
      <w:r w:rsidRPr="00EA38C1">
        <w:rPr>
          <w:rFonts w:ascii="Arial" w:hAnsi="Arial" w:cs="Arial"/>
          <w:b/>
        </w:rPr>
        <w:t xml:space="preserve"> </w:t>
      </w:r>
      <w:r>
        <w:rPr>
          <w:rFonts w:ascii="Arial" w:hAnsi="Arial" w:cs="Arial"/>
          <w:b/>
        </w:rPr>
        <w:t>C</w:t>
      </w:r>
      <w:r w:rsidRPr="00EA38C1">
        <w:rPr>
          <w:rFonts w:ascii="Arial" w:hAnsi="Arial" w:cs="Arial"/>
          <w:b/>
        </w:rPr>
        <w:t>omerţul internaţional cu bunuri</w:t>
      </w:r>
      <w:r>
        <w:rPr>
          <w:rFonts w:ascii="Arial" w:hAnsi="Arial" w:cs="Arial"/>
          <w:b/>
        </w:rPr>
        <w:t xml:space="preserve"> </w:t>
      </w:r>
    </w:p>
    <w:p w:rsidR="00A107ED" w:rsidRPr="00EA38C1" w:rsidRDefault="00A107ED" w:rsidP="005E6B2E">
      <w:pPr>
        <w:pStyle w:val="ListParagraph"/>
        <w:numPr>
          <w:ilvl w:val="0"/>
          <w:numId w:val="58"/>
        </w:numPr>
        <w:spacing w:after="200" w:line="276" w:lineRule="auto"/>
        <w:rPr>
          <w:rFonts w:ascii="Arial" w:hAnsi="Arial" w:cs="Arial"/>
          <w:b/>
        </w:rPr>
      </w:pPr>
    </w:p>
    <w:tbl>
      <w:tblPr>
        <w:tblW w:w="9654" w:type="dxa"/>
        <w:tblInd w:w="-5" w:type="dxa"/>
        <w:tblLayout w:type="fixed"/>
        <w:tblCellMar>
          <w:left w:w="0" w:type="dxa"/>
          <w:right w:w="0" w:type="dxa"/>
        </w:tblCellMar>
        <w:tblLook w:val="0000"/>
      </w:tblPr>
      <w:tblGrid>
        <w:gridCol w:w="1008"/>
        <w:gridCol w:w="850"/>
        <w:gridCol w:w="851"/>
        <w:gridCol w:w="850"/>
        <w:gridCol w:w="851"/>
        <w:gridCol w:w="708"/>
        <w:gridCol w:w="851"/>
        <w:gridCol w:w="709"/>
        <w:gridCol w:w="850"/>
        <w:gridCol w:w="709"/>
        <w:gridCol w:w="709"/>
        <w:gridCol w:w="708"/>
      </w:tblGrid>
      <w:tr w:rsidR="00A107ED" w:rsidRPr="00B169C3" w:rsidTr="00D0386E">
        <w:trPr>
          <w:cantSplit/>
          <w:trHeight w:val="272"/>
        </w:trPr>
        <w:tc>
          <w:tcPr>
            <w:tcW w:w="1008" w:type="dxa"/>
            <w:vMerge w:val="restart"/>
            <w:tcBorders>
              <w:top w:val="single" w:sz="18" w:space="0" w:color="auto"/>
              <w:left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rPr>
            </w:pPr>
            <w:r>
              <w:rPr>
                <w:rFonts w:ascii="Arial" w:eastAsia="Arial Unicode MS" w:hAnsi="Arial" w:cs="Arial"/>
                <w:b/>
              </w:rPr>
              <w:t>Jud. Brăila</w:t>
            </w:r>
          </w:p>
        </w:tc>
        <w:tc>
          <w:tcPr>
            <w:tcW w:w="8646" w:type="dxa"/>
            <w:gridSpan w:val="11"/>
            <w:tcBorders>
              <w:top w:val="single" w:sz="18" w:space="0" w:color="auto"/>
              <w:left w:val="nil"/>
              <w:bottom w:val="single" w:sz="8" w:space="0" w:color="auto"/>
              <w:right w:val="single" w:sz="8" w:space="0" w:color="auto"/>
            </w:tcBorders>
            <w:shd w:val="clear" w:color="auto" w:fill="FBD4B4" w:themeFill="accent6" w:themeFillTint="66"/>
            <w:vAlign w:val="center"/>
          </w:tcPr>
          <w:p w:rsidR="00A107ED" w:rsidRPr="00884601" w:rsidRDefault="00A107ED" w:rsidP="00D0386E">
            <w:pPr>
              <w:pStyle w:val="ListParagraph"/>
              <w:jc w:val="center"/>
              <w:rPr>
                <w:rFonts w:ascii="Arial" w:eastAsia="Calibri" w:hAnsi="Arial" w:cs="Arial"/>
              </w:rPr>
            </w:pPr>
            <w:r w:rsidRPr="00B169C3">
              <w:rPr>
                <w:rFonts w:ascii="Arial" w:eastAsia="Arial Unicode MS" w:hAnsi="Arial" w:cs="Arial"/>
                <w:b/>
              </w:rPr>
              <w:t>2014 (</w:t>
            </w:r>
            <w:r w:rsidRPr="00B169C3">
              <w:rPr>
                <w:rFonts w:ascii="Arial" w:hAnsi="Arial" w:cs="Arial"/>
              </w:rPr>
              <w:t>mii euro)</w:t>
            </w:r>
          </w:p>
        </w:tc>
      </w:tr>
      <w:tr w:rsidR="00A107ED" w:rsidRPr="00B169C3" w:rsidTr="00D0386E">
        <w:trPr>
          <w:cantSplit/>
          <w:trHeight w:val="301"/>
        </w:trPr>
        <w:tc>
          <w:tcPr>
            <w:tcW w:w="1008" w:type="dxa"/>
            <w:vMerge/>
            <w:tcBorders>
              <w:left w:val="single" w:sz="8"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rPr>
            </w:pPr>
          </w:p>
        </w:tc>
        <w:tc>
          <w:tcPr>
            <w:tcW w:w="850"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feb.</w:t>
            </w:r>
          </w:p>
        </w:tc>
        <w:tc>
          <w:tcPr>
            <w:tcW w:w="851"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mar.</w:t>
            </w:r>
          </w:p>
        </w:tc>
        <w:tc>
          <w:tcPr>
            <w:tcW w:w="850"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apr.</w:t>
            </w:r>
          </w:p>
        </w:tc>
        <w:tc>
          <w:tcPr>
            <w:tcW w:w="851"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mai</w:t>
            </w:r>
          </w:p>
        </w:tc>
        <w:tc>
          <w:tcPr>
            <w:tcW w:w="708"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iun.</w:t>
            </w:r>
          </w:p>
        </w:tc>
        <w:tc>
          <w:tcPr>
            <w:tcW w:w="851"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iul.</w:t>
            </w:r>
          </w:p>
        </w:tc>
        <w:tc>
          <w:tcPr>
            <w:tcW w:w="709"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aug.</w:t>
            </w:r>
          </w:p>
        </w:tc>
        <w:tc>
          <w:tcPr>
            <w:tcW w:w="850"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sep.</w:t>
            </w:r>
          </w:p>
        </w:tc>
        <w:tc>
          <w:tcPr>
            <w:tcW w:w="709"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oct.</w:t>
            </w:r>
          </w:p>
        </w:tc>
        <w:tc>
          <w:tcPr>
            <w:tcW w:w="709"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rPr>
            </w:pPr>
            <w:r w:rsidRPr="00B169C3">
              <w:rPr>
                <w:rFonts w:ascii="Arial" w:eastAsia="Arial Unicode MS" w:hAnsi="Arial" w:cs="Arial"/>
                <w:b/>
              </w:rPr>
              <w:t>nov.</w:t>
            </w:r>
          </w:p>
        </w:tc>
        <w:tc>
          <w:tcPr>
            <w:tcW w:w="708" w:type="dxa"/>
            <w:tcBorders>
              <w:top w:val="single" w:sz="8" w:space="0" w:color="auto"/>
              <w:left w:val="single" w:sz="4" w:space="0" w:color="auto"/>
              <w:bottom w:val="single" w:sz="8" w:space="0" w:color="auto"/>
              <w:right w:val="single" w:sz="8" w:space="0" w:color="auto"/>
            </w:tcBorders>
            <w:shd w:val="clear" w:color="auto" w:fill="FBD4B4" w:themeFill="accent6" w:themeFillTint="66"/>
            <w:vAlign w:val="center"/>
          </w:tcPr>
          <w:p w:rsidR="00A107ED" w:rsidRPr="00B169C3" w:rsidRDefault="00A107ED" w:rsidP="00D0386E">
            <w:pPr>
              <w:jc w:val="center"/>
              <w:rPr>
                <w:rFonts w:ascii="Arial" w:eastAsia="Arial Unicode MS" w:hAnsi="Arial" w:cs="Arial"/>
                <w:b/>
                <w:vertAlign w:val="superscript"/>
              </w:rPr>
            </w:pPr>
            <w:r w:rsidRPr="00B169C3">
              <w:rPr>
                <w:rFonts w:ascii="Arial" w:eastAsia="Arial Unicode MS" w:hAnsi="Arial" w:cs="Arial"/>
                <w:b/>
              </w:rPr>
              <w:t>dec.</w:t>
            </w:r>
          </w:p>
        </w:tc>
      </w:tr>
      <w:tr w:rsidR="00A107ED" w:rsidRPr="00B169C3" w:rsidTr="00D0386E">
        <w:trPr>
          <w:cantSplit/>
          <w:trHeight w:val="272"/>
        </w:trPr>
        <w:tc>
          <w:tcPr>
            <w:tcW w:w="1008" w:type="dxa"/>
            <w:tcBorders>
              <w:top w:val="single" w:sz="8" w:space="0" w:color="auto"/>
              <w:left w:val="single" w:sz="8" w:space="0" w:color="auto"/>
              <w:bottom w:val="dotted" w:sz="4" w:space="0" w:color="auto"/>
              <w:right w:val="single" w:sz="8" w:space="0" w:color="auto"/>
            </w:tcBorders>
            <w:shd w:val="clear" w:color="auto" w:fill="FDE9D9" w:themeFill="accent6" w:themeFillTint="33"/>
            <w:vAlign w:val="center"/>
          </w:tcPr>
          <w:p w:rsidR="00A107ED" w:rsidRPr="00E8632B" w:rsidRDefault="00A107ED" w:rsidP="00D0386E">
            <w:pPr>
              <w:pStyle w:val="Heading5"/>
              <w:spacing w:before="0"/>
              <w:ind w:left="57"/>
              <w:rPr>
                <w:rFonts w:ascii="Arial" w:eastAsia="Arial Unicode MS" w:hAnsi="Arial" w:cs="Arial"/>
              </w:rPr>
            </w:pPr>
            <w:r w:rsidRPr="00E8632B">
              <w:rPr>
                <w:rFonts w:ascii="Arial" w:hAnsi="Arial" w:cs="Arial"/>
              </w:rPr>
              <w:t>Total exporturi FOB</w:t>
            </w:r>
          </w:p>
        </w:tc>
        <w:tc>
          <w:tcPr>
            <w:tcW w:w="850" w:type="dxa"/>
            <w:tcBorders>
              <w:top w:val="single" w:sz="8" w:space="0" w:color="auto"/>
              <w:left w:val="nil"/>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14676</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17492</w:t>
            </w:r>
          </w:p>
        </w:tc>
        <w:tc>
          <w:tcPr>
            <w:tcW w:w="850"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58813</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14675</w:t>
            </w:r>
          </w:p>
        </w:tc>
        <w:tc>
          <w:tcPr>
            <w:tcW w:w="708"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4E468C">
            <w:pPr>
              <w:jc w:val="center"/>
              <w:rPr>
                <w:rFonts w:ascii="Arial" w:hAnsi="Arial" w:cs="Arial"/>
              </w:rPr>
            </w:pPr>
            <w:r w:rsidRPr="00E8632B">
              <w:rPr>
                <w:rFonts w:ascii="Arial" w:hAnsi="Arial" w:cs="Arial"/>
              </w:rPr>
              <w:t>12567</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43939</w:t>
            </w:r>
          </w:p>
        </w:tc>
        <w:tc>
          <w:tcPr>
            <w:tcW w:w="709"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16286</w:t>
            </w:r>
          </w:p>
        </w:tc>
        <w:tc>
          <w:tcPr>
            <w:tcW w:w="850"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35237</w:t>
            </w:r>
          </w:p>
        </w:tc>
        <w:tc>
          <w:tcPr>
            <w:tcW w:w="709"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22402</w:t>
            </w:r>
          </w:p>
        </w:tc>
        <w:tc>
          <w:tcPr>
            <w:tcW w:w="709"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17686</w:t>
            </w:r>
          </w:p>
        </w:tc>
        <w:tc>
          <w:tcPr>
            <w:tcW w:w="708" w:type="dxa"/>
            <w:tcBorders>
              <w:top w:val="single" w:sz="8" w:space="0" w:color="auto"/>
              <w:left w:val="dotted" w:sz="4" w:space="0" w:color="auto"/>
              <w:bottom w:val="dotted" w:sz="4" w:space="0" w:color="auto"/>
              <w:right w:val="single" w:sz="8"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25331</w:t>
            </w:r>
          </w:p>
        </w:tc>
      </w:tr>
      <w:tr w:rsidR="00A107ED" w:rsidRPr="00B169C3" w:rsidTr="00D0386E">
        <w:trPr>
          <w:cantSplit/>
          <w:trHeight w:val="272"/>
        </w:trPr>
        <w:tc>
          <w:tcPr>
            <w:tcW w:w="1008" w:type="dxa"/>
            <w:tcBorders>
              <w:top w:val="dotted" w:sz="4" w:space="0" w:color="auto"/>
              <w:left w:val="single" w:sz="8" w:space="0" w:color="auto"/>
              <w:bottom w:val="dotted" w:sz="4" w:space="0" w:color="auto"/>
              <w:right w:val="single" w:sz="8" w:space="0" w:color="auto"/>
            </w:tcBorders>
            <w:shd w:val="clear" w:color="auto" w:fill="FDE9D9" w:themeFill="accent6" w:themeFillTint="33"/>
            <w:vAlign w:val="center"/>
          </w:tcPr>
          <w:p w:rsidR="00A107ED" w:rsidRPr="00E8632B" w:rsidRDefault="00A107ED" w:rsidP="00D0386E">
            <w:pPr>
              <w:pStyle w:val="Heading5"/>
              <w:spacing w:before="0"/>
              <w:ind w:left="57"/>
              <w:rPr>
                <w:rFonts w:ascii="Arial" w:hAnsi="Arial" w:cs="Arial"/>
              </w:rPr>
            </w:pPr>
            <w:r w:rsidRPr="00E8632B">
              <w:rPr>
                <w:rFonts w:ascii="Arial" w:hAnsi="Arial" w:cs="Arial"/>
              </w:rPr>
              <w:t>Total importuri CIF</w:t>
            </w:r>
          </w:p>
        </w:tc>
        <w:tc>
          <w:tcPr>
            <w:tcW w:w="850" w:type="dxa"/>
            <w:tcBorders>
              <w:top w:val="dotted" w:sz="4" w:space="0" w:color="auto"/>
              <w:left w:val="nil"/>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14272</w:t>
            </w:r>
          </w:p>
        </w:tc>
        <w:tc>
          <w:tcPr>
            <w:tcW w:w="851"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17789</w:t>
            </w:r>
          </w:p>
        </w:tc>
        <w:tc>
          <w:tcPr>
            <w:tcW w:w="850"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20255</w:t>
            </w:r>
          </w:p>
        </w:tc>
        <w:tc>
          <w:tcPr>
            <w:tcW w:w="851"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23350</w:t>
            </w:r>
          </w:p>
        </w:tc>
        <w:tc>
          <w:tcPr>
            <w:tcW w:w="708"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17022</w:t>
            </w:r>
          </w:p>
        </w:tc>
        <w:tc>
          <w:tcPr>
            <w:tcW w:w="851"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15910</w:t>
            </w:r>
          </w:p>
        </w:tc>
        <w:tc>
          <w:tcPr>
            <w:tcW w:w="709"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10891</w:t>
            </w:r>
          </w:p>
        </w:tc>
        <w:tc>
          <w:tcPr>
            <w:tcW w:w="850"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14866</w:t>
            </w:r>
          </w:p>
        </w:tc>
        <w:tc>
          <w:tcPr>
            <w:tcW w:w="709"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18325</w:t>
            </w:r>
          </w:p>
        </w:tc>
        <w:tc>
          <w:tcPr>
            <w:tcW w:w="709" w:type="dxa"/>
            <w:tcBorders>
              <w:top w:val="dotted" w:sz="4"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15543</w:t>
            </w:r>
          </w:p>
        </w:tc>
        <w:tc>
          <w:tcPr>
            <w:tcW w:w="708" w:type="dxa"/>
            <w:tcBorders>
              <w:top w:val="dotted" w:sz="4" w:space="0" w:color="auto"/>
              <w:left w:val="dotted" w:sz="4" w:space="0" w:color="auto"/>
              <w:bottom w:val="dotted" w:sz="4" w:space="0" w:color="auto"/>
              <w:right w:val="single" w:sz="8"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17855</w:t>
            </w:r>
          </w:p>
        </w:tc>
      </w:tr>
      <w:tr w:rsidR="00A107ED" w:rsidRPr="00B169C3" w:rsidTr="00D0386E">
        <w:trPr>
          <w:cantSplit/>
          <w:trHeight w:val="272"/>
        </w:trPr>
        <w:tc>
          <w:tcPr>
            <w:tcW w:w="1008" w:type="dxa"/>
            <w:tcBorders>
              <w:top w:val="dotted" w:sz="4" w:space="0" w:color="auto"/>
              <w:left w:val="single" w:sz="8" w:space="0" w:color="auto"/>
              <w:bottom w:val="single" w:sz="8" w:space="0" w:color="auto"/>
              <w:right w:val="single" w:sz="8" w:space="0" w:color="auto"/>
            </w:tcBorders>
            <w:shd w:val="clear" w:color="auto" w:fill="FDE9D9" w:themeFill="accent6" w:themeFillTint="33"/>
            <w:vAlign w:val="center"/>
          </w:tcPr>
          <w:p w:rsidR="00A107ED" w:rsidRPr="00E8632B" w:rsidRDefault="00A107ED" w:rsidP="00D0386E">
            <w:pPr>
              <w:pStyle w:val="Heading5"/>
              <w:spacing w:before="0"/>
              <w:ind w:left="57"/>
              <w:rPr>
                <w:rFonts w:ascii="Arial" w:eastAsia="Arial Unicode MS" w:hAnsi="Arial" w:cs="Arial"/>
              </w:rPr>
            </w:pPr>
            <w:r w:rsidRPr="00E8632B">
              <w:rPr>
                <w:rFonts w:ascii="Arial" w:eastAsia="Arial Unicode MS" w:hAnsi="Arial" w:cs="Arial"/>
              </w:rPr>
              <w:t>Sold FOB/CIF</w:t>
            </w:r>
          </w:p>
        </w:tc>
        <w:tc>
          <w:tcPr>
            <w:tcW w:w="850" w:type="dxa"/>
            <w:tcBorders>
              <w:top w:val="dotted" w:sz="4" w:space="0" w:color="auto"/>
              <w:left w:val="nil"/>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+404</w:t>
            </w:r>
          </w:p>
        </w:tc>
        <w:tc>
          <w:tcPr>
            <w:tcW w:w="851"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-297</w:t>
            </w:r>
          </w:p>
        </w:tc>
        <w:tc>
          <w:tcPr>
            <w:tcW w:w="850"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+38558</w:t>
            </w:r>
          </w:p>
        </w:tc>
        <w:tc>
          <w:tcPr>
            <w:tcW w:w="851"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-8675</w:t>
            </w:r>
          </w:p>
        </w:tc>
        <w:tc>
          <w:tcPr>
            <w:tcW w:w="708"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-4455</w:t>
            </w:r>
          </w:p>
        </w:tc>
        <w:tc>
          <w:tcPr>
            <w:tcW w:w="851"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+28029</w:t>
            </w:r>
          </w:p>
        </w:tc>
        <w:tc>
          <w:tcPr>
            <w:tcW w:w="709"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+5395</w:t>
            </w:r>
          </w:p>
        </w:tc>
        <w:tc>
          <w:tcPr>
            <w:tcW w:w="850"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+20371</w:t>
            </w:r>
          </w:p>
        </w:tc>
        <w:tc>
          <w:tcPr>
            <w:tcW w:w="709"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+4077</w:t>
            </w:r>
          </w:p>
        </w:tc>
        <w:tc>
          <w:tcPr>
            <w:tcW w:w="709" w:type="dxa"/>
            <w:tcBorders>
              <w:top w:val="dotted" w:sz="4" w:space="0" w:color="auto"/>
              <w:left w:val="dotted" w:sz="4" w:space="0" w:color="auto"/>
              <w:bottom w:val="single" w:sz="8" w:space="0" w:color="auto"/>
              <w:right w:val="dotted" w:sz="4"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+2143</w:t>
            </w:r>
          </w:p>
        </w:tc>
        <w:tc>
          <w:tcPr>
            <w:tcW w:w="708" w:type="dxa"/>
            <w:tcBorders>
              <w:top w:val="dotted" w:sz="4" w:space="0" w:color="auto"/>
              <w:left w:val="dotted" w:sz="4" w:space="0" w:color="auto"/>
              <w:bottom w:val="single" w:sz="8" w:space="0" w:color="auto"/>
              <w:right w:val="single" w:sz="8" w:space="0" w:color="auto"/>
            </w:tcBorders>
            <w:shd w:val="clear" w:color="auto" w:fill="FDE9D9" w:themeFill="accent6" w:themeFillTint="33"/>
            <w:vAlign w:val="center"/>
          </w:tcPr>
          <w:p w:rsidR="00A107ED" w:rsidRPr="00E8632B" w:rsidRDefault="00A107ED" w:rsidP="00D0386E">
            <w:pPr>
              <w:jc w:val="right"/>
              <w:rPr>
                <w:rFonts w:ascii="Arial" w:hAnsi="Arial" w:cs="Arial"/>
              </w:rPr>
            </w:pPr>
            <w:r w:rsidRPr="00E8632B">
              <w:rPr>
                <w:rFonts w:ascii="Arial" w:hAnsi="Arial" w:cs="Arial"/>
              </w:rPr>
              <w:t>+7476</w:t>
            </w:r>
          </w:p>
        </w:tc>
      </w:tr>
    </w:tbl>
    <w:p w:rsidR="00A107ED" w:rsidRPr="00EA38C1" w:rsidRDefault="00A107ED" w:rsidP="005E6B2E">
      <w:pPr>
        <w:pStyle w:val="ListParagraph"/>
        <w:numPr>
          <w:ilvl w:val="0"/>
          <w:numId w:val="58"/>
        </w:numPr>
        <w:rPr>
          <w:rStyle w:val="Strong"/>
          <w:rFonts w:ascii="Arial" w:eastAsia="Calibri" w:hAnsi="Arial" w:cs="Arial"/>
          <w:vertAlign w:val="superscript"/>
        </w:rPr>
      </w:pPr>
    </w:p>
    <w:p w:rsidR="00A107ED" w:rsidRPr="00E8632B" w:rsidRDefault="00A107ED" w:rsidP="00A107ED">
      <w:pPr>
        <w:pStyle w:val="Heading2"/>
        <w:spacing w:before="0"/>
        <w:rPr>
          <w:rFonts w:ascii="Arial" w:hAnsi="Arial" w:cs="Arial"/>
          <w:sz w:val="24"/>
          <w:szCs w:val="24"/>
        </w:rPr>
      </w:pPr>
      <w:r>
        <w:rPr>
          <w:rFonts w:ascii="Arial" w:hAnsi="Arial" w:cs="Arial"/>
          <w:sz w:val="24"/>
          <w:szCs w:val="24"/>
        </w:rPr>
        <w:t>T</w:t>
      </w:r>
      <w:r w:rsidRPr="00E8632B">
        <w:rPr>
          <w:rFonts w:ascii="Arial" w:hAnsi="Arial" w:cs="Arial"/>
          <w:sz w:val="24"/>
          <w:szCs w:val="24"/>
        </w:rPr>
        <w:t>urism</w:t>
      </w:r>
      <w:r>
        <w:rPr>
          <w:rFonts w:ascii="Arial" w:hAnsi="Arial" w:cs="Arial"/>
          <w:sz w:val="24"/>
          <w:szCs w:val="24"/>
        </w:rPr>
        <w:t>ul</w:t>
      </w:r>
    </w:p>
    <w:p w:rsidR="00A107ED" w:rsidRPr="00EA38C1" w:rsidRDefault="00A107ED" w:rsidP="005E6B2E">
      <w:pPr>
        <w:pStyle w:val="ListParagraph"/>
        <w:numPr>
          <w:ilvl w:val="0"/>
          <w:numId w:val="58"/>
        </w:numPr>
        <w:rPr>
          <w:rFonts w:ascii="Arial" w:hAnsi="Arial" w:cs="Arial"/>
        </w:rPr>
      </w:pPr>
    </w:p>
    <w:p w:rsidR="00A107ED" w:rsidRPr="00EA38C1" w:rsidRDefault="00A107ED" w:rsidP="005E6B2E">
      <w:pPr>
        <w:pStyle w:val="ListParagraph"/>
        <w:numPr>
          <w:ilvl w:val="0"/>
          <w:numId w:val="58"/>
        </w:numPr>
        <w:rPr>
          <w:rFonts w:ascii="Arial" w:hAnsi="Arial" w:cs="Arial"/>
        </w:rPr>
      </w:pPr>
      <w:r w:rsidRPr="004C6A15">
        <w:rPr>
          <w:rFonts w:ascii="Arial" w:hAnsi="Arial"/>
          <w:b/>
        </w:rPr>
        <w:t>Tabelul nr. XI.2.</w:t>
      </w:r>
      <w:r w:rsidRPr="004C6A15">
        <w:rPr>
          <w:b/>
        </w:rPr>
        <w:t>-</w:t>
      </w:r>
      <w:r>
        <w:rPr>
          <w:rFonts w:ascii="Arial" w:hAnsi="Arial"/>
          <w:b/>
        </w:rPr>
        <w:t xml:space="preserve"> </w:t>
      </w:r>
      <w:r w:rsidRPr="00EA38C1">
        <w:rPr>
          <w:rFonts w:ascii="Arial" w:hAnsi="Arial" w:cs="Arial"/>
          <w:b/>
        </w:rPr>
        <w:t xml:space="preserve"> 4 </w:t>
      </w:r>
      <w:r>
        <w:rPr>
          <w:rFonts w:ascii="Arial" w:hAnsi="Arial" w:cs="Arial"/>
          <w:b/>
        </w:rPr>
        <w:t>S</w:t>
      </w:r>
      <w:r w:rsidRPr="00EA38C1">
        <w:rPr>
          <w:rFonts w:ascii="Arial" w:hAnsi="Arial" w:cs="Arial"/>
          <w:b/>
        </w:rPr>
        <w:t xml:space="preserve">osiri în principalele structuri de primire turistică </w:t>
      </w:r>
    </w:p>
    <w:p w:rsidR="00A107ED" w:rsidRPr="00E8632B" w:rsidRDefault="00A107ED" w:rsidP="00A107ED">
      <w:pPr>
        <w:pStyle w:val="ListParagraph"/>
        <w:rPr>
          <w:rFonts w:ascii="Arial" w:hAnsi="Arial"/>
        </w:rPr>
      </w:pPr>
      <w:r>
        <w:rPr>
          <w:rFonts w:ascii="Arial" w:hAnsi="Arial"/>
        </w:rPr>
        <w:t xml:space="preserve">                                                                                             </w:t>
      </w:r>
      <w:r w:rsidRPr="00E8632B">
        <w:rPr>
          <w:rFonts w:ascii="Arial" w:hAnsi="Arial"/>
        </w:rPr>
        <w:t>număr</w:t>
      </w:r>
    </w:p>
    <w:tbl>
      <w:tblPr>
        <w:tblW w:w="7922" w:type="dxa"/>
        <w:jc w:val="center"/>
        <w:tblInd w:w="-5" w:type="dxa"/>
        <w:tblLayout w:type="fixed"/>
        <w:tblCellMar>
          <w:left w:w="0" w:type="dxa"/>
          <w:right w:w="0" w:type="dxa"/>
        </w:tblCellMar>
        <w:tblLook w:val="0000"/>
      </w:tblPr>
      <w:tblGrid>
        <w:gridCol w:w="2096"/>
        <w:gridCol w:w="648"/>
        <w:gridCol w:w="648"/>
        <w:gridCol w:w="648"/>
        <w:gridCol w:w="647"/>
        <w:gridCol w:w="647"/>
        <w:gridCol w:w="647"/>
        <w:gridCol w:w="647"/>
        <w:gridCol w:w="647"/>
        <w:gridCol w:w="647"/>
      </w:tblGrid>
      <w:tr w:rsidR="00A107ED" w:rsidRPr="00E8632B" w:rsidTr="00D0386E">
        <w:trPr>
          <w:cantSplit/>
          <w:trHeight w:val="272"/>
          <w:jc w:val="center"/>
        </w:trPr>
        <w:tc>
          <w:tcPr>
            <w:tcW w:w="2783" w:type="dxa"/>
            <w:vMerge w:val="restart"/>
            <w:tcBorders>
              <w:top w:val="single" w:sz="1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p>
        </w:tc>
        <w:tc>
          <w:tcPr>
            <w:tcW w:w="851" w:type="dxa"/>
            <w:gridSpan w:val="9"/>
            <w:tcBorders>
              <w:top w:val="single" w:sz="1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2014</w:t>
            </w:r>
          </w:p>
        </w:tc>
      </w:tr>
      <w:tr w:rsidR="00A107ED" w:rsidRPr="00E8632B" w:rsidTr="00D0386E">
        <w:trPr>
          <w:cantSplit/>
          <w:trHeight w:val="325"/>
          <w:jc w:val="center"/>
        </w:trPr>
        <w:tc>
          <w:tcPr>
            <w:tcW w:w="2783" w:type="dxa"/>
            <w:vMerge/>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rPr>
                <w:rFonts w:ascii="Arial" w:eastAsia="Arial Unicode MS" w:hAnsi="Arial" w:cs="Arial"/>
                <w:b/>
              </w:rPr>
            </w:pP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hAnsi="Arial" w:cs="Arial"/>
                <w:b/>
              </w:rPr>
              <w:t>apr.</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hAnsi="Arial" w:cs="Arial"/>
                <w:b/>
              </w:rPr>
              <w:t>mai</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iun.</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iul.</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aug.</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sep.</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oct.</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nov.</w:t>
            </w:r>
          </w:p>
        </w:tc>
        <w:tc>
          <w:tcPr>
            <w:tcW w:w="851" w:type="dxa"/>
            <w:tcBorders>
              <w:top w:val="single" w:sz="8" w:space="0" w:color="auto"/>
              <w:left w:val="single" w:sz="8" w:space="0" w:color="auto"/>
              <w:bottom w:val="single" w:sz="8" w:space="0" w:color="auto"/>
              <w:right w:val="single" w:sz="8" w:space="0" w:color="auto"/>
            </w:tcBorders>
            <w:shd w:val="clear" w:color="auto" w:fill="FBD4B4" w:themeFill="accent6" w:themeFillTint="66"/>
            <w:vAlign w:val="center"/>
          </w:tcPr>
          <w:p w:rsidR="00A107ED" w:rsidRPr="00E8632B" w:rsidRDefault="00A107ED" w:rsidP="00D0386E">
            <w:pPr>
              <w:jc w:val="center"/>
              <w:rPr>
                <w:rFonts w:ascii="Arial" w:eastAsia="Arial Unicode MS" w:hAnsi="Arial" w:cs="Arial"/>
                <w:b/>
              </w:rPr>
            </w:pPr>
            <w:r w:rsidRPr="00E8632B">
              <w:rPr>
                <w:rFonts w:ascii="Arial" w:eastAsia="Arial Unicode MS" w:hAnsi="Arial" w:cs="Arial"/>
                <w:b/>
              </w:rPr>
              <w:t>dec.</w:t>
            </w:r>
          </w:p>
        </w:tc>
      </w:tr>
      <w:tr w:rsidR="00A107ED" w:rsidRPr="00E8632B" w:rsidTr="00D0386E">
        <w:trPr>
          <w:cantSplit/>
          <w:trHeight w:val="361"/>
          <w:jc w:val="center"/>
        </w:trPr>
        <w:tc>
          <w:tcPr>
            <w:tcW w:w="2783" w:type="dxa"/>
            <w:tcBorders>
              <w:top w:val="dotted" w:sz="4" w:space="0" w:color="auto"/>
              <w:left w:val="single" w:sz="8" w:space="0" w:color="auto"/>
              <w:bottom w:val="dotted" w:sz="4" w:space="0" w:color="auto"/>
              <w:right w:val="single" w:sz="8" w:space="0" w:color="auto"/>
            </w:tcBorders>
            <w:shd w:val="clear" w:color="auto" w:fill="FDE9D9" w:themeFill="accent6" w:themeFillTint="33"/>
            <w:vAlign w:val="center"/>
          </w:tcPr>
          <w:p w:rsidR="00A107ED" w:rsidRPr="00E8632B" w:rsidRDefault="00A107ED" w:rsidP="00D0386E">
            <w:pPr>
              <w:ind w:left="227"/>
              <w:rPr>
                <w:rFonts w:ascii="Arial" w:hAnsi="Arial" w:cs="Arial"/>
                <w:b/>
              </w:rPr>
            </w:pPr>
            <w:r w:rsidRPr="00E8632B">
              <w:rPr>
                <w:rFonts w:ascii="Arial" w:hAnsi="Arial" w:cs="Arial"/>
                <w:b/>
              </w:rPr>
              <w:t>Total judeţ</w:t>
            </w:r>
          </w:p>
        </w:tc>
        <w:tc>
          <w:tcPr>
            <w:tcW w:w="851" w:type="dxa"/>
            <w:tcBorders>
              <w:top w:val="single" w:sz="8" w:space="0" w:color="auto"/>
              <w:left w:val="single" w:sz="8"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3534</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4365</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5142</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7487</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6255</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5077</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5028</w:t>
            </w:r>
          </w:p>
        </w:tc>
        <w:tc>
          <w:tcPr>
            <w:tcW w:w="851" w:type="dxa"/>
            <w:tcBorders>
              <w:top w:val="single" w:sz="8" w:space="0" w:color="auto"/>
              <w:left w:val="dotted" w:sz="4" w:space="0" w:color="auto"/>
              <w:bottom w:val="dotted" w:sz="4" w:space="0" w:color="auto"/>
              <w:right w:val="dotted" w:sz="4"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4911</w:t>
            </w:r>
          </w:p>
        </w:tc>
        <w:tc>
          <w:tcPr>
            <w:tcW w:w="851" w:type="dxa"/>
            <w:tcBorders>
              <w:top w:val="single" w:sz="8" w:space="0" w:color="auto"/>
              <w:left w:val="dotted" w:sz="4" w:space="0" w:color="auto"/>
              <w:bottom w:val="dotted" w:sz="4" w:space="0" w:color="auto"/>
              <w:right w:val="single" w:sz="8" w:space="0" w:color="auto"/>
            </w:tcBorders>
            <w:shd w:val="clear" w:color="auto" w:fill="FDE9D9" w:themeFill="accent6" w:themeFillTint="33"/>
            <w:vAlign w:val="center"/>
          </w:tcPr>
          <w:p w:rsidR="00A107ED" w:rsidRPr="00E8632B" w:rsidRDefault="00A107ED" w:rsidP="00D0386E">
            <w:pPr>
              <w:ind w:right="57"/>
              <w:jc w:val="right"/>
              <w:rPr>
                <w:rFonts w:ascii="Arial" w:eastAsia="Arial Unicode MS" w:hAnsi="Arial" w:cs="Arial"/>
              </w:rPr>
            </w:pPr>
            <w:r w:rsidRPr="00E8632B">
              <w:rPr>
                <w:rFonts w:ascii="Arial" w:eastAsia="Arial Unicode MS" w:hAnsi="Arial" w:cs="Arial"/>
              </w:rPr>
              <w:t>4804</w:t>
            </w:r>
          </w:p>
        </w:tc>
      </w:tr>
    </w:tbl>
    <w:p w:rsidR="00A107ED" w:rsidRPr="007C6ABC" w:rsidRDefault="00A107ED" w:rsidP="005E6B2E">
      <w:pPr>
        <w:pStyle w:val="Default"/>
        <w:widowControl w:val="0"/>
        <w:numPr>
          <w:ilvl w:val="0"/>
          <w:numId w:val="58"/>
        </w:numPr>
        <w:rPr>
          <w:rFonts w:ascii="Arial" w:hAnsi="Arial" w:cs="Arial"/>
          <w:color w:val="auto"/>
          <w:highlight w:val="yellow"/>
        </w:rPr>
      </w:pPr>
    </w:p>
    <w:p w:rsidR="00A107ED" w:rsidRDefault="00A107ED" w:rsidP="005E6B2E">
      <w:pPr>
        <w:pStyle w:val="Default"/>
        <w:widowControl w:val="0"/>
        <w:numPr>
          <w:ilvl w:val="0"/>
          <w:numId w:val="58"/>
        </w:numPr>
        <w:rPr>
          <w:rFonts w:ascii="Arial" w:hAnsi="Arial" w:cs="Arial"/>
          <w:color w:val="auto"/>
        </w:rPr>
      </w:pPr>
      <w:r w:rsidRPr="00EA38C1">
        <w:rPr>
          <w:rFonts w:ascii="Arial" w:hAnsi="Arial" w:cs="Arial"/>
          <w:color w:val="auto"/>
        </w:rPr>
        <w:t xml:space="preserve"> </w:t>
      </w:r>
      <w:r w:rsidRPr="00EA38C1">
        <w:rPr>
          <w:rFonts w:ascii="Arial" w:hAnsi="Arial" w:cs="Arial"/>
          <w:b/>
          <w:color w:val="auto"/>
        </w:rPr>
        <w:t>Influenţele demografice</w:t>
      </w:r>
      <w:r w:rsidRPr="00EA38C1">
        <w:rPr>
          <w:rFonts w:ascii="Arial" w:hAnsi="Arial" w:cs="Arial"/>
          <w:color w:val="auto"/>
        </w:rPr>
        <w:t xml:space="preserve"> </w:t>
      </w:r>
    </w:p>
    <w:p w:rsidR="00A107ED" w:rsidRPr="00EA38C1" w:rsidRDefault="00A107ED" w:rsidP="005E6B2E">
      <w:pPr>
        <w:pStyle w:val="Default"/>
        <w:widowControl w:val="0"/>
        <w:numPr>
          <w:ilvl w:val="0"/>
          <w:numId w:val="58"/>
        </w:numPr>
        <w:rPr>
          <w:rFonts w:ascii="Arial" w:hAnsi="Arial" w:cs="Arial"/>
          <w:color w:val="auto"/>
        </w:rPr>
      </w:pPr>
    </w:p>
    <w:p w:rsidR="00A107ED" w:rsidRPr="007C6ABC" w:rsidRDefault="00A107ED" w:rsidP="005E6B2E">
      <w:pPr>
        <w:pStyle w:val="ListParagraph"/>
        <w:numPr>
          <w:ilvl w:val="0"/>
          <w:numId w:val="58"/>
        </w:numPr>
        <w:spacing w:after="200" w:line="276" w:lineRule="auto"/>
        <w:rPr>
          <w:rFonts w:ascii="Arial" w:hAnsi="Arial" w:cs="Arial"/>
          <w:b/>
          <w:bCs/>
          <w:iCs/>
          <w:u w:val="single"/>
        </w:rPr>
      </w:pPr>
      <w:r w:rsidRPr="007C6ABC">
        <w:rPr>
          <w:rFonts w:ascii="Arial" w:hAnsi="Arial" w:cs="Arial"/>
          <w:b/>
          <w:bCs/>
        </w:rPr>
        <w:t xml:space="preserve">Tabelul nr. XI.1.2.- </w:t>
      </w:r>
      <w:r>
        <w:rPr>
          <w:rFonts w:ascii="Arial" w:hAnsi="Arial" w:cs="Arial"/>
          <w:b/>
          <w:bCs/>
        </w:rPr>
        <w:t>5</w:t>
      </w:r>
      <w:r w:rsidRPr="007C6ABC">
        <w:rPr>
          <w:rFonts w:ascii="Arial" w:hAnsi="Arial" w:cs="Arial"/>
          <w:b/>
          <w:bCs/>
        </w:rPr>
        <w:t xml:space="preserve">  </w:t>
      </w:r>
      <w:r w:rsidRPr="007C6ABC">
        <w:rPr>
          <w:rFonts w:ascii="Arial" w:hAnsi="Arial" w:cs="Arial"/>
          <w:lang w:val="it-IT"/>
        </w:rPr>
        <w:t xml:space="preserve">Populaţia după domiciliu, pe medii </w:t>
      </w:r>
      <w:r w:rsidRPr="007C6ABC">
        <w:rPr>
          <w:rFonts w:ascii="Arial" w:hAnsi="Arial" w:cs="Arial"/>
        </w:rPr>
        <w:t>în perioada 2010 - 2014</w:t>
      </w:r>
    </w:p>
    <w:p w:rsidR="00A107ED" w:rsidRPr="00181D80" w:rsidRDefault="00A107ED" w:rsidP="005E6B2E">
      <w:pPr>
        <w:pStyle w:val="ListParagraph"/>
        <w:numPr>
          <w:ilvl w:val="0"/>
          <w:numId w:val="58"/>
        </w:numPr>
        <w:rPr>
          <w:rFonts w:ascii="Arial" w:hAnsi="Arial" w:cs="Arial"/>
        </w:rPr>
      </w:pPr>
      <w:r w:rsidRPr="007C6ABC">
        <w:rPr>
          <w:rFonts w:ascii="Arial" w:hAnsi="Arial" w:cs="Arial"/>
          <w:bCs/>
          <w:color w:val="000000"/>
        </w:rPr>
        <w:t xml:space="preserve">                                                                                                     Număr persoane</w:t>
      </w:r>
    </w:p>
    <w:p w:rsidR="00A107ED" w:rsidRPr="007C6ABC" w:rsidRDefault="00A107ED" w:rsidP="005E6B2E">
      <w:pPr>
        <w:pStyle w:val="ListParagraph"/>
        <w:numPr>
          <w:ilvl w:val="0"/>
          <w:numId w:val="58"/>
        </w:numPr>
        <w:rPr>
          <w:rFonts w:ascii="Arial" w:hAnsi="Arial" w:cs="Arial"/>
        </w:rPr>
      </w:pPr>
    </w:p>
    <w:tbl>
      <w:tblPr>
        <w:tblW w:w="0" w:type="auto"/>
        <w:jc w:val="center"/>
        <w:tblInd w:w="9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2850"/>
        <w:gridCol w:w="1191"/>
        <w:gridCol w:w="1191"/>
        <w:gridCol w:w="1191"/>
        <w:gridCol w:w="1191"/>
        <w:gridCol w:w="1191"/>
      </w:tblGrid>
      <w:tr w:rsidR="00A107ED" w:rsidRPr="00880304" w:rsidTr="00D0386E">
        <w:trPr>
          <w:trHeight w:val="536"/>
          <w:jc w:val="center"/>
        </w:trPr>
        <w:tc>
          <w:tcPr>
            <w:tcW w:w="2850"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Judeţul Brăila</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2010</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2011</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2012</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2013</w:t>
            </w:r>
          </w:p>
        </w:tc>
        <w:tc>
          <w:tcPr>
            <w:tcW w:w="1191" w:type="dxa"/>
            <w:shd w:val="clear" w:color="auto" w:fill="F2DBDB" w:themeFill="accent2"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t>2014</w:t>
            </w:r>
          </w:p>
        </w:tc>
      </w:tr>
      <w:tr w:rsidR="00A107ED" w:rsidRPr="00880304" w:rsidTr="00D0386E">
        <w:trPr>
          <w:trHeight w:val="300"/>
          <w:jc w:val="center"/>
        </w:trPr>
        <w:tc>
          <w:tcPr>
            <w:tcW w:w="2850" w:type="dxa"/>
            <w:shd w:val="clear" w:color="auto" w:fill="FDE9D9" w:themeFill="accent6" w:themeFillTint="33"/>
            <w:vAlign w:val="center"/>
          </w:tcPr>
          <w:p w:rsidR="00A107ED" w:rsidRPr="00880304" w:rsidRDefault="00A107ED" w:rsidP="00D0386E">
            <w:pPr>
              <w:jc w:val="center"/>
              <w:rPr>
                <w:rFonts w:ascii="Arial" w:hAnsi="Arial" w:cs="Arial"/>
                <w:b/>
                <w:bCs/>
                <w:color w:val="000000"/>
              </w:rPr>
            </w:pPr>
            <w:r w:rsidRPr="00880304">
              <w:rPr>
                <w:rFonts w:ascii="Arial" w:hAnsi="Arial" w:cs="Arial"/>
                <w:b/>
                <w:bCs/>
                <w:color w:val="000000"/>
              </w:rPr>
              <w:lastRenderedPageBreak/>
              <w:t>Total populaţie</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373941</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370805</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367771</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364644</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b/>
                <w:color w:val="000000"/>
              </w:rPr>
            </w:pPr>
            <w:r w:rsidRPr="00880304">
              <w:rPr>
                <w:rFonts w:ascii="Arial" w:hAnsi="Arial" w:cs="Arial"/>
                <w:b/>
                <w:color w:val="000000"/>
              </w:rPr>
              <w:t>361218</w:t>
            </w:r>
          </w:p>
        </w:tc>
      </w:tr>
      <w:tr w:rsidR="00A107ED" w:rsidRPr="00880304" w:rsidTr="00D0386E">
        <w:trPr>
          <w:trHeight w:val="300"/>
          <w:jc w:val="center"/>
        </w:trPr>
        <w:tc>
          <w:tcPr>
            <w:tcW w:w="2850" w:type="dxa"/>
            <w:shd w:val="clear" w:color="auto" w:fill="FDE9D9" w:themeFill="accent6" w:themeFillTint="33"/>
            <w:vAlign w:val="center"/>
          </w:tcPr>
          <w:p w:rsidR="00A107ED" w:rsidRPr="00880304" w:rsidRDefault="00A107ED" w:rsidP="00D0386E">
            <w:pPr>
              <w:jc w:val="center"/>
              <w:rPr>
                <w:rFonts w:ascii="Arial" w:hAnsi="Arial" w:cs="Arial"/>
                <w:bCs/>
                <w:color w:val="000000"/>
              </w:rPr>
            </w:pPr>
            <w:r w:rsidRPr="00880304">
              <w:rPr>
                <w:rFonts w:ascii="Arial" w:hAnsi="Arial" w:cs="Arial"/>
                <w:bCs/>
                <w:color w:val="000000"/>
              </w:rPr>
              <w:t>Urban</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246172</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243742</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241431</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239119</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236557</w:t>
            </w:r>
          </w:p>
        </w:tc>
      </w:tr>
      <w:tr w:rsidR="00A107ED" w:rsidRPr="00880304" w:rsidTr="00D0386E">
        <w:trPr>
          <w:trHeight w:val="300"/>
          <w:jc w:val="center"/>
        </w:trPr>
        <w:tc>
          <w:tcPr>
            <w:tcW w:w="2850" w:type="dxa"/>
            <w:shd w:val="clear" w:color="auto" w:fill="FDE9D9" w:themeFill="accent6" w:themeFillTint="33"/>
            <w:vAlign w:val="center"/>
          </w:tcPr>
          <w:p w:rsidR="00A107ED" w:rsidRPr="00880304" w:rsidRDefault="00A107ED" w:rsidP="00D0386E">
            <w:pPr>
              <w:jc w:val="center"/>
              <w:rPr>
                <w:rFonts w:ascii="Arial" w:hAnsi="Arial" w:cs="Arial"/>
                <w:bCs/>
                <w:color w:val="000000"/>
              </w:rPr>
            </w:pPr>
            <w:r w:rsidRPr="00880304">
              <w:rPr>
                <w:rFonts w:ascii="Arial" w:hAnsi="Arial" w:cs="Arial"/>
                <w:bCs/>
                <w:color w:val="000000"/>
              </w:rPr>
              <w:t>Rural</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127769</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127063</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126340</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125525</w:t>
            </w:r>
          </w:p>
        </w:tc>
        <w:tc>
          <w:tcPr>
            <w:tcW w:w="1191" w:type="dxa"/>
            <w:shd w:val="clear" w:color="auto" w:fill="FDE9D9" w:themeFill="accent6" w:themeFillTint="33"/>
            <w:vAlign w:val="center"/>
          </w:tcPr>
          <w:p w:rsidR="00A107ED" w:rsidRPr="00880304" w:rsidRDefault="00A107ED" w:rsidP="00D0386E">
            <w:pPr>
              <w:jc w:val="center"/>
              <w:rPr>
                <w:rFonts w:ascii="Arial" w:hAnsi="Arial" w:cs="Arial"/>
                <w:color w:val="000000"/>
              </w:rPr>
            </w:pPr>
            <w:r w:rsidRPr="00880304">
              <w:rPr>
                <w:rFonts w:ascii="Arial" w:hAnsi="Arial" w:cs="Arial"/>
                <w:color w:val="000000"/>
              </w:rPr>
              <w:t>124661</w:t>
            </w:r>
          </w:p>
        </w:tc>
      </w:tr>
    </w:tbl>
    <w:p w:rsidR="00A107ED" w:rsidRPr="007C6ABC" w:rsidRDefault="00A107ED" w:rsidP="005E6B2E">
      <w:pPr>
        <w:pStyle w:val="Default"/>
        <w:widowControl w:val="0"/>
        <w:numPr>
          <w:ilvl w:val="0"/>
          <w:numId w:val="58"/>
        </w:numPr>
        <w:rPr>
          <w:rFonts w:ascii="Arial" w:hAnsi="Arial" w:cs="Arial"/>
          <w:color w:val="auto"/>
          <w:highlight w:val="yellow"/>
        </w:rPr>
      </w:pPr>
    </w:p>
    <w:p w:rsidR="00A107ED" w:rsidRPr="00F52D03" w:rsidRDefault="00A107ED" w:rsidP="00A107ED">
      <w:pPr>
        <w:pStyle w:val="Default"/>
        <w:rPr>
          <w:rFonts w:ascii="Arial" w:hAnsi="Arial" w:cs="Arial"/>
          <w:color w:val="FF0000"/>
          <w:highlight w:val="yellow"/>
        </w:rPr>
      </w:pPr>
    </w:p>
    <w:p w:rsidR="00A107ED" w:rsidRDefault="00A107ED" w:rsidP="00A107ED">
      <w:pPr>
        <w:pStyle w:val="Default"/>
        <w:rPr>
          <w:rFonts w:ascii="Arial" w:hAnsi="Arial" w:cs="Arial"/>
          <w:b/>
          <w:color w:val="auto"/>
        </w:rPr>
      </w:pPr>
    </w:p>
    <w:p w:rsidR="00A107ED" w:rsidRDefault="00A107ED" w:rsidP="00A107ED">
      <w:pPr>
        <w:pStyle w:val="Default"/>
        <w:rPr>
          <w:rFonts w:ascii="Arial" w:hAnsi="Arial" w:cs="Arial"/>
          <w:b/>
          <w:color w:val="auto"/>
        </w:rPr>
      </w:pPr>
      <w:r w:rsidRPr="00703EF4">
        <w:rPr>
          <w:rFonts w:ascii="Arial" w:hAnsi="Arial" w:cs="Arial"/>
          <w:b/>
          <w:color w:val="auto"/>
        </w:rPr>
        <w:t>XI.3.</w:t>
      </w:r>
      <w:r>
        <w:rPr>
          <w:rFonts w:ascii="Arial" w:hAnsi="Arial" w:cs="Arial"/>
          <w:b/>
          <w:color w:val="auto"/>
        </w:rPr>
        <w:t xml:space="preserve"> Presiunile asupra mediului cauzate de consum</w:t>
      </w:r>
    </w:p>
    <w:p w:rsidR="00A107ED" w:rsidRDefault="00A107ED" w:rsidP="00A107ED">
      <w:pPr>
        <w:pStyle w:val="Default"/>
        <w:rPr>
          <w:rFonts w:ascii="Arial" w:hAnsi="Arial" w:cs="Arial"/>
          <w:b/>
          <w:color w:val="auto"/>
        </w:rPr>
      </w:pPr>
    </w:p>
    <w:p w:rsidR="00A107ED" w:rsidRPr="006C3824" w:rsidRDefault="00A107ED" w:rsidP="00A107ED">
      <w:pPr>
        <w:pStyle w:val="Default"/>
        <w:rPr>
          <w:rFonts w:ascii="Arial" w:hAnsi="Arial" w:cs="Arial"/>
          <w:b/>
          <w:lang w:val="fr-BE"/>
        </w:rPr>
      </w:pPr>
      <w:r>
        <w:rPr>
          <w:rFonts w:ascii="Arial" w:hAnsi="Arial" w:cs="Arial"/>
          <w:b/>
          <w:color w:val="auto"/>
        </w:rPr>
        <w:tab/>
      </w:r>
      <w:r>
        <w:rPr>
          <w:rFonts w:ascii="Arial" w:hAnsi="Arial" w:cs="Arial"/>
          <w:lang w:val="fr-BE"/>
        </w:rPr>
        <w:t xml:space="preserve"> </w:t>
      </w:r>
      <w:r w:rsidRPr="006C3824">
        <w:rPr>
          <w:rFonts w:ascii="Arial" w:hAnsi="Arial" w:cs="Arial"/>
          <w:b/>
          <w:lang w:val="fr-BE"/>
        </w:rPr>
        <w:t>XI.3.1. Emisiile de gaze cu efect de seră din sectorul rezidențial</w:t>
      </w:r>
    </w:p>
    <w:p w:rsidR="00A107ED" w:rsidRDefault="00A107ED" w:rsidP="00A107ED">
      <w:pPr>
        <w:tabs>
          <w:tab w:val="left" w:pos="1425"/>
        </w:tabs>
        <w:rPr>
          <w:rFonts w:ascii="Arial" w:hAnsi="Arial" w:cs="Arial"/>
          <w:lang w:val="fr-BE"/>
        </w:rPr>
      </w:pPr>
      <w:r w:rsidRPr="006C3824">
        <w:rPr>
          <w:rFonts w:ascii="Arial" w:hAnsi="Arial" w:cs="Arial"/>
          <w:b/>
          <w:lang w:val="fr-BE"/>
        </w:rPr>
        <w:t>Tendința emisiilor de gaze cu efect de seră</w:t>
      </w:r>
      <w:r>
        <w:rPr>
          <w:rFonts w:ascii="Arial" w:hAnsi="Arial" w:cs="Arial"/>
          <w:b/>
          <w:lang w:val="fr-BE"/>
        </w:rPr>
        <w:t xml:space="preserve"> </w:t>
      </w:r>
      <w:r>
        <w:rPr>
          <w:rFonts w:ascii="Arial" w:hAnsi="Arial" w:cs="Arial"/>
          <w:lang w:val="fr-BE"/>
        </w:rPr>
        <w:t>Cod indicator România RO 10</w:t>
      </w:r>
    </w:p>
    <w:p w:rsidR="00D0386E" w:rsidRDefault="00D0386E" w:rsidP="00A107ED">
      <w:pPr>
        <w:tabs>
          <w:tab w:val="left" w:pos="1425"/>
        </w:tabs>
        <w:rPr>
          <w:rFonts w:ascii="Arial" w:hAnsi="Arial" w:cs="Arial"/>
          <w:lang w:val="fr-BE"/>
        </w:rPr>
      </w:pPr>
    </w:p>
    <w:p w:rsidR="00A107ED" w:rsidRPr="00E1573B" w:rsidRDefault="00A107ED" w:rsidP="00A107ED">
      <w:pPr>
        <w:tabs>
          <w:tab w:val="left" w:pos="1425"/>
        </w:tabs>
        <w:jc w:val="center"/>
        <w:rPr>
          <w:rFonts w:ascii="Arial" w:hAnsi="Arial" w:cs="Arial"/>
          <w:lang w:val="fr-BE"/>
        </w:rPr>
      </w:pPr>
      <w:r w:rsidRPr="00E1573B">
        <w:rPr>
          <w:rFonts w:ascii="Arial" w:hAnsi="Arial" w:cs="Arial"/>
          <w:noProof/>
          <w:lang w:val="ro-RO" w:eastAsia="ro-RO"/>
        </w:rPr>
        <w:drawing>
          <wp:inline distT="0" distB="0" distL="0" distR="0">
            <wp:extent cx="4219575" cy="3181350"/>
            <wp:effectExtent l="19050" t="0" r="9525" b="0"/>
            <wp:docPr id="108" name="Chart 1"/>
            <wp:cNvGraphicFramePr/>
            <a:graphic xmlns:a="http://schemas.openxmlformats.org/drawingml/2006/main">
              <a:graphicData uri="http://schemas.openxmlformats.org/drawingml/2006/chart">
                <c:chart xmlns:c="http://schemas.openxmlformats.org/drawingml/2006/chart" xmlns:r="http://schemas.openxmlformats.org/officeDocument/2006/relationships" r:id="rId142"/>
              </a:graphicData>
            </a:graphic>
          </wp:inline>
        </w:drawing>
      </w:r>
    </w:p>
    <w:p w:rsidR="00A107ED" w:rsidRPr="00E1573B" w:rsidRDefault="00A107ED" w:rsidP="00A107ED">
      <w:pPr>
        <w:tabs>
          <w:tab w:val="left" w:pos="1245"/>
        </w:tabs>
        <w:rPr>
          <w:rFonts w:ascii="Arial" w:hAnsi="Arial" w:cs="Arial"/>
          <w:i/>
          <w:lang w:val="fr-BE"/>
        </w:rPr>
      </w:pPr>
    </w:p>
    <w:p w:rsidR="00A107ED" w:rsidRDefault="00A107ED" w:rsidP="00A107ED">
      <w:pPr>
        <w:pStyle w:val="Default"/>
        <w:rPr>
          <w:rFonts w:ascii="Arial" w:hAnsi="Arial" w:cs="Arial"/>
          <w:b/>
          <w:color w:val="auto"/>
        </w:rPr>
      </w:pPr>
    </w:p>
    <w:p w:rsidR="00A107ED" w:rsidRPr="001335B5" w:rsidRDefault="00A107ED" w:rsidP="00A107ED">
      <w:pPr>
        <w:pStyle w:val="Default"/>
        <w:rPr>
          <w:rFonts w:ascii="Arial" w:hAnsi="Arial" w:cs="Arial"/>
          <w:color w:val="auto"/>
        </w:rPr>
      </w:pPr>
      <w:r w:rsidRPr="000A4D5E">
        <w:rPr>
          <w:rFonts w:ascii="Arial" w:hAnsi="Arial" w:cs="Arial"/>
          <w:b/>
          <w:color w:val="auto"/>
        </w:rPr>
        <w:t>XI.3.2. Consumul de energie pe locuitor</w:t>
      </w:r>
      <w:r>
        <w:rPr>
          <w:rFonts w:ascii="Arial" w:hAnsi="Arial" w:cs="Arial"/>
          <w:color w:val="auto"/>
        </w:rPr>
        <w:t xml:space="preserve"> </w:t>
      </w:r>
      <w:r>
        <w:rPr>
          <w:rFonts w:ascii="Arial" w:hAnsi="Arial" w:cs="Arial"/>
          <w:b/>
          <w:u w:val="single"/>
        </w:rPr>
        <w:t>-</w:t>
      </w:r>
      <w:r w:rsidRPr="00F52D03">
        <w:rPr>
          <w:rFonts w:ascii="Arial" w:hAnsi="Arial" w:cs="Arial"/>
          <w:b/>
          <w:color w:val="FF0000"/>
          <w:u w:val="single"/>
        </w:rPr>
        <w:t xml:space="preserve"> </w:t>
      </w:r>
      <w:r w:rsidRPr="00E8632B">
        <w:rPr>
          <w:rFonts w:ascii="Arial" w:hAnsi="Arial" w:cs="Arial"/>
          <w:color w:val="auto"/>
          <w:u w:val="single"/>
        </w:rPr>
        <w:t>nu sunt date la nivel jude</w:t>
      </w:r>
      <w:r>
        <w:rPr>
          <w:rFonts w:ascii="Arial" w:hAnsi="Arial" w:cs="Arial"/>
          <w:color w:val="auto"/>
          <w:u w:val="single"/>
        </w:rPr>
        <w:t>ț</w:t>
      </w:r>
      <w:r w:rsidRPr="00E8632B">
        <w:rPr>
          <w:rFonts w:ascii="Arial" w:hAnsi="Arial" w:cs="Arial"/>
          <w:color w:val="auto"/>
          <w:u w:val="single"/>
        </w:rPr>
        <w:t xml:space="preserve">ean </w:t>
      </w:r>
      <w:r>
        <w:rPr>
          <w:rFonts w:ascii="Arial" w:hAnsi="Arial" w:cs="Arial"/>
          <w:color w:val="auto"/>
          <w:u w:val="single"/>
        </w:rPr>
        <w:t>(</w:t>
      </w:r>
      <w:r w:rsidRPr="00E8632B">
        <w:rPr>
          <w:rFonts w:ascii="Arial" w:hAnsi="Arial" w:cs="Arial"/>
          <w:color w:val="auto"/>
          <w:u w:val="single"/>
        </w:rPr>
        <w:t>DRS Br</w:t>
      </w:r>
      <w:r>
        <w:rPr>
          <w:rFonts w:ascii="Arial" w:hAnsi="Arial" w:cs="Arial"/>
          <w:color w:val="auto"/>
          <w:u w:val="single"/>
        </w:rPr>
        <w:t>ă</w:t>
      </w:r>
      <w:r w:rsidRPr="00E8632B">
        <w:rPr>
          <w:rFonts w:ascii="Arial" w:hAnsi="Arial" w:cs="Arial"/>
          <w:color w:val="auto"/>
          <w:u w:val="single"/>
        </w:rPr>
        <w:t>ila</w:t>
      </w:r>
      <w:r>
        <w:rPr>
          <w:rFonts w:ascii="Arial" w:hAnsi="Arial" w:cs="Arial"/>
          <w:color w:val="auto"/>
          <w:u w:val="single"/>
        </w:rPr>
        <w:t>)</w:t>
      </w:r>
    </w:p>
    <w:p w:rsidR="00A107ED" w:rsidRPr="00FB4C8D" w:rsidRDefault="00A107ED" w:rsidP="00A107ED">
      <w:pPr>
        <w:pStyle w:val="Default"/>
        <w:rPr>
          <w:rFonts w:ascii="Arial" w:hAnsi="Arial" w:cs="Arial"/>
          <w:color w:val="auto"/>
        </w:rPr>
      </w:pPr>
    </w:p>
    <w:p w:rsidR="00A107ED" w:rsidRPr="00FB4C8D" w:rsidRDefault="00A107ED" w:rsidP="00A107ED">
      <w:pPr>
        <w:tabs>
          <w:tab w:val="left" w:pos="1159"/>
        </w:tabs>
        <w:spacing w:line="60" w:lineRule="atLeast"/>
        <w:jc w:val="both"/>
        <w:outlineLvl w:val="0"/>
        <w:rPr>
          <w:rFonts w:ascii="Arial" w:hAnsi="Arial" w:cs="Arial"/>
          <w:b/>
          <w:i/>
        </w:rPr>
      </w:pPr>
      <w:r w:rsidRPr="00FB3C99">
        <w:rPr>
          <w:rFonts w:ascii="Arial" w:hAnsi="Arial" w:cs="Arial"/>
          <w:b/>
        </w:rPr>
        <w:t>XI.3.3. Utilizarea materialelor</w:t>
      </w:r>
    </w:p>
    <w:p w:rsidR="00A107ED" w:rsidRDefault="00A107ED" w:rsidP="00A107ED">
      <w:pPr>
        <w:pStyle w:val="Default"/>
        <w:ind w:firstLine="708"/>
        <w:rPr>
          <w:rFonts w:ascii="Arial" w:hAnsi="Arial" w:cs="Arial"/>
          <w:b/>
          <w:bCs/>
        </w:rPr>
      </w:pPr>
      <w:r w:rsidRPr="00E8632B">
        <w:rPr>
          <w:rFonts w:ascii="Arial" w:hAnsi="Arial" w:cs="Arial"/>
          <w:b/>
          <w:bCs/>
        </w:rPr>
        <w:t xml:space="preserve">Resurse </w:t>
      </w:r>
    </w:p>
    <w:p w:rsidR="00A107ED" w:rsidRPr="00E8632B" w:rsidRDefault="00A107ED" w:rsidP="00A107ED">
      <w:pPr>
        <w:pStyle w:val="Default"/>
        <w:ind w:firstLine="708"/>
        <w:rPr>
          <w:rFonts w:ascii="Arial" w:hAnsi="Arial" w:cs="Arial"/>
        </w:rPr>
      </w:pPr>
    </w:p>
    <w:p w:rsidR="00A107ED" w:rsidRDefault="00A107ED" w:rsidP="00A107ED">
      <w:pPr>
        <w:pStyle w:val="Default"/>
        <w:rPr>
          <w:rFonts w:ascii="Arial" w:hAnsi="Arial" w:cs="Arial"/>
        </w:rPr>
      </w:pPr>
      <w:r w:rsidRPr="00161538">
        <w:rPr>
          <w:rFonts w:ascii="Arial" w:hAnsi="Arial" w:cs="Arial"/>
        </w:rPr>
        <w:t xml:space="preserve">Principalele </w:t>
      </w:r>
      <w:r w:rsidRPr="00161538">
        <w:rPr>
          <w:rFonts w:ascii="Arial" w:hAnsi="Arial" w:cs="Arial"/>
          <w:b/>
          <w:bCs/>
        </w:rPr>
        <w:t xml:space="preserve">zăcăminte </w:t>
      </w:r>
      <w:r w:rsidRPr="00161538">
        <w:rPr>
          <w:rFonts w:ascii="Arial" w:hAnsi="Arial" w:cs="Arial"/>
        </w:rPr>
        <w:t xml:space="preserve">din judeţul Brăila sunt: </w:t>
      </w:r>
    </w:p>
    <w:p w:rsidR="00A107ED" w:rsidRPr="00161538" w:rsidRDefault="00A107ED" w:rsidP="00A107ED">
      <w:pPr>
        <w:pStyle w:val="Default"/>
        <w:jc w:val="both"/>
        <w:rPr>
          <w:rFonts w:ascii="Arial" w:hAnsi="Arial" w:cs="Arial"/>
        </w:rPr>
      </w:pPr>
    </w:p>
    <w:p w:rsidR="00A107ED" w:rsidRPr="00161538" w:rsidRDefault="00A107ED" w:rsidP="00A107ED">
      <w:pPr>
        <w:pStyle w:val="Default"/>
        <w:jc w:val="both"/>
        <w:rPr>
          <w:rFonts w:ascii="Arial" w:hAnsi="Arial" w:cs="Arial"/>
        </w:rPr>
      </w:pPr>
      <w:r w:rsidRPr="00161538">
        <w:rPr>
          <w:rFonts w:ascii="Arial" w:hAnsi="Arial" w:cs="Arial"/>
          <w:b/>
          <w:bCs/>
        </w:rPr>
        <w:t xml:space="preserve">Zăcămintele de ţiţei şi gaze </w:t>
      </w:r>
      <w:r w:rsidRPr="00161538">
        <w:rPr>
          <w:rFonts w:ascii="Arial" w:hAnsi="Arial" w:cs="Arial"/>
        </w:rPr>
        <w:t xml:space="preserve">se află situate în două unităţi geologice distincte şi anume: </w:t>
      </w:r>
    </w:p>
    <w:p w:rsidR="00A107ED" w:rsidRPr="00161538" w:rsidRDefault="00A107ED" w:rsidP="00A107ED">
      <w:pPr>
        <w:pStyle w:val="Default"/>
        <w:jc w:val="both"/>
        <w:rPr>
          <w:rFonts w:ascii="Arial" w:hAnsi="Arial" w:cs="Arial"/>
        </w:rPr>
      </w:pPr>
      <w:r w:rsidRPr="00161538">
        <w:rPr>
          <w:rFonts w:ascii="Arial" w:hAnsi="Arial" w:cs="Arial"/>
        </w:rPr>
        <w:t xml:space="preserve">În cadrul zonei sud-estice a Platformei Moesice sunt puse în evidenţă şi se află în exploatare o serie de zăcăminte de ţiţei şi gaze pe aliniamentul structural orientat sud-vest nord-est Urziceni-Gârbova-Brăgăneasa-Padina-Jugureanu-Oprişeneşti-lopu-BordeiVerde- Lişcoteanca-Stăncuţa-Berteşti. </w:t>
      </w:r>
    </w:p>
    <w:p w:rsidR="00A107ED" w:rsidRPr="00161538" w:rsidRDefault="00A107ED" w:rsidP="00A107ED">
      <w:pPr>
        <w:pStyle w:val="Default"/>
        <w:jc w:val="both"/>
        <w:rPr>
          <w:rFonts w:ascii="Arial" w:hAnsi="Arial" w:cs="Arial"/>
        </w:rPr>
      </w:pPr>
      <w:r w:rsidRPr="00161538">
        <w:rPr>
          <w:rFonts w:ascii="Arial" w:hAnsi="Arial" w:cs="Arial"/>
        </w:rPr>
        <w:t xml:space="preserve">În zona vestică a ridicării Bordei Verde-Însurăţei, într-o zonă delimitată convenţional, între această ridicare şi râul Dâmboviţa, se întâlnesc zăcăminte de ţiţei şi gaze asociate în lungul anticlinalului principal Moara Vlăsiei-Urziceni-Jugureanu. Dintre acestea sunt exploatate zacămintele de ţiţei Jugureanu şi Padina. </w:t>
      </w:r>
    </w:p>
    <w:p w:rsidR="00A107ED" w:rsidRPr="00161538" w:rsidRDefault="00A107ED" w:rsidP="00A107ED">
      <w:pPr>
        <w:pStyle w:val="Default"/>
        <w:jc w:val="both"/>
        <w:rPr>
          <w:rFonts w:ascii="Arial" w:hAnsi="Arial" w:cs="Arial"/>
        </w:rPr>
      </w:pPr>
      <w:r w:rsidRPr="00161538">
        <w:rPr>
          <w:rFonts w:ascii="Arial" w:hAnsi="Arial" w:cs="Arial"/>
          <w:b/>
          <w:bCs/>
        </w:rPr>
        <w:t xml:space="preserve">Zăcămintele de gaze libere </w:t>
      </w:r>
      <w:r w:rsidRPr="00161538">
        <w:rPr>
          <w:rFonts w:ascii="Arial" w:hAnsi="Arial" w:cs="Arial"/>
        </w:rPr>
        <w:t xml:space="preserve">în zona de sud-est a Platformei Moesice au fost puse în evidenţă şi se află în exploatare la Oprişeneşti, Bordei Verde, Lişcoteanca, Berteşti, Stăncuţa, Jugureanu, Padina, Gardiştea, Balta Albă. </w:t>
      </w:r>
    </w:p>
    <w:p w:rsidR="00A107ED" w:rsidRPr="00161538" w:rsidRDefault="00A107ED" w:rsidP="00A107ED">
      <w:pPr>
        <w:pStyle w:val="Default"/>
        <w:jc w:val="both"/>
        <w:rPr>
          <w:rFonts w:ascii="Arial" w:hAnsi="Arial" w:cs="Arial"/>
        </w:rPr>
      </w:pPr>
      <w:r w:rsidRPr="00161538">
        <w:rPr>
          <w:rFonts w:ascii="Arial" w:hAnsi="Arial" w:cs="Arial"/>
          <w:b/>
          <w:bCs/>
        </w:rPr>
        <w:lastRenderedPageBreak/>
        <w:t xml:space="preserve">Zăcămintele de balast </w:t>
      </w:r>
      <w:r w:rsidRPr="00161538">
        <w:rPr>
          <w:rFonts w:ascii="Arial" w:hAnsi="Arial" w:cs="Arial"/>
        </w:rPr>
        <w:t xml:space="preserve">din judeţul Brăila apar la Gradiştea şi Ibrianu, în albia majoră a râului Buzău. S-au utilizat pentru amenajări de drumuri şi în construcţii. </w:t>
      </w:r>
    </w:p>
    <w:p w:rsidR="00A107ED" w:rsidRPr="00161538" w:rsidRDefault="00A107ED" w:rsidP="00A107ED">
      <w:pPr>
        <w:pStyle w:val="Default"/>
        <w:jc w:val="both"/>
        <w:rPr>
          <w:rFonts w:ascii="Arial" w:hAnsi="Arial" w:cs="Arial"/>
        </w:rPr>
      </w:pPr>
      <w:r w:rsidRPr="00161538">
        <w:rPr>
          <w:rFonts w:ascii="Arial" w:hAnsi="Arial" w:cs="Arial"/>
          <w:b/>
          <w:bCs/>
        </w:rPr>
        <w:t xml:space="preserve">Zăcăminte de argilă aluvionară </w:t>
      </w:r>
      <w:r w:rsidRPr="00161538">
        <w:rPr>
          <w:rFonts w:ascii="Arial" w:hAnsi="Arial" w:cs="Arial"/>
        </w:rPr>
        <w:t xml:space="preserve">cu intercalaţii nisipoase şi granule de CaCO3 la Baldovineşti, argilă prăfoasă nisipoasă la Brăila, cu rezerve de bilanţ de circa 1200 mii t şi argilă marnoasă cu înalt grad de refractaritate la Făurei-rezerve de bilanţ de circa 8200 mii t. Depunerile loessoide formează materia primă pentru ceramică inferioară, aceste argile fiind utilizate la fabricarea cărămizilor. </w:t>
      </w:r>
    </w:p>
    <w:p w:rsidR="00A107ED" w:rsidRPr="00161538" w:rsidRDefault="00A107ED" w:rsidP="00A107ED">
      <w:pPr>
        <w:pStyle w:val="Default"/>
        <w:jc w:val="both"/>
        <w:rPr>
          <w:rFonts w:ascii="Arial" w:hAnsi="Arial" w:cs="Arial"/>
        </w:rPr>
      </w:pPr>
      <w:r w:rsidRPr="00161538">
        <w:rPr>
          <w:rFonts w:ascii="Arial" w:hAnsi="Arial" w:cs="Arial"/>
          <w:b/>
          <w:bCs/>
        </w:rPr>
        <w:t xml:space="preserve">Ape minerale şi termale </w:t>
      </w:r>
    </w:p>
    <w:p w:rsidR="00A107ED" w:rsidRPr="00161538" w:rsidRDefault="00A107ED" w:rsidP="00A107ED">
      <w:pPr>
        <w:pStyle w:val="Default"/>
        <w:jc w:val="both"/>
        <w:rPr>
          <w:rFonts w:ascii="Arial" w:hAnsi="Arial" w:cs="Arial"/>
        </w:rPr>
      </w:pPr>
      <w:r w:rsidRPr="00161538">
        <w:rPr>
          <w:rFonts w:ascii="Arial" w:hAnsi="Arial" w:cs="Arial"/>
        </w:rPr>
        <w:t xml:space="preserve">În judeţul Brăila există patru sonde cu ape geotermale, două la Însurăţei, una la Mihai Bravu şi alta la Victoria. Apa are o temperatură la gura sondei de 90-95oC. Sondele aparţin S.C. FORADEX S.A. Bucureşti şi sunt în custodia primăriilor locale. Apa are un puternic caracter clorurat-sodic-sulfatic-potasic-magnezianocalcic. </w:t>
      </w:r>
    </w:p>
    <w:p w:rsidR="00A107ED" w:rsidRPr="00161538" w:rsidRDefault="00A107ED" w:rsidP="00A107ED">
      <w:pPr>
        <w:pStyle w:val="Default"/>
        <w:jc w:val="both"/>
        <w:rPr>
          <w:rFonts w:ascii="Arial" w:hAnsi="Arial" w:cs="Arial"/>
        </w:rPr>
      </w:pPr>
      <w:r w:rsidRPr="00161538">
        <w:rPr>
          <w:rFonts w:ascii="Arial" w:hAnsi="Arial" w:cs="Arial"/>
        </w:rPr>
        <w:t xml:space="preserve">Actualmente nu sunt utilizate. În trecut a fost utilizată o singura sondă în Însurăţei pentru preparare agent termic pentru locuinţe. </w:t>
      </w:r>
    </w:p>
    <w:p w:rsidR="00A107ED" w:rsidRDefault="00A107ED" w:rsidP="00A107ED">
      <w:pPr>
        <w:jc w:val="both"/>
        <w:rPr>
          <w:rFonts w:ascii="Arial" w:hAnsi="Arial" w:cs="Arial"/>
          <w:b/>
        </w:rPr>
      </w:pPr>
    </w:p>
    <w:p w:rsidR="00A107ED" w:rsidRPr="00E8632B" w:rsidRDefault="00A107ED" w:rsidP="00A107ED">
      <w:pPr>
        <w:jc w:val="both"/>
        <w:rPr>
          <w:rFonts w:ascii="Arial" w:hAnsi="Arial" w:cs="Arial"/>
          <w:b/>
        </w:rPr>
      </w:pPr>
      <w:r w:rsidRPr="00E8632B">
        <w:rPr>
          <w:rFonts w:ascii="Arial" w:hAnsi="Arial" w:cs="Arial"/>
          <w:b/>
        </w:rPr>
        <w:t>Presiunile asupra mediului cauzate de de</w:t>
      </w:r>
      <w:r>
        <w:rPr>
          <w:rFonts w:ascii="Arial" w:hAnsi="Arial" w:cs="Arial"/>
          <w:b/>
        </w:rPr>
        <w:t>ș</w:t>
      </w:r>
      <w:r w:rsidRPr="00E8632B">
        <w:rPr>
          <w:rFonts w:ascii="Arial" w:hAnsi="Arial" w:cs="Arial"/>
          <w:b/>
        </w:rPr>
        <w:t xml:space="preserve">euri </w:t>
      </w:r>
    </w:p>
    <w:p w:rsidR="00A107ED" w:rsidRDefault="00A107ED" w:rsidP="00A107ED">
      <w:pPr>
        <w:pStyle w:val="Default"/>
        <w:jc w:val="both"/>
        <w:rPr>
          <w:rFonts w:ascii="Arial" w:hAnsi="Arial" w:cs="Arial"/>
          <w:b/>
          <w:bCs/>
        </w:rPr>
      </w:pPr>
    </w:p>
    <w:p w:rsidR="00A107ED" w:rsidRPr="00161538" w:rsidRDefault="00A107ED" w:rsidP="00A107ED">
      <w:pPr>
        <w:pStyle w:val="Default"/>
        <w:jc w:val="both"/>
        <w:rPr>
          <w:rFonts w:ascii="Arial" w:hAnsi="Arial" w:cs="Arial"/>
        </w:rPr>
      </w:pPr>
      <w:r w:rsidRPr="00161538">
        <w:rPr>
          <w:rFonts w:ascii="Arial" w:hAnsi="Arial" w:cs="Arial"/>
          <w:b/>
          <w:bCs/>
        </w:rPr>
        <w:t xml:space="preserve">Evaluarea situaţiei actuale şi a situaţiei prognozate </w:t>
      </w:r>
    </w:p>
    <w:p w:rsidR="00A107ED" w:rsidRDefault="00A107ED" w:rsidP="00A107ED">
      <w:pPr>
        <w:pStyle w:val="Default"/>
        <w:jc w:val="both"/>
        <w:rPr>
          <w:rFonts w:ascii="Arial" w:hAnsi="Arial" w:cs="Arial"/>
          <w:b/>
          <w:bCs/>
        </w:rPr>
      </w:pPr>
    </w:p>
    <w:p w:rsidR="00A107ED" w:rsidRPr="00161538" w:rsidRDefault="00A107ED" w:rsidP="00A107ED">
      <w:pPr>
        <w:pStyle w:val="Default"/>
        <w:jc w:val="both"/>
        <w:rPr>
          <w:rFonts w:ascii="Arial" w:hAnsi="Arial" w:cs="Arial"/>
        </w:rPr>
      </w:pPr>
      <w:r w:rsidRPr="00161538">
        <w:rPr>
          <w:rFonts w:ascii="Arial" w:hAnsi="Arial" w:cs="Arial"/>
          <w:b/>
          <w:bCs/>
        </w:rPr>
        <w:t xml:space="preserve">Date generale </w:t>
      </w:r>
    </w:p>
    <w:p w:rsidR="00A107ED" w:rsidRPr="00161538" w:rsidRDefault="00A107ED" w:rsidP="00A107ED">
      <w:pPr>
        <w:pStyle w:val="Default"/>
        <w:jc w:val="both"/>
        <w:rPr>
          <w:rFonts w:ascii="Arial" w:hAnsi="Arial" w:cs="Arial"/>
        </w:rPr>
      </w:pPr>
      <w:r w:rsidRPr="00161538">
        <w:rPr>
          <w:rFonts w:ascii="Arial" w:hAnsi="Arial" w:cs="Arial"/>
          <w:b/>
          <w:bCs/>
        </w:rPr>
        <w:t xml:space="preserve">Sursele generatoare </w:t>
      </w:r>
      <w:r w:rsidRPr="00161538">
        <w:rPr>
          <w:rFonts w:ascii="Arial" w:hAnsi="Arial" w:cs="Arial"/>
        </w:rPr>
        <w:t>pe categorii de de</w:t>
      </w:r>
      <w:r>
        <w:rPr>
          <w:rFonts w:ascii="Arial" w:hAnsi="Arial" w:cs="Arial"/>
        </w:rPr>
        <w:t>ș</w:t>
      </w:r>
      <w:r w:rsidRPr="00161538">
        <w:rPr>
          <w:rFonts w:ascii="Arial" w:hAnsi="Arial" w:cs="Arial"/>
        </w:rPr>
        <w:t>euri sunt urm</w:t>
      </w:r>
      <w:r>
        <w:rPr>
          <w:rFonts w:ascii="Arial" w:hAnsi="Arial" w:cs="Arial"/>
        </w:rPr>
        <w:t>ă</w:t>
      </w:r>
      <w:r w:rsidRPr="00161538">
        <w:rPr>
          <w:rFonts w:ascii="Arial" w:hAnsi="Arial" w:cs="Arial"/>
        </w:rPr>
        <w:t xml:space="preserve">toarele: </w:t>
      </w:r>
    </w:p>
    <w:p w:rsidR="00A107ED" w:rsidRPr="00161538" w:rsidRDefault="00A107ED" w:rsidP="00A107ED">
      <w:pPr>
        <w:pStyle w:val="Default"/>
        <w:jc w:val="both"/>
        <w:rPr>
          <w:rFonts w:ascii="Arial" w:hAnsi="Arial" w:cs="Arial"/>
        </w:rPr>
      </w:pPr>
      <w:r w:rsidRPr="00161538">
        <w:rPr>
          <w:rFonts w:ascii="Arial" w:hAnsi="Arial" w:cs="Arial"/>
        </w:rPr>
        <w:t xml:space="preserve">• </w:t>
      </w:r>
      <w:r w:rsidRPr="00161538">
        <w:rPr>
          <w:rFonts w:ascii="Arial" w:hAnsi="Arial" w:cs="Arial"/>
          <w:b/>
          <w:bCs/>
        </w:rPr>
        <w:t>gospodăriile</w:t>
      </w:r>
      <w:r w:rsidRPr="00161538">
        <w:rPr>
          <w:rFonts w:ascii="Arial" w:hAnsi="Arial" w:cs="Arial"/>
        </w:rPr>
        <w:t>: genereaz</w:t>
      </w:r>
      <w:r>
        <w:rPr>
          <w:rFonts w:ascii="Arial" w:hAnsi="Arial" w:cs="Arial"/>
        </w:rPr>
        <w:t>ă</w:t>
      </w:r>
      <w:r w:rsidRPr="00161538">
        <w:rPr>
          <w:rFonts w:ascii="Arial" w:hAnsi="Arial" w:cs="Arial"/>
        </w:rPr>
        <w:t xml:space="preserve"> de</w:t>
      </w:r>
      <w:r>
        <w:rPr>
          <w:rFonts w:ascii="Arial" w:hAnsi="Arial" w:cs="Arial"/>
        </w:rPr>
        <w:t>ș</w:t>
      </w:r>
      <w:r w:rsidRPr="00161538">
        <w:rPr>
          <w:rFonts w:ascii="Arial" w:hAnsi="Arial" w:cs="Arial"/>
        </w:rPr>
        <w:t xml:space="preserve">euri menajere colectate </w:t>
      </w:r>
      <w:r>
        <w:rPr>
          <w:rFonts w:ascii="Arial" w:hAnsi="Arial" w:cs="Arial"/>
        </w:rPr>
        <w:t>î</w:t>
      </w:r>
      <w:r w:rsidRPr="00161538">
        <w:rPr>
          <w:rFonts w:ascii="Arial" w:hAnsi="Arial" w:cs="Arial"/>
        </w:rPr>
        <w:t>n amestec (fiind principalul flux de de</w:t>
      </w:r>
      <w:r>
        <w:rPr>
          <w:rFonts w:ascii="Arial" w:hAnsi="Arial" w:cs="Arial"/>
        </w:rPr>
        <w:t>ș</w:t>
      </w:r>
      <w:r w:rsidRPr="00161538">
        <w:rPr>
          <w:rFonts w:ascii="Arial" w:hAnsi="Arial" w:cs="Arial"/>
        </w:rPr>
        <w:t>euri, cu un con</w:t>
      </w:r>
      <w:r>
        <w:rPr>
          <w:rFonts w:ascii="Arial" w:hAnsi="Arial" w:cs="Arial"/>
        </w:rPr>
        <w:t>ț</w:t>
      </w:r>
      <w:r w:rsidRPr="00161538">
        <w:rPr>
          <w:rFonts w:ascii="Arial" w:hAnsi="Arial" w:cs="Arial"/>
        </w:rPr>
        <w:t>inut important al frac</w:t>
      </w:r>
      <w:r>
        <w:rPr>
          <w:rFonts w:ascii="Arial" w:hAnsi="Arial" w:cs="Arial"/>
        </w:rPr>
        <w:t>ț</w:t>
      </w:r>
      <w:r w:rsidRPr="00161538">
        <w:rPr>
          <w:rFonts w:ascii="Arial" w:hAnsi="Arial" w:cs="Arial"/>
        </w:rPr>
        <w:t>iei biodegradabile), de</w:t>
      </w:r>
      <w:r>
        <w:rPr>
          <w:rFonts w:ascii="Arial" w:hAnsi="Arial" w:cs="Arial"/>
        </w:rPr>
        <w:t>ș</w:t>
      </w:r>
      <w:r w:rsidRPr="00161538">
        <w:rPr>
          <w:rFonts w:ascii="Arial" w:hAnsi="Arial" w:cs="Arial"/>
        </w:rPr>
        <w:t>euri menajere colectate separat (</w:t>
      </w:r>
      <w:r>
        <w:rPr>
          <w:rFonts w:ascii="Arial" w:hAnsi="Arial" w:cs="Arial"/>
        </w:rPr>
        <w:t>î</w:t>
      </w:r>
      <w:r w:rsidRPr="00161538">
        <w:rPr>
          <w:rFonts w:ascii="Arial" w:hAnsi="Arial" w:cs="Arial"/>
        </w:rPr>
        <w:t>n vederea recicl</w:t>
      </w:r>
      <w:r>
        <w:rPr>
          <w:rFonts w:ascii="Arial" w:hAnsi="Arial" w:cs="Arial"/>
        </w:rPr>
        <w:t>ă</w:t>
      </w:r>
      <w:r w:rsidRPr="00161538">
        <w:rPr>
          <w:rFonts w:ascii="Arial" w:hAnsi="Arial" w:cs="Arial"/>
        </w:rPr>
        <w:t>rii-recuper</w:t>
      </w:r>
      <w:r>
        <w:rPr>
          <w:rFonts w:ascii="Arial" w:hAnsi="Arial" w:cs="Arial"/>
        </w:rPr>
        <w:t>ă</w:t>
      </w:r>
      <w:r w:rsidRPr="00161538">
        <w:rPr>
          <w:rFonts w:ascii="Arial" w:hAnsi="Arial" w:cs="Arial"/>
        </w:rPr>
        <w:t>rii de material: h</w:t>
      </w:r>
      <w:r>
        <w:rPr>
          <w:rFonts w:ascii="Arial" w:hAnsi="Arial" w:cs="Arial"/>
        </w:rPr>
        <w:t>â</w:t>
      </w:r>
      <w:r w:rsidRPr="00161538">
        <w:rPr>
          <w:rFonts w:ascii="Arial" w:hAnsi="Arial" w:cs="Arial"/>
        </w:rPr>
        <w:t xml:space="preserve">rtie </w:t>
      </w:r>
      <w:r>
        <w:rPr>
          <w:rFonts w:ascii="Arial" w:hAnsi="Arial" w:cs="Arial"/>
        </w:rPr>
        <w:t>ș</w:t>
      </w:r>
      <w:r w:rsidRPr="00161538">
        <w:rPr>
          <w:rFonts w:ascii="Arial" w:hAnsi="Arial" w:cs="Arial"/>
        </w:rPr>
        <w:t>i carton, plastic, sticl</w:t>
      </w:r>
      <w:r>
        <w:rPr>
          <w:rFonts w:ascii="Arial" w:hAnsi="Arial" w:cs="Arial"/>
        </w:rPr>
        <w:t>ă, metal, lemn</w:t>
      </w:r>
      <w:r w:rsidRPr="00161538">
        <w:rPr>
          <w:rFonts w:ascii="Arial" w:hAnsi="Arial" w:cs="Arial"/>
        </w:rPr>
        <w:t>), de</w:t>
      </w:r>
      <w:r>
        <w:rPr>
          <w:rFonts w:ascii="Arial" w:hAnsi="Arial" w:cs="Arial"/>
        </w:rPr>
        <w:t>ș</w:t>
      </w:r>
      <w:r w:rsidRPr="00161538">
        <w:rPr>
          <w:rFonts w:ascii="Arial" w:hAnsi="Arial" w:cs="Arial"/>
        </w:rPr>
        <w:t>euri voluminoase, de</w:t>
      </w:r>
      <w:r>
        <w:rPr>
          <w:rFonts w:ascii="Arial" w:hAnsi="Arial" w:cs="Arial"/>
        </w:rPr>
        <w:t>ș</w:t>
      </w:r>
      <w:r w:rsidRPr="00161538">
        <w:rPr>
          <w:rFonts w:ascii="Arial" w:hAnsi="Arial" w:cs="Arial"/>
        </w:rPr>
        <w:t>euri menajere periculoase (reprezentate de mici cantit</w:t>
      </w:r>
      <w:r>
        <w:rPr>
          <w:rFonts w:ascii="Arial" w:hAnsi="Arial" w:cs="Arial"/>
        </w:rPr>
        <w:t>ăț</w:t>
      </w:r>
      <w:r w:rsidRPr="00161538">
        <w:rPr>
          <w:rFonts w:ascii="Arial" w:hAnsi="Arial" w:cs="Arial"/>
        </w:rPr>
        <w:t xml:space="preserve">i de baterii pentru aparataj electronic, medicamente expirate, resturi de vopsele </w:t>
      </w:r>
      <w:r>
        <w:rPr>
          <w:rFonts w:ascii="Arial" w:hAnsi="Arial" w:cs="Arial"/>
        </w:rPr>
        <w:t>ș</w:t>
      </w:r>
      <w:r w:rsidRPr="00161538">
        <w:rPr>
          <w:rFonts w:ascii="Arial" w:hAnsi="Arial" w:cs="Arial"/>
        </w:rPr>
        <w:t>i diluan</w:t>
      </w:r>
      <w:r>
        <w:rPr>
          <w:rFonts w:ascii="Arial" w:hAnsi="Arial" w:cs="Arial"/>
        </w:rPr>
        <w:t>ț</w:t>
      </w:r>
      <w:r w:rsidRPr="00161538">
        <w:rPr>
          <w:rFonts w:ascii="Arial" w:hAnsi="Arial" w:cs="Arial"/>
        </w:rPr>
        <w:t xml:space="preserve">i, etc), deșeuri menajere necolectate generate </w:t>
      </w:r>
      <w:r>
        <w:rPr>
          <w:rFonts w:ascii="Arial" w:hAnsi="Arial" w:cs="Arial"/>
        </w:rPr>
        <w:t>î</w:t>
      </w:r>
      <w:r w:rsidRPr="00161538">
        <w:rPr>
          <w:rFonts w:ascii="Arial" w:hAnsi="Arial" w:cs="Arial"/>
        </w:rPr>
        <w:t xml:space="preserve">n general </w:t>
      </w:r>
      <w:r>
        <w:rPr>
          <w:rFonts w:ascii="Arial" w:hAnsi="Arial" w:cs="Arial"/>
        </w:rPr>
        <w:t>î</w:t>
      </w:r>
      <w:r w:rsidRPr="00161538">
        <w:rPr>
          <w:rFonts w:ascii="Arial" w:hAnsi="Arial" w:cs="Arial"/>
        </w:rPr>
        <w:t>n mediul rural de c</w:t>
      </w:r>
      <w:r>
        <w:rPr>
          <w:rFonts w:ascii="Arial" w:hAnsi="Arial" w:cs="Arial"/>
        </w:rPr>
        <w:t>ă</w:t>
      </w:r>
      <w:r w:rsidRPr="00161538">
        <w:rPr>
          <w:rFonts w:ascii="Arial" w:hAnsi="Arial" w:cs="Arial"/>
        </w:rPr>
        <w:t>tre popula</w:t>
      </w:r>
      <w:r>
        <w:rPr>
          <w:rFonts w:ascii="Arial" w:hAnsi="Arial" w:cs="Arial"/>
        </w:rPr>
        <w:t>ț</w:t>
      </w:r>
      <w:r w:rsidRPr="00161538">
        <w:rPr>
          <w:rFonts w:ascii="Arial" w:hAnsi="Arial" w:cs="Arial"/>
        </w:rPr>
        <w:t>ia nedeservit</w:t>
      </w:r>
      <w:r>
        <w:rPr>
          <w:rFonts w:ascii="Arial" w:hAnsi="Arial" w:cs="Arial"/>
        </w:rPr>
        <w:t>ă</w:t>
      </w:r>
      <w:r w:rsidRPr="00161538">
        <w:rPr>
          <w:rFonts w:ascii="Arial" w:hAnsi="Arial" w:cs="Arial"/>
        </w:rPr>
        <w:t xml:space="preserve"> de operatori de salubritate </w:t>
      </w:r>
      <w:r>
        <w:rPr>
          <w:rFonts w:ascii="Arial" w:hAnsi="Arial" w:cs="Arial"/>
        </w:rPr>
        <w:t>și depozitate ilegal).</w:t>
      </w:r>
      <w:r w:rsidRPr="00161538">
        <w:rPr>
          <w:rFonts w:ascii="Arial" w:hAnsi="Arial" w:cs="Arial"/>
        </w:rPr>
        <w:t xml:space="preserve"> </w:t>
      </w:r>
    </w:p>
    <w:p w:rsidR="00A107ED" w:rsidRPr="00161538" w:rsidRDefault="00A107ED" w:rsidP="00A107ED">
      <w:pPr>
        <w:pStyle w:val="Default"/>
        <w:jc w:val="both"/>
        <w:rPr>
          <w:rFonts w:ascii="Arial" w:hAnsi="Arial" w:cs="Arial"/>
        </w:rPr>
      </w:pPr>
      <w:r w:rsidRPr="00161538">
        <w:rPr>
          <w:rFonts w:ascii="Arial" w:hAnsi="Arial" w:cs="Arial"/>
        </w:rPr>
        <w:t xml:space="preserve">• </w:t>
      </w:r>
      <w:r w:rsidRPr="00161538">
        <w:rPr>
          <w:rFonts w:ascii="Arial" w:hAnsi="Arial" w:cs="Arial"/>
          <w:b/>
          <w:bCs/>
        </w:rPr>
        <w:t>sectorul industrial</w:t>
      </w:r>
      <w:r w:rsidRPr="00161538">
        <w:rPr>
          <w:rFonts w:ascii="Arial" w:hAnsi="Arial" w:cs="Arial"/>
        </w:rPr>
        <w:t>: genereaz</w:t>
      </w:r>
      <w:r>
        <w:rPr>
          <w:rFonts w:ascii="Arial" w:hAnsi="Arial" w:cs="Arial"/>
        </w:rPr>
        <w:t>ă</w:t>
      </w:r>
      <w:r w:rsidRPr="00161538">
        <w:rPr>
          <w:rFonts w:ascii="Arial" w:hAnsi="Arial" w:cs="Arial"/>
        </w:rPr>
        <w:t xml:space="preserve"> de</w:t>
      </w:r>
      <w:r>
        <w:rPr>
          <w:rFonts w:ascii="Arial" w:hAnsi="Arial" w:cs="Arial"/>
        </w:rPr>
        <w:t>ș</w:t>
      </w:r>
      <w:r w:rsidRPr="00161538">
        <w:rPr>
          <w:rFonts w:ascii="Arial" w:hAnsi="Arial" w:cs="Arial"/>
        </w:rPr>
        <w:t xml:space="preserve">euri similare </w:t>
      </w:r>
      <w:r>
        <w:rPr>
          <w:rFonts w:ascii="Arial" w:hAnsi="Arial" w:cs="Arial"/>
        </w:rPr>
        <w:t>î</w:t>
      </w:r>
      <w:r w:rsidRPr="00161538">
        <w:rPr>
          <w:rFonts w:ascii="Arial" w:hAnsi="Arial" w:cs="Arial"/>
        </w:rPr>
        <w:t>n compozi</w:t>
      </w:r>
      <w:r>
        <w:rPr>
          <w:rFonts w:ascii="Arial" w:hAnsi="Arial" w:cs="Arial"/>
        </w:rPr>
        <w:t>ț</w:t>
      </w:r>
      <w:r w:rsidRPr="00161538">
        <w:rPr>
          <w:rFonts w:ascii="Arial" w:hAnsi="Arial" w:cs="Arial"/>
        </w:rPr>
        <w:t>i</w:t>
      </w:r>
      <w:r>
        <w:rPr>
          <w:rFonts w:ascii="Arial" w:hAnsi="Arial" w:cs="Arial"/>
        </w:rPr>
        <w:t>a</w:t>
      </w:r>
      <w:r w:rsidRPr="00161538">
        <w:rPr>
          <w:rFonts w:ascii="Arial" w:hAnsi="Arial" w:cs="Arial"/>
        </w:rPr>
        <w:t xml:space="preserve"> celor menajere, provenite din diferite activit</w:t>
      </w:r>
      <w:r>
        <w:rPr>
          <w:rFonts w:ascii="Arial" w:hAnsi="Arial" w:cs="Arial"/>
        </w:rPr>
        <w:t>ăți ale industriei (clă</w:t>
      </w:r>
      <w:r w:rsidRPr="00161538">
        <w:rPr>
          <w:rFonts w:ascii="Arial" w:hAnsi="Arial" w:cs="Arial"/>
        </w:rPr>
        <w:t>diri administrative, cantine, etc), de</w:t>
      </w:r>
      <w:r>
        <w:rPr>
          <w:rFonts w:ascii="Arial" w:hAnsi="Arial" w:cs="Arial"/>
        </w:rPr>
        <w:t>ș</w:t>
      </w:r>
      <w:r w:rsidRPr="00161538">
        <w:rPr>
          <w:rFonts w:ascii="Arial" w:hAnsi="Arial" w:cs="Arial"/>
        </w:rPr>
        <w:t>euri industriale ne-periculoase (de</w:t>
      </w:r>
      <w:r>
        <w:rPr>
          <w:rFonts w:ascii="Arial" w:hAnsi="Arial" w:cs="Arial"/>
        </w:rPr>
        <w:t>ș</w:t>
      </w:r>
      <w:r w:rsidRPr="00161538">
        <w:rPr>
          <w:rFonts w:ascii="Arial" w:hAnsi="Arial" w:cs="Arial"/>
        </w:rPr>
        <w:t xml:space="preserve">euri </w:t>
      </w:r>
      <w:r>
        <w:rPr>
          <w:rFonts w:ascii="Arial" w:hAnsi="Arial" w:cs="Arial"/>
        </w:rPr>
        <w:t>î</w:t>
      </w:r>
      <w:r w:rsidRPr="00161538">
        <w:rPr>
          <w:rFonts w:ascii="Arial" w:hAnsi="Arial" w:cs="Arial"/>
        </w:rPr>
        <w:t xml:space="preserve">n general depozitate </w:t>
      </w:r>
      <w:r>
        <w:rPr>
          <w:rFonts w:ascii="Arial" w:hAnsi="Arial" w:cs="Arial"/>
        </w:rPr>
        <w:t>î</w:t>
      </w:r>
      <w:r w:rsidRPr="00161538">
        <w:rPr>
          <w:rFonts w:ascii="Arial" w:hAnsi="Arial" w:cs="Arial"/>
        </w:rPr>
        <w:t xml:space="preserve">n depozite proprii); </w:t>
      </w:r>
    </w:p>
    <w:p w:rsidR="00A107ED" w:rsidRDefault="00A107ED" w:rsidP="00A107ED">
      <w:pPr>
        <w:pStyle w:val="Default"/>
        <w:jc w:val="both"/>
        <w:rPr>
          <w:rFonts w:ascii="Arial" w:hAnsi="Arial" w:cs="Arial"/>
        </w:rPr>
      </w:pPr>
      <w:r w:rsidRPr="00161538">
        <w:rPr>
          <w:rFonts w:ascii="Arial" w:hAnsi="Arial" w:cs="Arial"/>
        </w:rPr>
        <w:t xml:space="preserve">• </w:t>
      </w:r>
      <w:r w:rsidRPr="00161538">
        <w:rPr>
          <w:rFonts w:ascii="Arial" w:hAnsi="Arial" w:cs="Arial"/>
          <w:b/>
          <w:bCs/>
        </w:rPr>
        <w:t>sectorul comercial şi instituţional</w:t>
      </w:r>
      <w:r w:rsidRPr="00161538">
        <w:rPr>
          <w:rFonts w:ascii="Arial" w:hAnsi="Arial" w:cs="Arial"/>
        </w:rPr>
        <w:t>: genereaz</w:t>
      </w:r>
      <w:r>
        <w:rPr>
          <w:rFonts w:ascii="Arial" w:hAnsi="Arial" w:cs="Arial"/>
        </w:rPr>
        <w:t>ă</w:t>
      </w:r>
      <w:r w:rsidRPr="00161538">
        <w:rPr>
          <w:rFonts w:ascii="Arial" w:hAnsi="Arial" w:cs="Arial"/>
        </w:rPr>
        <w:t xml:space="preserve"> de</w:t>
      </w:r>
      <w:r>
        <w:rPr>
          <w:rFonts w:ascii="Arial" w:hAnsi="Arial" w:cs="Arial"/>
        </w:rPr>
        <w:t>ș</w:t>
      </w:r>
      <w:r w:rsidRPr="00161538">
        <w:rPr>
          <w:rFonts w:ascii="Arial" w:hAnsi="Arial" w:cs="Arial"/>
        </w:rPr>
        <w:t xml:space="preserve">euri similare </w:t>
      </w:r>
      <w:r>
        <w:rPr>
          <w:rFonts w:ascii="Arial" w:hAnsi="Arial" w:cs="Arial"/>
        </w:rPr>
        <w:t>ă</w:t>
      </w:r>
      <w:r w:rsidRPr="00161538">
        <w:rPr>
          <w:rFonts w:ascii="Arial" w:hAnsi="Arial" w:cs="Arial"/>
        </w:rPr>
        <w:t>n compozi</w:t>
      </w:r>
      <w:r>
        <w:rPr>
          <w:rFonts w:ascii="Arial" w:hAnsi="Arial" w:cs="Arial"/>
        </w:rPr>
        <w:t>ța</w:t>
      </w:r>
      <w:r w:rsidRPr="00161538">
        <w:rPr>
          <w:rFonts w:ascii="Arial" w:hAnsi="Arial" w:cs="Arial"/>
        </w:rPr>
        <w:t xml:space="preserve"> celor menajere, de</w:t>
      </w:r>
      <w:r>
        <w:rPr>
          <w:rFonts w:ascii="Arial" w:hAnsi="Arial" w:cs="Arial"/>
        </w:rPr>
        <w:t>ș</w:t>
      </w:r>
      <w:r w:rsidRPr="00161538">
        <w:rPr>
          <w:rFonts w:ascii="Arial" w:hAnsi="Arial" w:cs="Arial"/>
        </w:rPr>
        <w:t>euri din ambalaje (parte din aceste de</w:t>
      </w:r>
      <w:r>
        <w:rPr>
          <w:rFonts w:ascii="Arial" w:hAnsi="Arial" w:cs="Arial"/>
        </w:rPr>
        <w:t>ș</w:t>
      </w:r>
      <w:r w:rsidRPr="00161538">
        <w:rPr>
          <w:rFonts w:ascii="Arial" w:hAnsi="Arial" w:cs="Arial"/>
        </w:rPr>
        <w:t>euri s</w:t>
      </w:r>
      <w:r>
        <w:rPr>
          <w:rFonts w:ascii="Arial" w:hAnsi="Arial" w:cs="Arial"/>
        </w:rPr>
        <w:t>â</w:t>
      </w:r>
      <w:r w:rsidRPr="00161538">
        <w:rPr>
          <w:rFonts w:ascii="Arial" w:hAnsi="Arial" w:cs="Arial"/>
        </w:rPr>
        <w:t xml:space="preserve">nt reciclate </w:t>
      </w:r>
      <w:r>
        <w:rPr>
          <w:rFonts w:ascii="Arial" w:hAnsi="Arial" w:cs="Arial"/>
        </w:rPr>
        <w:t>ș</w:t>
      </w:r>
      <w:r w:rsidRPr="00161538">
        <w:rPr>
          <w:rFonts w:ascii="Arial" w:hAnsi="Arial" w:cs="Arial"/>
        </w:rPr>
        <w:t>i recuperate, returnate produc</w:t>
      </w:r>
      <w:r>
        <w:rPr>
          <w:rFonts w:ascii="Arial" w:hAnsi="Arial" w:cs="Arial"/>
        </w:rPr>
        <w:t>ă</w:t>
      </w:r>
      <w:r w:rsidRPr="00161538">
        <w:rPr>
          <w:rFonts w:ascii="Arial" w:hAnsi="Arial" w:cs="Arial"/>
        </w:rPr>
        <w:t>torilor sau sunt depuse la depozit), de</w:t>
      </w:r>
      <w:r>
        <w:rPr>
          <w:rFonts w:ascii="Arial" w:hAnsi="Arial" w:cs="Arial"/>
        </w:rPr>
        <w:t>ș</w:t>
      </w:r>
      <w:r w:rsidRPr="00161538">
        <w:rPr>
          <w:rFonts w:ascii="Arial" w:hAnsi="Arial" w:cs="Arial"/>
        </w:rPr>
        <w:t>euri voluminoase, de</w:t>
      </w:r>
      <w:r>
        <w:rPr>
          <w:rFonts w:ascii="Arial" w:hAnsi="Arial" w:cs="Arial"/>
        </w:rPr>
        <w:t>ș</w:t>
      </w:r>
      <w:r w:rsidRPr="00161538">
        <w:rPr>
          <w:rFonts w:ascii="Arial" w:hAnsi="Arial" w:cs="Arial"/>
        </w:rPr>
        <w:t>euri medicale periculoase si de</w:t>
      </w:r>
      <w:r>
        <w:rPr>
          <w:rFonts w:ascii="Arial" w:hAnsi="Arial" w:cs="Arial"/>
        </w:rPr>
        <w:t>șeuri periculoase,</w:t>
      </w:r>
    </w:p>
    <w:p w:rsidR="00A107ED" w:rsidRPr="00161538" w:rsidRDefault="00A107ED" w:rsidP="00A107ED">
      <w:pPr>
        <w:pStyle w:val="Default"/>
        <w:jc w:val="both"/>
        <w:rPr>
          <w:rFonts w:ascii="Arial" w:hAnsi="Arial" w:cs="Arial"/>
        </w:rPr>
      </w:pPr>
      <w:r w:rsidRPr="00161538">
        <w:rPr>
          <w:rFonts w:ascii="Arial" w:hAnsi="Arial" w:cs="Arial"/>
        </w:rPr>
        <w:t xml:space="preserve"> • </w:t>
      </w:r>
      <w:r w:rsidRPr="00161538">
        <w:rPr>
          <w:rFonts w:ascii="Arial" w:hAnsi="Arial" w:cs="Arial"/>
          <w:b/>
          <w:bCs/>
        </w:rPr>
        <w:t>sectorul de construcţii</w:t>
      </w:r>
      <w:r w:rsidRPr="00161538">
        <w:rPr>
          <w:rFonts w:ascii="Arial" w:hAnsi="Arial" w:cs="Arial"/>
        </w:rPr>
        <w:t>: fluxul principal este constituit de de</w:t>
      </w:r>
      <w:r>
        <w:rPr>
          <w:rFonts w:ascii="Arial" w:hAnsi="Arial" w:cs="Arial"/>
        </w:rPr>
        <w:t>ș</w:t>
      </w:r>
      <w:r w:rsidRPr="00161538">
        <w:rPr>
          <w:rFonts w:ascii="Arial" w:hAnsi="Arial" w:cs="Arial"/>
        </w:rPr>
        <w:t>euri din construc</w:t>
      </w:r>
      <w:r>
        <w:rPr>
          <w:rFonts w:ascii="Arial" w:hAnsi="Arial" w:cs="Arial"/>
        </w:rPr>
        <w:t>ț</w:t>
      </w:r>
      <w:r w:rsidRPr="00161538">
        <w:rPr>
          <w:rFonts w:ascii="Arial" w:hAnsi="Arial" w:cs="Arial"/>
        </w:rPr>
        <w:t xml:space="preserve">ii </w:t>
      </w:r>
      <w:r>
        <w:rPr>
          <w:rFonts w:ascii="Arial" w:hAnsi="Arial" w:cs="Arial"/>
        </w:rPr>
        <w:t>ș</w:t>
      </w:r>
      <w:r w:rsidRPr="00161538">
        <w:rPr>
          <w:rFonts w:ascii="Arial" w:hAnsi="Arial" w:cs="Arial"/>
        </w:rPr>
        <w:t>i demol</w:t>
      </w:r>
      <w:r>
        <w:rPr>
          <w:rFonts w:ascii="Arial" w:hAnsi="Arial" w:cs="Arial"/>
        </w:rPr>
        <w:t>ă</w:t>
      </w:r>
      <w:r w:rsidRPr="00161538">
        <w:rPr>
          <w:rFonts w:ascii="Arial" w:hAnsi="Arial" w:cs="Arial"/>
        </w:rPr>
        <w:t>ri (includ diverse cantit</w:t>
      </w:r>
      <w:r>
        <w:rPr>
          <w:rFonts w:ascii="Arial" w:hAnsi="Arial" w:cs="Arial"/>
        </w:rPr>
        <w:t>ăț</w:t>
      </w:r>
      <w:r w:rsidRPr="00161538">
        <w:rPr>
          <w:rFonts w:ascii="Arial" w:hAnsi="Arial" w:cs="Arial"/>
        </w:rPr>
        <w:t>i de lemn, metal, sticl</w:t>
      </w:r>
      <w:r>
        <w:rPr>
          <w:rFonts w:ascii="Arial" w:hAnsi="Arial" w:cs="Arial"/>
        </w:rPr>
        <w:t>ă</w:t>
      </w:r>
      <w:r w:rsidRPr="00161538">
        <w:rPr>
          <w:rFonts w:ascii="Arial" w:hAnsi="Arial" w:cs="Arial"/>
        </w:rPr>
        <w:t>, plastic, etc – mare parte a acestor material</w:t>
      </w:r>
      <w:r>
        <w:rPr>
          <w:rFonts w:ascii="Arial" w:hAnsi="Arial" w:cs="Arial"/>
        </w:rPr>
        <w:t>e</w:t>
      </w:r>
      <w:r w:rsidRPr="00161538">
        <w:rPr>
          <w:rFonts w:ascii="Arial" w:hAnsi="Arial" w:cs="Arial"/>
        </w:rPr>
        <w:t xml:space="preserve"> sunt recuperate, restul const</w:t>
      </w:r>
      <w:r>
        <w:rPr>
          <w:rFonts w:ascii="Arial" w:hAnsi="Arial" w:cs="Arial"/>
        </w:rPr>
        <w:t>i</w:t>
      </w:r>
      <w:r w:rsidRPr="00161538">
        <w:rPr>
          <w:rFonts w:ascii="Arial" w:hAnsi="Arial" w:cs="Arial"/>
        </w:rPr>
        <w:t>uie un refuz inert, care de obicei se depoziteaz</w:t>
      </w:r>
      <w:r>
        <w:rPr>
          <w:rFonts w:ascii="Arial" w:hAnsi="Arial" w:cs="Arial"/>
        </w:rPr>
        <w:t>ă</w:t>
      </w:r>
      <w:r w:rsidRPr="00161538">
        <w:rPr>
          <w:rFonts w:ascii="Arial" w:hAnsi="Arial" w:cs="Arial"/>
        </w:rPr>
        <w:t xml:space="preserve">); </w:t>
      </w:r>
    </w:p>
    <w:p w:rsidR="00A107ED" w:rsidRDefault="00A107ED" w:rsidP="00A107ED">
      <w:pPr>
        <w:pStyle w:val="Default"/>
        <w:jc w:val="both"/>
        <w:rPr>
          <w:rFonts w:ascii="Arial" w:hAnsi="Arial" w:cs="Arial"/>
        </w:rPr>
      </w:pPr>
      <w:r w:rsidRPr="00161538">
        <w:rPr>
          <w:rFonts w:ascii="Arial" w:hAnsi="Arial" w:cs="Arial"/>
        </w:rPr>
        <w:t xml:space="preserve">• </w:t>
      </w:r>
      <w:r w:rsidRPr="00161538">
        <w:rPr>
          <w:rFonts w:ascii="Arial" w:hAnsi="Arial" w:cs="Arial"/>
          <w:b/>
          <w:bCs/>
        </w:rPr>
        <w:t>sectorul municipal</w:t>
      </w:r>
      <w:r w:rsidRPr="00161538">
        <w:rPr>
          <w:rFonts w:ascii="Arial" w:hAnsi="Arial" w:cs="Arial"/>
        </w:rPr>
        <w:t>: este reprezentat de diverse tipuri de de</w:t>
      </w:r>
      <w:r>
        <w:rPr>
          <w:rFonts w:ascii="Arial" w:hAnsi="Arial" w:cs="Arial"/>
        </w:rPr>
        <w:t>ș</w:t>
      </w:r>
      <w:r w:rsidRPr="00161538">
        <w:rPr>
          <w:rFonts w:ascii="Arial" w:hAnsi="Arial" w:cs="Arial"/>
        </w:rPr>
        <w:t>euri rezultate din activit</w:t>
      </w:r>
      <w:r>
        <w:rPr>
          <w:rFonts w:ascii="Arial" w:hAnsi="Arial" w:cs="Arial"/>
        </w:rPr>
        <w:t>ăț</w:t>
      </w:r>
      <w:r w:rsidRPr="00161538">
        <w:rPr>
          <w:rFonts w:ascii="Arial" w:hAnsi="Arial" w:cs="Arial"/>
        </w:rPr>
        <w:t>ile de cur</w:t>
      </w:r>
      <w:r>
        <w:rPr>
          <w:rFonts w:ascii="Arial" w:hAnsi="Arial" w:cs="Arial"/>
        </w:rPr>
        <w:t>ăț</w:t>
      </w:r>
      <w:r w:rsidRPr="00161538">
        <w:rPr>
          <w:rFonts w:ascii="Arial" w:hAnsi="Arial" w:cs="Arial"/>
        </w:rPr>
        <w:t xml:space="preserve">enie </w:t>
      </w:r>
      <w:r>
        <w:rPr>
          <w:rFonts w:ascii="Arial" w:hAnsi="Arial" w:cs="Arial"/>
        </w:rPr>
        <w:t>ș</w:t>
      </w:r>
      <w:r w:rsidRPr="00161538">
        <w:rPr>
          <w:rFonts w:ascii="Arial" w:hAnsi="Arial" w:cs="Arial"/>
        </w:rPr>
        <w:t xml:space="preserve">i </w:t>
      </w:r>
      <w:r>
        <w:rPr>
          <w:rFonts w:ascii="Arial" w:hAnsi="Arial" w:cs="Arial"/>
        </w:rPr>
        <w:t>î</w:t>
      </w:r>
      <w:r w:rsidRPr="00161538">
        <w:rPr>
          <w:rFonts w:ascii="Arial" w:hAnsi="Arial" w:cs="Arial"/>
        </w:rPr>
        <w:t>ntre</w:t>
      </w:r>
      <w:r>
        <w:rPr>
          <w:rFonts w:ascii="Arial" w:hAnsi="Arial" w:cs="Arial"/>
        </w:rPr>
        <w:t>ț</w:t>
      </w:r>
      <w:r w:rsidRPr="00161538">
        <w:rPr>
          <w:rFonts w:ascii="Arial" w:hAnsi="Arial" w:cs="Arial"/>
        </w:rPr>
        <w:t>inere a infrastructu</w:t>
      </w:r>
      <w:r>
        <w:rPr>
          <w:rFonts w:ascii="Arial" w:hAnsi="Arial" w:cs="Arial"/>
        </w:rPr>
        <w:t>r</w:t>
      </w:r>
      <w:r w:rsidRPr="00161538">
        <w:rPr>
          <w:rFonts w:ascii="Arial" w:hAnsi="Arial" w:cs="Arial"/>
        </w:rPr>
        <w:t>ii municipal</w:t>
      </w:r>
      <w:r>
        <w:rPr>
          <w:rFonts w:ascii="Arial" w:hAnsi="Arial" w:cs="Arial"/>
        </w:rPr>
        <w:t>e(</w:t>
      </w:r>
      <w:r w:rsidRPr="00161538">
        <w:rPr>
          <w:rFonts w:ascii="Arial" w:hAnsi="Arial" w:cs="Arial"/>
        </w:rPr>
        <w:t>de</w:t>
      </w:r>
      <w:r>
        <w:rPr>
          <w:rFonts w:ascii="Arial" w:hAnsi="Arial" w:cs="Arial"/>
        </w:rPr>
        <w:t>ș</w:t>
      </w:r>
      <w:r w:rsidRPr="00161538">
        <w:rPr>
          <w:rFonts w:ascii="Arial" w:hAnsi="Arial" w:cs="Arial"/>
        </w:rPr>
        <w:t>euri stradale, de</w:t>
      </w:r>
      <w:r>
        <w:rPr>
          <w:rFonts w:ascii="Arial" w:hAnsi="Arial" w:cs="Arial"/>
        </w:rPr>
        <w:t>ș</w:t>
      </w:r>
      <w:r w:rsidRPr="00161538">
        <w:rPr>
          <w:rFonts w:ascii="Arial" w:hAnsi="Arial" w:cs="Arial"/>
        </w:rPr>
        <w:t>euri din pie</w:t>
      </w:r>
      <w:r>
        <w:rPr>
          <w:rFonts w:ascii="Arial" w:hAnsi="Arial" w:cs="Arial"/>
        </w:rPr>
        <w:t>ț</w:t>
      </w:r>
      <w:r w:rsidRPr="00161538">
        <w:rPr>
          <w:rFonts w:ascii="Arial" w:hAnsi="Arial" w:cs="Arial"/>
        </w:rPr>
        <w:t xml:space="preserve"> </w:t>
      </w:r>
      <w:r>
        <w:rPr>
          <w:rFonts w:ascii="Arial" w:hAnsi="Arial" w:cs="Arial"/>
        </w:rPr>
        <w:t>,</w:t>
      </w:r>
      <w:r w:rsidRPr="00161538">
        <w:rPr>
          <w:rFonts w:ascii="Arial" w:hAnsi="Arial" w:cs="Arial"/>
        </w:rPr>
        <w:t xml:space="preserve"> de</w:t>
      </w:r>
      <w:r>
        <w:rPr>
          <w:rFonts w:ascii="Arial" w:hAnsi="Arial" w:cs="Arial"/>
        </w:rPr>
        <w:t>ș</w:t>
      </w:r>
      <w:r w:rsidRPr="00161538">
        <w:rPr>
          <w:rFonts w:ascii="Arial" w:hAnsi="Arial" w:cs="Arial"/>
        </w:rPr>
        <w:t>euri verzi, fractii biodegradabile, ambalaje, etc), de</w:t>
      </w:r>
      <w:r>
        <w:rPr>
          <w:rFonts w:ascii="Arial" w:hAnsi="Arial" w:cs="Arial"/>
        </w:rPr>
        <w:t>ș</w:t>
      </w:r>
      <w:r w:rsidRPr="00161538">
        <w:rPr>
          <w:rFonts w:ascii="Arial" w:hAnsi="Arial" w:cs="Arial"/>
        </w:rPr>
        <w:t xml:space="preserve">euri din parcuri </w:t>
      </w:r>
      <w:r>
        <w:rPr>
          <w:rFonts w:ascii="Arial" w:hAnsi="Arial" w:cs="Arial"/>
        </w:rPr>
        <w:t>ș</w:t>
      </w:r>
      <w:r w:rsidRPr="00161538">
        <w:rPr>
          <w:rFonts w:ascii="Arial" w:hAnsi="Arial" w:cs="Arial"/>
        </w:rPr>
        <w:t>i gr</w:t>
      </w:r>
      <w:r>
        <w:rPr>
          <w:rFonts w:ascii="Arial" w:hAnsi="Arial" w:cs="Arial"/>
        </w:rPr>
        <w:t>ă</w:t>
      </w:r>
      <w:r w:rsidRPr="00161538">
        <w:rPr>
          <w:rFonts w:ascii="Arial" w:hAnsi="Arial" w:cs="Arial"/>
        </w:rPr>
        <w:t xml:space="preserve">dini </w:t>
      </w:r>
    </w:p>
    <w:p w:rsidR="00A107ED" w:rsidRPr="00161538" w:rsidRDefault="00A107ED" w:rsidP="00A107ED">
      <w:pPr>
        <w:pStyle w:val="Default"/>
        <w:jc w:val="both"/>
        <w:rPr>
          <w:rFonts w:ascii="Arial" w:hAnsi="Arial" w:cs="Arial"/>
        </w:rPr>
      </w:pPr>
      <w:r w:rsidRPr="00161538">
        <w:rPr>
          <w:rFonts w:ascii="Arial" w:hAnsi="Arial" w:cs="Arial"/>
        </w:rPr>
        <w:t xml:space="preserve">• </w:t>
      </w:r>
      <w:r w:rsidRPr="00161538">
        <w:rPr>
          <w:rFonts w:ascii="Arial" w:hAnsi="Arial" w:cs="Arial"/>
          <w:b/>
          <w:bCs/>
        </w:rPr>
        <w:t>activităţi cu impact asupra mediului</w:t>
      </w:r>
      <w:r w:rsidRPr="00161538">
        <w:rPr>
          <w:rFonts w:ascii="Arial" w:hAnsi="Arial" w:cs="Arial"/>
        </w:rPr>
        <w:t>: n</w:t>
      </w:r>
      <w:r>
        <w:rPr>
          <w:rFonts w:ascii="Arial" w:hAnsi="Arial" w:cs="Arial"/>
        </w:rPr>
        <w:t>ă</w:t>
      </w:r>
      <w:r w:rsidRPr="00161538">
        <w:rPr>
          <w:rFonts w:ascii="Arial" w:hAnsi="Arial" w:cs="Arial"/>
        </w:rPr>
        <w:t>moluri (provenite din sta</w:t>
      </w:r>
      <w:r>
        <w:rPr>
          <w:rFonts w:ascii="Arial" w:hAnsi="Arial" w:cs="Arial"/>
        </w:rPr>
        <w:t>ț</w:t>
      </w:r>
      <w:r w:rsidRPr="00161538">
        <w:rPr>
          <w:rFonts w:ascii="Arial" w:hAnsi="Arial" w:cs="Arial"/>
        </w:rPr>
        <w:t xml:space="preserve">iile </w:t>
      </w:r>
      <w:r>
        <w:rPr>
          <w:rFonts w:ascii="Arial" w:hAnsi="Arial" w:cs="Arial"/>
        </w:rPr>
        <w:t>de tratare ape uzate menajere).</w:t>
      </w:r>
    </w:p>
    <w:p w:rsidR="00A107ED" w:rsidRPr="00161538" w:rsidRDefault="00A107ED" w:rsidP="00A107ED">
      <w:pPr>
        <w:jc w:val="both"/>
        <w:rPr>
          <w:rFonts w:ascii="Arial" w:hAnsi="Arial" w:cs="Arial"/>
        </w:rPr>
      </w:pPr>
      <w:r w:rsidRPr="00161538">
        <w:rPr>
          <w:rFonts w:ascii="Arial" w:hAnsi="Arial" w:cs="Arial"/>
        </w:rPr>
        <w:t xml:space="preserve">• </w:t>
      </w:r>
      <w:r w:rsidRPr="00161538">
        <w:rPr>
          <w:rFonts w:ascii="Arial" w:hAnsi="Arial" w:cs="Arial"/>
          <w:b/>
          <w:bCs/>
        </w:rPr>
        <w:t>fluxuri speciale de deşeuri</w:t>
      </w:r>
      <w:r w:rsidRPr="00161538">
        <w:rPr>
          <w:rFonts w:ascii="Arial" w:hAnsi="Arial" w:cs="Arial"/>
        </w:rPr>
        <w:t>: de</w:t>
      </w:r>
      <w:r>
        <w:rPr>
          <w:rFonts w:ascii="Arial" w:hAnsi="Arial" w:cs="Arial"/>
        </w:rPr>
        <w:t>ș</w:t>
      </w:r>
      <w:r w:rsidRPr="00161538">
        <w:rPr>
          <w:rFonts w:ascii="Arial" w:hAnsi="Arial" w:cs="Arial"/>
        </w:rPr>
        <w:t>euri periculoase, de</w:t>
      </w:r>
      <w:r>
        <w:rPr>
          <w:rFonts w:ascii="Arial" w:hAnsi="Arial" w:cs="Arial"/>
        </w:rPr>
        <w:t>ș</w:t>
      </w:r>
      <w:r w:rsidRPr="00161538">
        <w:rPr>
          <w:rFonts w:ascii="Arial" w:hAnsi="Arial" w:cs="Arial"/>
        </w:rPr>
        <w:t xml:space="preserve">euri provenite din echipamente electrice </w:t>
      </w:r>
      <w:r>
        <w:rPr>
          <w:rFonts w:ascii="Arial" w:hAnsi="Arial" w:cs="Arial"/>
        </w:rPr>
        <w:t>ș</w:t>
      </w:r>
      <w:r w:rsidRPr="00161538">
        <w:rPr>
          <w:rFonts w:ascii="Arial" w:hAnsi="Arial" w:cs="Arial"/>
        </w:rPr>
        <w:t>i electronice, de</w:t>
      </w:r>
      <w:r>
        <w:rPr>
          <w:rFonts w:ascii="Arial" w:hAnsi="Arial" w:cs="Arial"/>
        </w:rPr>
        <w:t>ș</w:t>
      </w:r>
      <w:r w:rsidRPr="00161538">
        <w:rPr>
          <w:rFonts w:ascii="Arial" w:hAnsi="Arial" w:cs="Arial"/>
        </w:rPr>
        <w:t>euri rezultate din scoter</w:t>
      </w:r>
      <w:r>
        <w:rPr>
          <w:rFonts w:ascii="Arial" w:hAnsi="Arial" w:cs="Arial"/>
        </w:rPr>
        <w:t>ea din uz a autovehicolelor, deș</w:t>
      </w:r>
      <w:r w:rsidRPr="00161538">
        <w:rPr>
          <w:rFonts w:ascii="Arial" w:hAnsi="Arial" w:cs="Arial"/>
        </w:rPr>
        <w:t>euri de anvelope uzate.</w:t>
      </w:r>
    </w:p>
    <w:p w:rsidR="00A107ED" w:rsidRDefault="00A107ED" w:rsidP="00A107ED">
      <w:pPr>
        <w:tabs>
          <w:tab w:val="left" w:pos="1159"/>
        </w:tabs>
        <w:outlineLvl w:val="0"/>
        <w:rPr>
          <w:rFonts w:ascii="Arial" w:hAnsi="Arial" w:cs="Arial"/>
          <w:b/>
        </w:rPr>
      </w:pPr>
    </w:p>
    <w:p w:rsidR="00A107ED" w:rsidRPr="00E8632B" w:rsidRDefault="00A107ED" w:rsidP="00A107ED">
      <w:pPr>
        <w:tabs>
          <w:tab w:val="left" w:pos="1159"/>
        </w:tabs>
        <w:outlineLvl w:val="0"/>
        <w:rPr>
          <w:rFonts w:ascii="Arial" w:hAnsi="Arial" w:cs="Arial"/>
          <w:b/>
        </w:rPr>
      </w:pPr>
      <w:r w:rsidRPr="00E8632B">
        <w:rPr>
          <w:rFonts w:ascii="Arial" w:hAnsi="Arial" w:cs="Arial"/>
          <w:b/>
        </w:rPr>
        <w:t>XI.4. Prognoze, politici și măsuri privind consumul și mediul</w:t>
      </w:r>
    </w:p>
    <w:p w:rsidR="00A107ED" w:rsidRDefault="00A107ED" w:rsidP="00A107ED">
      <w:pPr>
        <w:rPr>
          <w:rFonts w:ascii="Arial" w:hAnsi="Arial" w:cs="Arial"/>
          <w:b/>
          <w:lang w:val="it-IT"/>
        </w:rPr>
      </w:pPr>
    </w:p>
    <w:p w:rsidR="00A107ED" w:rsidRPr="00F0277D" w:rsidRDefault="00A107ED" w:rsidP="00A107ED">
      <w:pPr>
        <w:rPr>
          <w:rFonts w:ascii="Arial" w:hAnsi="Arial" w:cs="Arial"/>
          <w:b/>
          <w:lang w:val="it-IT"/>
        </w:rPr>
      </w:pPr>
      <w:r w:rsidRPr="00F0277D">
        <w:rPr>
          <w:rFonts w:ascii="Arial" w:hAnsi="Arial" w:cs="Arial"/>
          <w:b/>
          <w:lang w:val="it-IT"/>
        </w:rPr>
        <w:t>Produsul intern brut şi Valoarea adaugat</w:t>
      </w:r>
      <w:r>
        <w:rPr>
          <w:rFonts w:ascii="Arial" w:hAnsi="Arial" w:cs="Arial"/>
          <w:b/>
          <w:lang w:val="it-IT"/>
        </w:rPr>
        <w:t>ă</w:t>
      </w:r>
      <w:r w:rsidRPr="00F0277D">
        <w:rPr>
          <w:rFonts w:ascii="Arial" w:hAnsi="Arial" w:cs="Arial"/>
          <w:b/>
          <w:lang w:val="it-IT"/>
        </w:rPr>
        <w:t xml:space="preserve"> brut</w:t>
      </w:r>
      <w:r>
        <w:rPr>
          <w:rFonts w:ascii="Arial" w:hAnsi="Arial" w:cs="Arial"/>
          <w:b/>
          <w:lang w:val="it-IT"/>
        </w:rPr>
        <w:t>ă</w:t>
      </w:r>
      <w:r w:rsidRPr="00F0277D">
        <w:rPr>
          <w:rFonts w:ascii="Arial" w:hAnsi="Arial" w:cs="Arial"/>
          <w:b/>
          <w:lang w:val="it-IT"/>
        </w:rPr>
        <w:t>, pe ramuri de activitate</w:t>
      </w:r>
    </w:p>
    <w:p w:rsidR="00A107ED" w:rsidRPr="00BA52CC" w:rsidRDefault="00A107ED" w:rsidP="00A107ED">
      <w:pPr>
        <w:rPr>
          <w:b/>
          <w:sz w:val="20"/>
          <w:szCs w:val="20"/>
          <w:lang w:val="it-IT"/>
        </w:rPr>
      </w:pPr>
    </w:p>
    <w:p w:rsidR="00A107ED" w:rsidRDefault="00A107ED" w:rsidP="00A107ED">
      <w:pPr>
        <w:rPr>
          <w:rFonts w:ascii="Arial" w:hAnsi="Arial" w:cs="Arial"/>
          <w:color w:val="000000"/>
        </w:rPr>
      </w:pPr>
      <w:r w:rsidRPr="00FB3C99">
        <w:rPr>
          <w:rFonts w:ascii="Arial" w:hAnsi="Arial" w:cs="Arial"/>
          <w:b/>
          <w:color w:val="000000"/>
        </w:rPr>
        <w:t>Tabelul nr. XI.4. -</w:t>
      </w:r>
      <w:r>
        <w:rPr>
          <w:rFonts w:ascii="Arial" w:hAnsi="Arial" w:cs="Arial"/>
          <w:b/>
          <w:color w:val="000000"/>
        </w:rPr>
        <w:t xml:space="preserve"> </w:t>
      </w:r>
      <w:r w:rsidRPr="00FB3C99">
        <w:rPr>
          <w:rFonts w:ascii="Arial" w:hAnsi="Arial" w:cs="Arial"/>
          <w:b/>
          <w:color w:val="000000"/>
        </w:rPr>
        <w:t>1</w:t>
      </w:r>
      <w:r>
        <w:rPr>
          <w:rFonts w:ascii="Arial" w:hAnsi="Arial" w:cs="Arial"/>
          <w:color w:val="000000"/>
        </w:rPr>
        <w:t xml:space="preserve"> </w:t>
      </w:r>
      <w:r w:rsidRPr="00FB3C99">
        <w:rPr>
          <w:rFonts w:ascii="Arial" w:hAnsi="Arial" w:cs="Arial"/>
          <w:color w:val="000000"/>
        </w:rPr>
        <w:t xml:space="preserve"> </w:t>
      </w:r>
      <w:r w:rsidRPr="00FB3C99">
        <w:rPr>
          <w:rFonts w:ascii="Arial" w:hAnsi="Arial" w:cs="Arial"/>
          <w:lang w:val="it-IT"/>
        </w:rPr>
        <w:t>Produsul intern brut şi Valoarea adaugat</w:t>
      </w:r>
      <w:r>
        <w:rPr>
          <w:rFonts w:ascii="Arial" w:hAnsi="Arial" w:cs="Arial"/>
          <w:lang w:val="it-IT"/>
        </w:rPr>
        <w:t>ă</w:t>
      </w:r>
      <w:r w:rsidRPr="00FB3C99">
        <w:rPr>
          <w:rFonts w:ascii="Arial" w:hAnsi="Arial" w:cs="Arial"/>
          <w:lang w:val="it-IT"/>
        </w:rPr>
        <w:t xml:space="preserve"> brută, pe ramuri de activitate</w:t>
      </w:r>
      <w:r w:rsidRPr="00FB3C99">
        <w:rPr>
          <w:rFonts w:ascii="Arial" w:hAnsi="Arial" w:cs="Arial"/>
          <w:color w:val="000000"/>
        </w:rPr>
        <w:t xml:space="preserve">                                                                          </w:t>
      </w:r>
    </w:p>
    <w:p w:rsidR="00A107ED" w:rsidRPr="00FB3C99" w:rsidRDefault="00A107ED" w:rsidP="00A107ED">
      <w:pPr>
        <w:tabs>
          <w:tab w:val="left" w:pos="13608"/>
        </w:tabs>
        <w:rPr>
          <w:rFonts w:ascii="Arial" w:hAnsi="Arial" w:cs="Arial"/>
          <w:b/>
        </w:rPr>
      </w:pPr>
      <w:r>
        <w:rPr>
          <w:rFonts w:ascii="Arial" w:hAnsi="Arial" w:cs="Arial"/>
          <w:color w:val="000000"/>
        </w:rPr>
        <w:lastRenderedPageBreak/>
        <w:t xml:space="preserve">                                                                               </w:t>
      </w:r>
      <w:r w:rsidRPr="00FB3C99">
        <w:rPr>
          <w:rFonts w:ascii="Arial" w:hAnsi="Arial" w:cs="Arial"/>
          <w:color w:val="000000"/>
        </w:rPr>
        <w:t>milioane lei – preţuri curente</w:t>
      </w:r>
    </w:p>
    <w:tbl>
      <w:tblPr>
        <w:tblW w:w="9360" w:type="dxa"/>
        <w:jc w:val="center"/>
        <w:tblInd w:w="159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00"/>
      </w:tblPr>
      <w:tblGrid>
        <w:gridCol w:w="6023"/>
        <w:gridCol w:w="1211"/>
        <w:gridCol w:w="992"/>
        <w:gridCol w:w="1134"/>
      </w:tblGrid>
      <w:tr w:rsidR="00A107ED" w:rsidRPr="004E468C" w:rsidTr="00513820">
        <w:trPr>
          <w:trHeight w:val="542"/>
          <w:jc w:val="center"/>
        </w:trPr>
        <w:tc>
          <w:tcPr>
            <w:tcW w:w="6023" w:type="dxa"/>
            <w:shd w:val="clear" w:color="auto" w:fill="FBD4B4" w:themeFill="accent6" w:themeFillTint="66"/>
            <w:noWrap/>
            <w:vAlign w:val="center"/>
          </w:tcPr>
          <w:p w:rsidR="00A107ED" w:rsidRPr="004E468C" w:rsidRDefault="00A107ED" w:rsidP="00D0386E">
            <w:pPr>
              <w:jc w:val="center"/>
              <w:rPr>
                <w:rFonts w:ascii="Arial" w:hAnsi="Arial" w:cs="Arial"/>
                <w:b/>
              </w:rPr>
            </w:pPr>
            <w:r w:rsidRPr="004E468C">
              <w:rPr>
                <w:rFonts w:ascii="Arial" w:hAnsi="Arial" w:cs="Arial"/>
                <w:b/>
                <w:bCs/>
                <w:color w:val="000000"/>
              </w:rPr>
              <w:t>Judeţul Brăila</w:t>
            </w:r>
          </w:p>
        </w:tc>
        <w:tc>
          <w:tcPr>
            <w:tcW w:w="1211" w:type="dxa"/>
            <w:shd w:val="clear" w:color="auto" w:fill="FBD4B4" w:themeFill="accent6" w:themeFillTint="66"/>
            <w:vAlign w:val="center"/>
          </w:tcPr>
          <w:p w:rsidR="00A107ED" w:rsidRPr="004E468C" w:rsidRDefault="00A107ED" w:rsidP="00D0386E">
            <w:pPr>
              <w:jc w:val="center"/>
              <w:rPr>
                <w:rFonts w:ascii="Arial" w:hAnsi="Arial" w:cs="Arial"/>
                <w:b/>
                <w:color w:val="000000"/>
              </w:rPr>
            </w:pPr>
            <w:r w:rsidRPr="004E468C">
              <w:rPr>
                <w:rFonts w:ascii="Arial" w:hAnsi="Arial" w:cs="Arial"/>
                <w:b/>
                <w:color w:val="000000"/>
              </w:rPr>
              <w:t>2010</w:t>
            </w:r>
          </w:p>
        </w:tc>
        <w:tc>
          <w:tcPr>
            <w:tcW w:w="992" w:type="dxa"/>
            <w:shd w:val="clear" w:color="auto" w:fill="FBD4B4" w:themeFill="accent6" w:themeFillTint="66"/>
            <w:vAlign w:val="center"/>
          </w:tcPr>
          <w:p w:rsidR="00A107ED" w:rsidRPr="004E468C" w:rsidRDefault="00A107ED" w:rsidP="00D0386E">
            <w:pPr>
              <w:jc w:val="center"/>
              <w:rPr>
                <w:rFonts w:ascii="Arial" w:hAnsi="Arial" w:cs="Arial"/>
                <w:b/>
                <w:color w:val="000000"/>
              </w:rPr>
            </w:pPr>
            <w:r w:rsidRPr="004E468C">
              <w:rPr>
                <w:rFonts w:ascii="Arial" w:hAnsi="Arial" w:cs="Arial"/>
                <w:b/>
                <w:color w:val="000000"/>
              </w:rPr>
              <w:t>2011</w:t>
            </w:r>
          </w:p>
        </w:tc>
        <w:tc>
          <w:tcPr>
            <w:tcW w:w="1134" w:type="dxa"/>
            <w:shd w:val="clear" w:color="auto" w:fill="FBD4B4" w:themeFill="accent6" w:themeFillTint="66"/>
            <w:noWrap/>
            <w:vAlign w:val="center"/>
          </w:tcPr>
          <w:p w:rsidR="00A107ED" w:rsidRPr="004E468C" w:rsidRDefault="00A107ED" w:rsidP="00D0386E">
            <w:pPr>
              <w:jc w:val="center"/>
              <w:rPr>
                <w:rFonts w:ascii="Arial" w:hAnsi="Arial" w:cs="Arial"/>
                <w:b/>
                <w:color w:val="000000"/>
              </w:rPr>
            </w:pPr>
            <w:r w:rsidRPr="004E468C">
              <w:rPr>
                <w:rFonts w:ascii="Arial" w:hAnsi="Arial" w:cs="Arial"/>
                <w:b/>
                <w:color w:val="000000"/>
              </w:rPr>
              <w:t>2012</w:t>
            </w:r>
          </w:p>
        </w:tc>
      </w:tr>
      <w:tr w:rsidR="00A107ED" w:rsidRPr="004E468C" w:rsidTr="00513820">
        <w:trPr>
          <w:trHeight w:val="300"/>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b/>
              </w:rPr>
            </w:pPr>
            <w:r w:rsidRPr="004E468C">
              <w:rPr>
                <w:rFonts w:ascii="Arial" w:hAnsi="Arial" w:cs="Arial"/>
                <w:b/>
                <w:i/>
                <w:iCs/>
              </w:rPr>
              <w:t xml:space="preserve">Valoarea adăugată brută </w:t>
            </w:r>
            <w:r w:rsidRPr="004E468C">
              <w:rPr>
                <w:rFonts w:ascii="Arial" w:hAnsi="Arial" w:cs="Arial"/>
                <w:color w:val="000000"/>
              </w:rPr>
              <w:t xml:space="preserve"> - </w:t>
            </w:r>
            <w:r w:rsidRPr="004E468C">
              <w:rPr>
                <w:rFonts w:ascii="Arial" w:hAnsi="Arial" w:cs="Arial"/>
                <w:b/>
                <w:color w:val="000000"/>
              </w:rPr>
              <w:t>Total</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b/>
              </w:rPr>
            </w:pPr>
            <w:r w:rsidRPr="004E468C">
              <w:rPr>
                <w:rFonts w:ascii="Arial" w:hAnsi="Arial" w:cs="Arial"/>
                <w:b/>
              </w:rPr>
              <w:t>5617,2</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b/>
              </w:rPr>
            </w:pPr>
            <w:r w:rsidRPr="004E468C">
              <w:rPr>
                <w:rFonts w:ascii="Arial" w:hAnsi="Arial" w:cs="Arial"/>
                <w:b/>
              </w:rPr>
              <w:t>6191,5</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b/>
                <w:color w:val="000000"/>
              </w:rPr>
            </w:pPr>
            <w:r w:rsidRPr="004E468C">
              <w:rPr>
                <w:rFonts w:ascii="Arial" w:hAnsi="Arial" w:cs="Arial"/>
                <w:b/>
              </w:rPr>
              <w:t>6154,3</w:t>
            </w:r>
          </w:p>
        </w:tc>
      </w:tr>
      <w:tr w:rsidR="00A107ED" w:rsidRPr="004E468C" w:rsidTr="00513820">
        <w:trPr>
          <w:trHeight w:val="315"/>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i/>
                <w:iCs/>
                <w:color w:val="000000"/>
              </w:rPr>
            </w:pPr>
            <w:r w:rsidRPr="004E468C">
              <w:rPr>
                <w:rFonts w:ascii="Arial" w:hAnsi="Arial" w:cs="Arial"/>
                <w:i/>
                <w:iCs/>
                <w:color w:val="000000"/>
              </w:rPr>
              <w:t xml:space="preserve">Agricultură, silvicultură şi pescuit </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956,0</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1357,0</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1004,6</w:t>
            </w:r>
          </w:p>
        </w:tc>
      </w:tr>
      <w:tr w:rsidR="00A107ED" w:rsidRPr="004E468C" w:rsidTr="00513820">
        <w:trPr>
          <w:trHeight w:val="720"/>
          <w:jc w:val="center"/>
        </w:trPr>
        <w:tc>
          <w:tcPr>
            <w:tcW w:w="6023" w:type="dxa"/>
            <w:shd w:val="clear" w:color="auto" w:fill="FDE9D9" w:themeFill="accent6" w:themeFillTint="33"/>
            <w:vAlign w:val="center"/>
          </w:tcPr>
          <w:p w:rsidR="00A107ED" w:rsidRPr="004E468C" w:rsidRDefault="00A107ED" w:rsidP="00D0386E">
            <w:pPr>
              <w:jc w:val="center"/>
              <w:rPr>
                <w:rFonts w:ascii="Arial" w:hAnsi="Arial" w:cs="Arial"/>
                <w:i/>
                <w:iCs/>
              </w:rPr>
            </w:pPr>
            <w:r w:rsidRPr="004E468C">
              <w:rPr>
                <w:rFonts w:ascii="Arial" w:hAnsi="Arial" w:cs="Arial"/>
                <w:i/>
                <w:iCs/>
              </w:rPr>
              <w:t>Industria extractivă; industria prelucrătoare; producția și furnizarea de energie electrică și termică, gaze, apă caldă și aer condiționat; distribuția apei; salubritate, gestionarea deșeurilor, activități de decontaminare</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1594,9</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1845,3</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1603,7</w:t>
            </w:r>
          </w:p>
        </w:tc>
      </w:tr>
      <w:tr w:rsidR="00A107ED" w:rsidRPr="004E468C" w:rsidTr="00513820">
        <w:trPr>
          <w:trHeight w:val="315"/>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i/>
                <w:iCs/>
                <w:color w:val="000000"/>
              </w:rPr>
            </w:pPr>
            <w:r w:rsidRPr="004E468C">
              <w:rPr>
                <w:rFonts w:ascii="Arial" w:hAnsi="Arial" w:cs="Arial"/>
                <w:i/>
                <w:iCs/>
                <w:color w:val="000000"/>
              </w:rPr>
              <w:t>Construcţii</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665,8</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632,9</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856,0</w:t>
            </w:r>
          </w:p>
        </w:tc>
      </w:tr>
      <w:tr w:rsidR="00A107ED" w:rsidRPr="004E468C" w:rsidTr="00513820">
        <w:trPr>
          <w:trHeight w:val="420"/>
          <w:jc w:val="center"/>
        </w:trPr>
        <w:tc>
          <w:tcPr>
            <w:tcW w:w="6023" w:type="dxa"/>
            <w:shd w:val="clear" w:color="auto" w:fill="FDE9D9" w:themeFill="accent6" w:themeFillTint="33"/>
            <w:vAlign w:val="center"/>
          </w:tcPr>
          <w:p w:rsidR="00A107ED" w:rsidRPr="004E468C" w:rsidRDefault="00A107ED" w:rsidP="00D0386E">
            <w:pPr>
              <w:jc w:val="center"/>
              <w:rPr>
                <w:rFonts w:ascii="Arial" w:hAnsi="Arial" w:cs="Arial"/>
                <w:i/>
                <w:iCs/>
              </w:rPr>
            </w:pPr>
            <w:r w:rsidRPr="004E468C">
              <w:rPr>
                <w:rFonts w:ascii="Arial" w:hAnsi="Arial" w:cs="Arial"/>
                <w:i/>
                <w:iCs/>
              </w:rPr>
              <w:t>Comerț cu ridicata și cu amănuntul; repararea autovehiculelor și motocicletelor; transport și depozitare; hoteluri și restaurante</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810,7</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712,9</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979,9</w:t>
            </w:r>
          </w:p>
        </w:tc>
      </w:tr>
      <w:tr w:rsidR="00A107ED" w:rsidRPr="004E468C" w:rsidTr="00513820">
        <w:trPr>
          <w:trHeight w:val="315"/>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i/>
                <w:iCs/>
              </w:rPr>
            </w:pPr>
            <w:r w:rsidRPr="004E468C">
              <w:rPr>
                <w:rFonts w:ascii="Arial" w:hAnsi="Arial" w:cs="Arial"/>
                <w:i/>
                <w:iCs/>
              </w:rPr>
              <w:t>Informații și comunicații</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45,6</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47,7</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64,6</w:t>
            </w:r>
          </w:p>
        </w:tc>
      </w:tr>
      <w:tr w:rsidR="00A107ED" w:rsidRPr="004E468C" w:rsidTr="00513820">
        <w:trPr>
          <w:trHeight w:val="315"/>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i/>
                <w:iCs/>
                <w:color w:val="000000"/>
              </w:rPr>
            </w:pPr>
            <w:r w:rsidRPr="004E468C">
              <w:rPr>
                <w:rFonts w:ascii="Arial" w:hAnsi="Arial" w:cs="Arial"/>
                <w:i/>
                <w:iCs/>
                <w:color w:val="000000"/>
              </w:rPr>
              <w:t>Intermedieri financiare şi asigurări</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67,8</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20,2</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86,0</w:t>
            </w:r>
          </w:p>
        </w:tc>
      </w:tr>
      <w:tr w:rsidR="00A107ED" w:rsidRPr="004E468C" w:rsidTr="00513820">
        <w:trPr>
          <w:trHeight w:val="315"/>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i/>
                <w:iCs/>
                <w:color w:val="000000"/>
              </w:rPr>
            </w:pPr>
            <w:r w:rsidRPr="004E468C">
              <w:rPr>
                <w:rFonts w:ascii="Arial" w:hAnsi="Arial" w:cs="Arial"/>
                <w:i/>
                <w:iCs/>
                <w:color w:val="000000"/>
              </w:rPr>
              <w:t>Tranzacţii imobiliare</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347,0</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380,5</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413,2</w:t>
            </w:r>
          </w:p>
        </w:tc>
      </w:tr>
      <w:tr w:rsidR="00A107ED" w:rsidRPr="004E468C" w:rsidTr="00513820">
        <w:trPr>
          <w:trHeight w:val="435"/>
          <w:jc w:val="center"/>
        </w:trPr>
        <w:tc>
          <w:tcPr>
            <w:tcW w:w="6023" w:type="dxa"/>
            <w:shd w:val="clear" w:color="auto" w:fill="FDE9D9" w:themeFill="accent6" w:themeFillTint="33"/>
            <w:vAlign w:val="center"/>
          </w:tcPr>
          <w:p w:rsidR="00A107ED" w:rsidRPr="004E468C" w:rsidRDefault="00A107ED" w:rsidP="00D0386E">
            <w:pPr>
              <w:jc w:val="center"/>
              <w:rPr>
                <w:rFonts w:ascii="Arial" w:hAnsi="Arial" w:cs="Arial"/>
                <w:i/>
                <w:iCs/>
              </w:rPr>
            </w:pPr>
            <w:r w:rsidRPr="004E468C">
              <w:rPr>
                <w:rFonts w:ascii="Arial" w:hAnsi="Arial" w:cs="Arial"/>
                <w:i/>
                <w:iCs/>
              </w:rPr>
              <w:t>Activități profesionale, științifice și tehnice; activități de servicii administrative și activități de servicii suport</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178,4</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236,0</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194,1</w:t>
            </w:r>
          </w:p>
        </w:tc>
      </w:tr>
      <w:tr w:rsidR="00A107ED" w:rsidRPr="004E468C" w:rsidTr="00513820">
        <w:trPr>
          <w:trHeight w:val="480"/>
          <w:jc w:val="center"/>
        </w:trPr>
        <w:tc>
          <w:tcPr>
            <w:tcW w:w="6023" w:type="dxa"/>
            <w:shd w:val="clear" w:color="auto" w:fill="FDE9D9" w:themeFill="accent6" w:themeFillTint="33"/>
            <w:vAlign w:val="center"/>
          </w:tcPr>
          <w:p w:rsidR="00A107ED" w:rsidRPr="004E468C" w:rsidRDefault="00A107ED" w:rsidP="00D0386E">
            <w:pPr>
              <w:jc w:val="center"/>
              <w:rPr>
                <w:rFonts w:ascii="Arial" w:hAnsi="Arial" w:cs="Arial"/>
                <w:i/>
                <w:iCs/>
              </w:rPr>
            </w:pPr>
            <w:r w:rsidRPr="004E468C">
              <w:rPr>
                <w:rFonts w:ascii="Arial" w:hAnsi="Arial" w:cs="Arial"/>
                <w:i/>
                <w:iCs/>
              </w:rPr>
              <w:t>Administrație publică și apărare; asigurări sociale din sistemul public; învățământ; sănătate și asistență socială</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816,8</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791,3</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777,0</w:t>
            </w:r>
          </w:p>
        </w:tc>
      </w:tr>
      <w:tr w:rsidR="00A107ED" w:rsidRPr="004E468C" w:rsidTr="00513820">
        <w:trPr>
          <w:trHeight w:val="315"/>
          <w:jc w:val="center"/>
        </w:trPr>
        <w:tc>
          <w:tcPr>
            <w:tcW w:w="6023" w:type="dxa"/>
            <w:shd w:val="clear" w:color="auto" w:fill="FDE9D9" w:themeFill="accent6" w:themeFillTint="33"/>
            <w:vAlign w:val="center"/>
          </w:tcPr>
          <w:p w:rsidR="00A107ED" w:rsidRPr="004E468C" w:rsidRDefault="00A107ED" w:rsidP="00D0386E">
            <w:pPr>
              <w:jc w:val="center"/>
              <w:rPr>
                <w:rFonts w:ascii="Arial" w:hAnsi="Arial" w:cs="Arial"/>
                <w:i/>
                <w:iCs/>
              </w:rPr>
            </w:pPr>
            <w:r w:rsidRPr="004E468C">
              <w:rPr>
                <w:rFonts w:ascii="Arial" w:hAnsi="Arial" w:cs="Arial"/>
                <w:i/>
                <w:iCs/>
              </w:rPr>
              <w:t>Activități culturale și spectacole; reparații de produse de uz casnic și alte servicii</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134,2</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rPr>
            </w:pPr>
            <w:r w:rsidRPr="004E468C">
              <w:rPr>
                <w:rFonts w:ascii="Arial" w:hAnsi="Arial" w:cs="Arial"/>
              </w:rPr>
              <w:t>167,7</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i/>
              </w:rPr>
            </w:pPr>
            <w:r w:rsidRPr="004E468C">
              <w:rPr>
                <w:rFonts w:ascii="Arial" w:hAnsi="Arial" w:cs="Arial"/>
                <w:i/>
              </w:rPr>
              <w:t>175,2</w:t>
            </w:r>
          </w:p>
        </w:tc>
      </w:tr>
      <w:tr w:rsidR="00A107ED" w:rsidRPr="004E468C" w:rsidTr="00513820">
        <w:trPr>
          <w:trHeight w:val="300"/>
          <w:jc w:val="center"/>
        </w:trPr>
        <w:tc>
          <w:tcPr>
            <w:tcW w:w="6023" w:type="dxa"/>
            <w:shd w:val="clear" w:color="auto" w:fill="FDE9D9" w:themeFill="accent6" w:themeFillTint="33"/>
            <w:noWrap/>
            <w:vAlign w:val="center"/>
          </w:tcPr>
          <w:p w:rsidR="00A107ED" w:rsidRPr="004E468C" w:rsidRDefault="00A107ED" w:rsidP="00D0386E">
            <w:pPr>
              <w:jc w:val="center"/>
              <w:rPr>
                <w:rFonts w:ascii="Arial" w:hAnsi="Arial" w:cs="Arial"/>
                <w:b/>
                <w:bCs/>
                <w:i/>
                <w:iCs/>
              </w:rPr>
            </w:pPr>
            <w:r w:rsidRPr="004E468C">
              <w:rPr>
                <w:rFonts w:ascii="Arial" w:hAnsi="Arial" w:cs="Arial"/>
                <w:b/>
                <w:bCs/>
                <w:i/>
                <w:iCs/>
              </w:rPr>
              <w:t xml:space="preserve">Produsul Intern Brut </w:t>
            </w:r>
          </w:p>
        </w:tc>
        <w:tc>
          <w:tcPr>
            <w:tcW w:w="1211" w:type="dxa"/>
            <w:shd w:val="clear" w:color="auto" w:fill="FDE9D9" w:themeFill="accent6" w:themeFillTint="33"/>
            <w:vAlign w:val="center"/>
          </w:tcPr>
          <w:p w:rsidR="00A107ED" w:rsidRPr="004E468C" w:rsidRDefault="00A107ED" w:rsidP="00D0386E">
            <w:pPr>
              <w:jc w:val="center"/>
              <w:rPr>
                <w:rFonts w:ascii="Arial" w:hAnsi="Arial" w:cs="Arial"/>
                <w:b/>
              </w:rPr>
            </w:pPr>
            <w:r w:rsidRPr="004E468C">
              <w:rPr>
                <w:rFonts w:ascii="Arial" w:hAnsi="Arial" w:cs="Arial"/>
                <w:b/>
              </w:rPr>
              <w:t>6263,9</w:t>
            </w:r>
          </w:p>
        </w:tc>
        <w:tc>
          <w:tcPr>
            <w:tcW w:w="992" w:type="dxa"/>
            <w:shd w:val="clear" w:color="auto" w:fill="FDE9D9" w:themeFill="accent6" w:themeFillTint="33"/>
            <w:vAlign w:val="center"/>
          </w:tcPr>
          <w:p w:rsidR="00A107ED" w:rsidRPr="004E468C" w:rsidRDefault="00A107ED" w:rsidP="00D0386E">
            <w:pPr>
              <w:jc w:val="center"/>
              <w:rPr>
                <w:rFonts w:ascii="Arial" w:hAnsi="Arial" w:cs="Arial"/>
                <w:b/>
              </w:rPr>
            </w:pPr>
            <w:r w:rsidRPr="004E468C">
              <w:rPr>
                <w:rFonts w:ascii="Arial" w:hAnsi="Arial" w:cs="Arial"/>
                <w:b/>
              </w:rPr>
              <w:t>7062,0</w:t>
            </w:r>
          </w:p>
        </w:tc>
        <w:tc>
          <w:tcPr>
            <w:tcW w:w="1134" w:type="dxa"/>
            <w:shd w:val="clear" w:color="auto" w:fill="FDE9D9" w:themeFill="accent6" w:themeFillTint="33"/>
            <w:noWrap/>
            <w:vAlign w:val="center"/>
          </w:tcPr>
          <w:p w:rsidR="00A107ED" w:rsidRPr="004E468C" w:rsidRDefault="00A107ED" w:rsidP="00D0386E">
            <w:pPr>
              <w:jc w:val="center"/>
              <w:rPr>
                <w:rFonts w:ascii="Arial" w:hAnsi="Arial" w:cs="Arial"/>
                <w:b/>
              </w:rPr>
            </w:pPr>
            <w:r w:rsidRPr="004E468C">
              <w:rPr>
                <w:rFonts w:ascii="Arial" w:hAnsi="Arial" w:cs="Arial"/>
                <w:b/>
              </w:rPr>
              <w:t>7028,8</w:t>
            </w:r>
          </w:p>
        </w:tc>
      </w:tr>
    </w:tbl>
    <w:p w:rsidR="00A107ED" w:rsidRDefault="00A107ED" w:rsidP="00A107ED">
      <w:pPr>
        <w:tabs>
          <w:tab w:val="left" w:pos="1159"/>
        </w:tabs>
        <w:jc w:val="both"/>
        <w:outlineLvl w:val="0"/>
        <w:rPr>
          <w:rFonts w:ascii="Arial" w:hAnsi="Arial" w:cs="Arial"/>
          <w:b/>
          <w:color w:val="FF0000"/>
          <w:u w:val="single"/>
        </w:rPr>
      </w:pPr>
    </w:p>
    <w:p w:rsidR="00A107ED" w:rsidRPr="00161538" w:rsidRDefault="00A107ED" w:rsidP="00A107ED">
      <w:pPr>
        <w:pStyle w:val="Default"/>
        <w:jc w:val="both"/>
        <w:rPr>
          <w:rFonts w:ascii="Arial" w:hAnsi="Arial" w:cs="Arial"/>
        </w:rPr>
      </w:pPr>
      <w:r w:rsidRPr="00161538">
        <w:rPr>
          <w:rFonts w:ascii="Arial" w:hAnsi="Arial" w:cs="Arial"/>
        </w:rPr>
        <w:t xml:space="preserve">La nivelul judetului Brăila a fost elaborat Proiectul </w:t>
      </w:r>
      <w:r w:rsidRPr="00161538">
        <w:rPr>
          <w:rFonts w:ascii="Arial" w:hAnsi="Arial" w:cs="Arial"/>
          <w:b/>
          <w:bCs/>
        </w:rPr>
        <w:t xml:space="preserve">„Sistem de management integrat al deşeurilor în judeţul Brăila” </w:t>
      </w:r>
      <w:r w:rsidRPr="00161538">
        <w:rPr>
          <w:rFonts w:ascii="Arial" w:hAnsi="Arial" w:cs="Arial"/>
        </w:rPr>
        <w:t>care se afl</w:t>
      </w:r>
      <w:r>
        <w:rPr>
          <w:rFonts w:ascii="Arial" w:hAnsi="Arial" w:cs="Arial"/>
        </w:rPr>
        <w:t>ă</w:t>
      </w:r>
      <w:r w:rsidRPr="00161538">
        <w:rPr>
          <w:rFonts w:ascii="Arial" w:hAnsi="Arial" w:cs="Arial"/>
        </w:rPr>
        <w:t xml:space="preserve"> </w:t>
      </w:r>
      <w:r>
        <w:rPr>
          <w:rFonts w:ascii="Arial" w:hAnsi="Arial" w:cs="Arial"/>
        </w:rPr>
        <w:t>î</w:t>
      </w:r>
      <w:r w:rsidRPr="00161538">
        <w:rPr>
          <w:rFonts w:ascii="Arial" w:hAnsi="Arial" w:cs="Arial"/>
        </w:rPr>
        <w:t xml:space="preserve">n faza de </w:t>
      </w:r>
      <w:r>
        <w:rPr>
          <w:rFonts w:ascii="Arial" w:hAnsi="Arial" w:cs="Arial"/>
        </w:rPr>
        <w:t xml:space="preserve">implementare fizică prin </w:t>
      </w:r>
      <w:r w:rsidRPr="00161538">
        <w:rPr>
          <w:rFonts w:ascii="Arial" w:hAnsi="Arial" w:cs="Arial"/>
        </w:rPr>
        <w:t>POS Mediu</w:t>
      </w:r>
      <w:r>
        <w:rPr>
          <w:rFonts w:ascii="Arial" w:hAnsi="Arial" w:cs="Arial"/>
        </w:rPr>
        <w:t>.</w:t>
      </w:r>
    </w:p>
    <w:p w:rsidR="00A107ED" w:rsidRPr="00161538" w:rsidRDefault="00A107ED" w:rsidP="00A107ED">
      <w:pPr>
        <w:pStyle w:val="Default"/>
        <w:jc w:val="both"/>
        <w:rPr>
          <w:rFonts w:ascii="Arial" w:hAnsi="Arial" w:cs="Arial"/>
        </w:rPr>
      </w:pPr>
      <w:r w:rsidRPr="00E11467">
        <w:rPr>
          <w:rFonts w:ascii="Arial" w:hAnsi="Arial" w:cs="Arial"/>
          <w:b/>
        </w:rPr>
        <w:t>Scopul acestui proiect</w:t>
      </w:r>
      <w:r w:rsidRPr="00161538">
        <w:rPr>
          <w:rFonts w:ascii="Arial" w:hAnsi="Arial" w:cs="Arial"/>
        </w:rPr>
        <w:t xml:space="preserve"> </w:t>
      </w:r>
      <w:r>
        <w:rPr>
          <w:rFonts w:ascii="Arial" w:hAnsi="Arial" w:cs="Arial"/>
        </w:rPr>
        <w:t>î</w:t>
      </w:r>
      <w:r w:rsidRPr="00161538">
        <w:rPr>
          <w:rFonts w:ascii="Arial" w:hAnsi="Arial" w:cs="Arial"/>
        </w:rPr>
        <w:t>l reprezint</w:t>
      </w:r>
      <w:r>
        <w:rPr>
          <w:rFonts w:ascii="Arial" w:hAnsi="Arial" w:cs="Arial"/>
        </w:rPr>
        <w:t>ă</w:t>
      </w:r>
      <w:r w:rsidRPr="00161538">
        <w:rPr>
          <w:rFonts w:ascii="Arial" w:hAnsi="Arial" w:cs="Arial"/>
        </w:rPr>
        <w:t xml:space="preserve"> identificarea</w:t>
      </w:r>
      <w:r>
        <w:rPr>
          <w:rFonts w:ascii="Arial" w:hAnsi="Arial" w:cs="Arial"/>
        </w:rPr>
        <w:t xml:space="preserve"> </w:t>
      </w:r>
      <w:r w:rsidRPr="00161538">
        <w:rPr>
          <w:rFonts w:ascii="Arial" w:hAnsi="Arial" w:cs="Arial"/>
        </w:rPr>
        <w:t xml:space="preserve"> m</w:t>
      </w:r>
      <w:r>
        <w:rPr>
          <w:rFonts w:ascii="Arial" w:hAnsi="Arial" w:cs="Arial"/>
        </w:rPr>
        <w:t>ă</w:t>
      </w:r>
      <w:r w:rsidRPr="00161538">
        <w:rPr>
          <w:rFonts w:ascii="Arial" w:hAnsi="Arial" w:cs="Arial"/>
        </w:rPr>
        <w:t>surilor, care trebuie</w:t>
      </w:r>
      <w:r>
        <w:rPr>
          <w:rFonts w:ascii="Arial" w:hAnsi="Arial" w:cs="Arial"/>
        </w:rPr>
        <w:t xml:space="preserve"> î</w:t>
      </w:r>
      <w:r w:rsidRPr="00161538">
        <w:rPr>
          <w:rFonts w:ascii="Arial" w:hAnsi="Arial" w:cs="Arial"/>
        </w:rPr>
        <w:t>ndeplinite pentru dezvoltarea unui sistem de management integrat al de</w:t>
      </w:r>
      <w:r>
        <w:rPr>
          <w:rFonts w:ascii="Arial" w:hAnsi="Arial" w:cs="Arial"/>
        </w:rPr>
        <w:t>ș</w:t>
      </w:r>
      <w:r w:rsidRPr="00161538">
        <w:rPr>
          <w:rFonts w:ascii="Arial" w:hAnsi="Arial" w:cs="Arial"/>
        </w:rPr>
        <w:t xml:space="preserve">eurilor solide </w:t>
      </w:r>
      <w:r>
        <w:rPr>
          <w:rFonts w:ascii="Arial" w:hAnsi="Arial" w:cs="Arial"/>
        </w:rPr>
        <w:t>î</w:t>
      </w:r>
      <w:r w:rsidRPr="00161538">
        <w:rPr>
          <w:rFonts w:ascii="Arial" w:hAnsi="Arial" w:cs="Arial"/>
        </w:rPr>
        <w:t>n jude</w:t>
      </w:r>
      <w:r>
        <w:rPr>
          <w:rFonts w:ascii="Arial" w:hAnsi="Arial" w:cs="Arial"/>
        </w:rPr>
        <w:t>ț</w:t>
      </w:r>
      <w:r w:rsidRPr="00161538">
        <w:rPr>
          <w:rFonts w:ascii="Arial" w:hAnsi="Arial" w:cs="Arial"/>
        </w:rPr>
        <w:t xml:space="preserve">ul Brăila, </w:t>
      </w:r>
      <w:r>
        <w:rPr>
          <w:rFonts w:ascii="Arial" w:hAnsi="Arial" w:cs="Arial"/>
        </w:rPr>
        <w:t>î</w:t>
      </w:r>
      <w:r w:rsidRPr="00161538">
        <w:rPr>
          <w:rFonts w:ascii="Arial" w:hAnsi="Arial" w:cs="Arial"/>
        </w:rPr>
        <w:t>n conformitate cu obliga</w:t>
      </w:r>
      <w:r>
        <w:rPr>
          <w:rFonts w:ascii="Arial" w:hAnsi="Arial" w:cs="Arial"/>
        </w:rPr>
        <w:t>ț</w:t>
      </w:r>
      <w:r w:rsidRPr="00161538">
        <w:rPr>
          <w:rFonts w:ascii="Arial" w:hAnsi="Arial" w:cs="Arial"/>
        </w:rPr>
        <w:t xml:space="preserve">iile legale. </w:t>
      </w:r>
    </w:p>
    <w:p w:rsidR="00A107ED" w:rsidRPr="00161538" w:rsidRDefault="00A107ED" w:rsidP="00A107ED">
      <w:pPr>
        <w:pStyle w:val="Default"/>
        <w:jc w:val="both"/>
        <w:rPr>
          <w:rFonts w:ascii="Arial" w:hAnsi="Arial" w:cs="Arial"/>
        </w:rPr>
      </w:pPr>
      <w:r w:rsidRPr="00161538">
        <w:rPr>
          <w:rFonts w:ascii="Arial" w:hAnsi="Arial" w:cs="Arial"/>
          <w:b/>
          <w:bCs/>
        </w:rPr>
        <w:t xml:space="preserve">Obiectivele generale </w:t>
      </w:r>
      <w:r w:rsidRPr="00161538">
        <w:rPr>
          <w:rFonts w:ascii="Arial" w:hAnsi="Arial" w:cs="Arial"/>
        </w:rPr>
        <w:t xml:space="preserve">ale proiectului sunt urmatoarele: </w:t>
      </w:r>
    </w:p>
    <w:p w:rsidR="00A107ED" w:rsidRPr="00161538" w:rsidRDefault="00A107ED" w:rsidP="004E468C">
      <w:pPr>
        <w:pStyle w:val="Default"/>
        <w:ind w:left="360"/>
        <w:jc w:val="both"/>
        <w:rPr>
          <w:rFonts w:ascii="Arial" w:hAnsi="Arial" w:cs="Arial"/>
        </w:rPr>
      </w:pPr>
      <w:r w:rsidRPr="00161538">
        <w:rPr>
          <w:rFonts w:ascii="Arial" w:hAnsi="Arial" w:cs="Arial"/>
        </w:rPr>
        <w:t>Cre</w:t>
      </w:r>
      <w:r>
        <w:rPr>
          <w:rFonts w:ascii="Arial" w:hAnsi="Arial" w:cs="Arial"/>
        </w:rPr>
        <w:t>ș</w:t>
      </w:r>
      <w:r w:rsidRPr="00161538">
        <w:rPr>
          <w:rFonts w:ascii="Arial" w:hAnsi="Arial" w:cs="Arial"/>
        </w:rPr>
        <w:t>terea standardelor de via</w:t>
      </w:r>
      <w:r>
        <w:rPr>
          <w:rFonts w:ascii="Arial" w:hAnsi="Arial" w:cs="Arial"/>
        </w:rPr>
        <w:t>ță</w:t>
      </w:r>
      <w:r w:rsidRPr="00161538">
        <w:rPr>
          <w:rFonts w:ascii="Arial" w:hAnsi="Arial" w:cs="Arial"/>
        </w:rPr>
        <w:t xml:space="preserve"> </w:t>
      </w:r>
      <w:r>
        <w:rPr>
          <w:rFonts w:ascii="Arial" w:hAnsi="Arial" w:cs="Arial"/>
        </w:rPr>
        <w:t>ș</w:t>
      </w:r>
      <w:r w:rsidRPr="00161538">
        <w:rPr>
          <w:rFonts w:ascii="Arial" w:hAnsi="Arial" w:cs="Arial"/>
        </w:rPr>
        <w:t>i de mediu din jude</w:t>
      </w:r>
      <w:r>
        <w:rPr>
          <w:rFonts w:ascii="Arial" w:hAnsi="Arial" w:cs="Arial"/>
        </w:rPr>
        <w:t>ț</w:t>
      </w:r>
      <w:r w:rsidRPr="00161538">
        <w:rPr>
          <w:rFonts w:ascii="Arial" w:hAnsi="Arial" w:cs="Arial"/>
        </w:rPr>
        <w:t>ul Brăila, viz</w:t>
      </w:r>
      <w:r>
        <w:rPr>
          <w:rFonts w:ascii="Arial" w:hAnsi="Arial" w:cs="Arial"/>
        </w:rPr>
        <w:t>â</w:t>
      </w:r>
      <w:r w:rsidRPr="00161538">
        <w:rPr>
          <w:rFonts w:ascii="Arial" w:hAnsi="Arial" w:cs="Arial"/>
        </w:rPr>
        <w:t xml:space="preserve">nd, </w:t>
      </w:r>
      <w:r>
        <w:rPr>
          <w:rFonts w:ascii="Arial" w:hAnsi="Arial" w:cs="Arial"/>
        </w:rPr>
        <w:t>î</w:t>
      </w:r>
      <w:r w:rsidRPr="00161538">
        <w:rPr>
          <w:rFonts w:ascii="Arial" w:hAnsi="Arial" w:cs="Arial"/>
        </w:rPr>
        <w:t xml:space="preserve">n principal, respectarea acquis-ului comunitar de mediu; </w:t>
      </w:r>
    </w:p>
    <w:p w:rsidR="00A107ED" w:rsidRPr="00161538" w:rsidRDefault="00A107ED" w:rsidP="004E468C">
      <w:pPr>
        <w:pStyle w:val="Default"/>
        <w:ind w:left="360"/>
        <w:jc w:val="both"/>
        <w:rPr>
          <w:rFonts w:ascii="Arial" w:hAnsi="Arial" w:cs="Arial"/>
        </w:rPr>
      </w:pPr>
      <w:r w:rsidRPr="00161538">
        <w:rPr>
          <w:rFonts w:ascii="Arial" w:hAnsi="Arial" w:cs="Arial"/>
        </w:rPr>
        <w:t>Dezvoltarea unui sistem durabil de management al de</w:t>
      </w:r>
      <w:r>
        <w:rPr>
          <w:rFonts w:ascii="Arial" w:hAnsi="Arial" w:cs="Arial"/>
        </w:rPr>
        <w:t>ș</w:t>
      </w:r>
      <w:r w:rsidRPr="00161538">
        <w:rPr>
          <w:rFonts w:ascii="Arial" w:hAnsi="Arial" w:cs="Arial"/>
        </w:rPr>
        <w:t xml:space="preserve">eurilor </w:t>
      </w:r>
      <w:r>
        <w:rPr>
          <w:rFonts w:ascii="Arial" w:hAnsi="Arial" w:cs="Arial"/>
        </w:rPr>
        <w:t>î</w:t>
      </w:r>
      <w:r w:rsidRPr="00161538">
        <w:rPr>
          <w:rFonts w:ascii="Arial" w:hAnsi="Arial" w:cs="Arial"/>
        </w:rPr>
        <w:t xml:space="preserve">n judetul Brăila, prin </w:t>
      </w:r>
      <w:r>
        <w:rPr>
          <w:rFonts w:ascii="Arial" w:hAnsi="Arial" w:cs="Arial"/>
        </w:rPr>
        <w:t>î</w:t>
      </w:r>
      <w:r w:rsidRPr="00161538">
        <w:rPr>
          <w:rFonts w:ascii="Arial" w:hAnsi="Arial" w:cs="Arial"/>
        </w:rPr>
        <w:t>mbun</w:t>
      </w:r>
      <w:r>
        <w:rPr>
          <w:rFonts w:ascii="Arial" w:hAnsi="Arial" w:cs="Arial"/>
        </w:rPr>
        <w:t>ă</w:t>
      </w:r>
      <w:r w:rsidRPr="00161538">
        <w:rPr>
          <w:rFonts w:ascii="Arial" w:hAnsi="Arial" w:cs="Arial"/>
        </w:rPr>
        <w:t>t</w:t>
      </w:r>
      <w:r>
        <w:rPr>
          <w:rFonts w:ascii="Arial" w:hAnsi="Arial" w:cs="Arial"/>
        </w:rPr>
        <w:t>ăț</w:t>
      </w:r>
      <w:r w:rsidRPr="00161538">
        <w:rPr>
          <w:rFonts w:ascii="Arial" w:hAnsi="Arial" w:cs="Arial"/>
        </w:rPr>
        <w:t>irea managementului de</w:t>
      </w:r>
      <w:r>
        <w:rPr>
          <w:rFonts w:ascii="Arial" w:hAnsi="Arial" w:cs="Arial"/>
        </w:rPr>
        <w:t>ș</w:t>
      </w:r>
      <w:r w:rsidRPr="00161538">
        <w:rPr>
          <w:rFonts w:ascii="Arial" w:hAnsi="Arial" w:cs="Arial"/>
        </w:rPr>
        <w:t xml:space="preserve">eurilor </w:t>
      </w:r>
      <w:r>
        <w:rPr>
          <w:rFonts w:ascii="Arial" w:hAnsi="Arial" w:cs="Arial"/>
        </w:rPr>
        <w:t>ș</w:t>
      </w:r>
      <w:r w:rsidRPr="00161538">
        <w:rPr>
          <w:rFonts w:ascii="Arial" w:hAnsi="Arial" w:cs="Arial"/>
        </w:rPr>
        <w:t>i reducerea num</w:t>
      </w:r>
      <w:r>
        <w:rPr>
          <w:rFonts w:ascii="Arial" w:hAnsi="Arial" w:cs="Arial"/>
        </w:rPr>
        <w:t>ă</w:t>
      </w:r>
      <w:r w:rsidRPr="00161538">
        <w:rPr>
          <w:rFonts w:ascii="Arial" w:hAnsi="Arial" w:cs="Arial"/>
        </w:rPr>
        <w:t>rului de zone poluate din jude</w:t>
      </w:r>
      <w:r>
        <w:rPr>
          <w:rFonts w:ascii="Arial" w:hAnsi="Arial" w:cs="Arial"/>
        </w:rPr>
        <w:t>ț</w:t>
      </w:r>
      <w:r w:rsidRPr="00161538">
        <w:rPr>
          <w:rFonts w:ascii="Arial" w:hAnsi="Arial" w:cs="Arial"/>
        </w:rPr>
        <w:t xml:space="preserve">. </w:t>
      </w:r>
    </w:p>
    <w:p w:rsidR="00A107ED" w:rsidRPr="00161538" w:rsidRDefault="00A107ED" w:rsidP="004E468C">
      <w:pPr>
        <w:pStyle w:val="Default"/>
        <w:jc w:val="both"/>
        <w:rPr>
          <w:rFonts w:ascii="Arial" w:hAnsi="Arial" w:cs="Arial"/>
        </w:rPr>
      </w:pPr>
      <w:r w:rsidRPr="00161538">
        <w:rPr>
          <w:rFonts w:ascii="Arial" w:hAnsi="Arial" w:cs="Arial"/>
          <w:b/>
          <w:bCs/>
        </w:rPr>
        <w:t xml:space="preserve">Obiectivele specifice </w:t>
      </w:r>
      <w:r w:rsidRPr="00161538">
        <w:rPr>
          <w:rFonts w:ascii="Arial" w:hAnsi="Arial" w:cs="Arial"/>
        </w:rPr>
        <w:t xml:space="preserve">ale proiectului sunt definite pe baza obiectivelor din cadrul POS Mediu </w:t>
      </w:r>
      <w:r>
        <w:rPr>
          <w:rFonts w:ascii="Arial" w:hAnsi="Arial" w:cs="Arial"/>
        </w:rPr>
        <w:t>ș</w:t>
      </w:r>
      <w:r w:rsidRPr="00161538">
        <w:rPr>
          <w:rFonts w:ascii="Arial" w:hAnsi="Arial" w:cs="Arial"/>
        </w:rPr>
        <w:t>i vizeaz</w:t>
      </w:r>
      <w:r>
        <w:rPr>
          <w:rFonts w:ascii="Arial" w:hAnsi="Arial" w:cs="Arial"/>
        </w:rPr>
        <w:t>ă</w:t>
      </w:r>
      <w:r w:rsidRPr="00161538">
        <w:rPr>
          <w:rFonts w:ascii="Arial" w:hAnsi="Arial" w:cs="Arial"/>
        </w:rPr>
        <w:t xml:space="preserve">: </w:t>
      </w:r>
    </w:p>
    <w:p w:rsidR="00A107ED" w:rsidRDefault="00A107ED" w:rsidP="004E468C">
      <w:pPr>
        <w:pStyle w:val="Default"/>
        <w:numPr>
          <w:ilvl w:val="0"/>
          <w:numId w:val="59"/>
        </w:numPr>
        <w:jc w:val="both"/>
        <w:rPr>
          <w:rFonts w:ascii="Arial" w:hAnsi="Arial" w:cs="Arial"/>
        </w:rPr>
      </w:pPr>
      <w:r w:rsidRPr="00161538">
        <w:rPr>
          <w:rFonts w:ascii="Arial" w:hAnsi="Arial" w:cs="Arial"/>
        </w:rPr>
        <w:t>Cre</w:t>
      </w:r>
      <w:r>
        <w:rPr>
          <w:rFonts w:ascii="Arial" w:hAnsi="Arial" w:cs="Arial"/>
        </w:rPr>
        <w:t>ș</w:t>
      </w:r>
      <w:r w:rsidRPr="00161538">
        <w:rPr>
          <w:rFonts w:ascii="Arial" w:hAnsi="Arial" w:cs="Arial"/>
        </w:rPr>
        <w:t>terea gradului de acoperire cu servicii de salubritate la nivelul judeului Brăila, prin</w:t>
      </w:r>
      <w:r>
        <w:rPr>
          <w:rFonts w:ascii="Arial" w:hAnsi="Arial" w:cs="Arial"/>
        </w:rPr>
        <w:t xml:space="preserve"> î</w:t>
      </w:r>
      <w:r w:rsidRPr="00161538">
        <w:rPr>
          <w:rFonts w:ascii="Arial" w:hAnsi="Arial" w:cs="Arial"/>
        </w:rPr>
        <w:t>mbun</w:t>
      </w:r>
      <w:r>
        <w:rPr>
          <w:rFonts w:ascii="Arial" w:hAnsi="Arial" w:cs="Arial"/>
        </w:rPr>
        <w:t>ă</w:t>
      </w:r>
      <w:r w:rsidRPr="00161538">
        <w:rPr>
          <w:rFonts w:ascii="Arial" w:hAnsi="Arial" w:cs="Arial"/>
        </w:rPr>
        <w:t>t</w:t>
      </w:r>
      <w:r>
        <w:rPr>
          <w:rFonts w:ascii="Arial" w:hAnsi="Arial" w:cs="Arial"/>
        </w:rPr>
        <w:t>ăț</w:t>
      </w:r>
      <w:r w:rsidRPr="00161538">
        <w:rPr>
          <w:rFonts w:ascii="Arial" w:hAnsi="Arial" w:cs="Arial"/>
        </w:rPr>
        <w:t>irea managementului de</w:t>
      </w:r>
      <w:r>
        <w:rPr>
          <w:rFonts w:ascii="Arial" w:hAnsi="Arial" w:cs="Arial"/>
        </w:rPr>
        <w:t>ș</w:t>
      </w:r>
      <w:r w:rsidRPr="00161538">
        <w:rPr>
          <w:rFonts w:ascii="Arial" w:hAnsi="Arial" w:cs="Arial"/>
        </w:rPr>
        <w:t xml:space="preserve">eurilor; </w:t>
      </w:r>
    </w:p>
    <w:p w:rsidR="00A107ED" w:rsidRPr="00513820" w:rsidRDefault="00A107ED" w:rsidP="004E468C">
      <w:pPr>
        <w:pStyle w:val="Default"/>
        <w:numPr>
          <w:ilvl w:val="0"/>
          <w:numId w:val="59"/>
        </w:numPr>
        <w:jc w:val="both"/>
        <w:rPr>
          <w:rFonts w:ascii="Arial" w:hAnsi="Arial" w:cs="Arial"/>
          <w:color w:val="auto"/>
        </w:rPr>
      </w:pPr>
      <w:r w:rsidRPr="00161538">
        <w:rPr>
          <w:rFonts w:ascii="Arial" w:hAnsi="Arial" w:cs="Arial"/>
          <w:color w:val="auto"/>
        </w:rPr>
        <w:t>Asigurarea unor servicii de salubritate la standarde europene, percep</w:t>
      </w:r>
      <w:r>
        <w:rPr>
          <w:rFonts w:ascii="Arial" w:hAnsi="Arial" w:cs="Arial"/>
          <w:color w:val="auto"/>
        </w:rPr>
        <w:t>â</w:t>
      </w:r>
      <w:r w:rsidRPr="00161538">
        <w:rPr>
          <w:rFonts w:ascii="Arial" w:hAnsi="Arial" w:cs="Arial"/>
          <w:color w:val="auto"/>
        </w:rPr>
        <w:t xml:space="preserve">nd tarife </w:t>
      </w:r>
      <w:r w:rsidRPr="00513820">
        <w:rPr>
          <w:rFonts w:ascii="Arial" w:hAnsi="Arial" w:cs="Arial"/>
          <w:color w:val="auto"/>
        </w:rPr>
        <w:t xml:space="preserve">acceptabile pentru populatia din judet; </w:t>
      </w:r>
    </w:p>
    <w:p w:rsidR="00A107ED" w:rsidRPr="00161538" w:rsidRDefault="00A107ED" w:rsidP="004E468C">
      <w:pPr>
        <w:pStyle w:val="Default"/>
        <w:numPr>
          <w:ilvl w:val="0"/>
          <w:numId w:val="59"/>
        </w:numPr>
        <w:jc w:val="both"/>
        <w:rPr>
          <w:rFonts w:ascii="Arial" w:hAnsi="Arial" w:cs="Arial"/>
          <w:color w:val="auto"/>
        </w:rPr>
      </w:pPr>
      <w:r w:rsidRPr="00161538">
        <w:rPr>
          <w:rFonts w:ascii="Arial" w:hAnsi="Arial" w:cs="Arial"/>
          <w:color w:val="auto"/>
        </w:rPr>
        <w:t>Reducerea cantit</w:t>
      </w:r>
      <w:r>
        <w:rPr>
          <w:rFonts w:ascii="Arial" w:hAnsi="Arial" w:cs="Arial"/>
          <w:color w:val="auto"/>
        </w:rPr>
        <w:t>ăț</w:t>
      </w:r>
      <w:r w:rsidRPr="00161538">
        <w:rPr>
          <w:rFonts w:ascii="Arial" w:hAnsi="Arial" w:cs="Arial"/>
          <w:color w:val="auto"/>
        </w:rPr>
        <w:t>ii de de</w:t>
      </w:r>
      <w:r>
        <w:rPr>
          <w:rFonts w:ascii="Arial" w:hAnsi="Arial" w:cs="Arial"/>
          <w:color w:val="auto"/>
        </w:rPr>
        <w:t>ș</w:t>
      </w:r>
      <w:r w:rsidRPr="00161538">
        <w:rPr>
          <w:rFonts w:ascii="Arial" w:hAnsi="Arial" w:cs="Arial"/>
          <w:color w:val="auto"/>
        </w:rPr>
        <w:t>euri depozitate pe suprafa</w:t>
      </w:r>
      <w:r>
        <w:rPr>
          <w:rFonts w:ascii="Arial" w:hAnsi="Arial" w:cs="Arial"/>
          <w:color w:val="auto"/>
        </w:rPr>
        <w:t>ț</w:t>
      </w:r>
      <w:r w:rsidRPr="00161538">
        <w:rPr>
          <w:rFonts w:ascii="Arial" w:hAnsi="Arial" w:cs="Arial"/>
          <w:color w:val="auto"/>
        </w:rPr>
        <w:t xml:space="preserve">a judetului Brăila; </w:t>
      </w:r>
    </w:p>
    <w:p w:rsidR="00A107ED" w:rsidRPr="00161538" w:rsidRDefault="00A107ED" w:rsidP="004E468C">
      <w:pPr>
        <w:pStyle w:val="Default"/>
        <w:numPr>
          <w:ilvl w:val="0"/>
          <w:numId w:val="59"/>
        </w:numPr>
        <w:jc w:val="both"/>
        <w:rPr>
          <w:rFonts w:ascii="Arial" w:hAnsi="Arial" w:cs="Arial"/>
          <w:color w:val="auto"/>
        </w:rPr>
      </w:pPr>
      <w:r w:rsidRPr="00161538">
        <w:rPr>
          <w:rFonts w:ascii="Arial" w:hAnsi="Arial" w:cs="Arial"/>
          <w:color w:val="auto"/>
        </w:rPr>
        <w:t>Cre</w:t>
      </w:r>
      <w:r>
        <w:rPr>
          <w:rFonts w:ascii="Arial" w:hAnsi="Arial" w:cs="Arial"/>
          <w:color w:val="auto"/>
        </w:rPr>
        <w:t>ș</w:t>
      </w:r>
      <w:r w:rsidRPr="00161538">
        <w:rPr>
          <w:rFonts w:ascii="Arial" w:hAnsi="Arial" w:cs="Arial"/>
          <w:color w:val="auto"/>
        </w:rPr>
        <w:t>terea cantit</w:t>
      </w:r>
      <w:r>
        <w:rPr>
          <w:rFonts w:ascii="Arial" w:hAnsi="Arial" w:cs="Arial"/>
          <w:color w:val="auto"/>
        </w:rPr>
        <w:t>ăț</w:t>
      </w:r>
      <w:r w:rsidRPr="00161538">
        <w:rPr>
          <w:rFonts w:ascii="Arial" w:hAnsi="Arial" w:cs="Arial"/>
          <w:color w:val="auto"/>
        </w:rPr>
        <w:t>ii de de</w:t>
      </w:r>
      <w:r>
        <w:rPr>
          <w:rFonts w:ascii="Arial" w:hAnsi="Arial" w:cs="Arial"/>
          <w:color w:val="auto"/>
        </w:rPr>
        <w:t>ș</w:t>
      </w:r>
      <w:r w:rsidRPr="00161538">
        <w:rPr>
          <w:rFonts w:ascii="Arial" w:hAnsi="Arial" w:cs="Arial"/>
          <w:color w:val="auto"/>
        </w:rPr>
        <w:t xml:space="preserve">euri reciclate si valorificate la nivelul judetului Brăila; </w:t>
      </w:r>
    </w:p>
    <w:p w:rsidR="00A107ED" w:rsidRPr="004E468C" w:rsidRDefault="00A107ED" w:rsidP="004E468C">
      <w:pPr>
        <w:pStyle w:val="Default"/>
        <w:numPr>
          <w:ilvl w:val="0"/>
          <w:numId w:val="59"/>
        </w:numPr>
        <w:jc w:val="both"/>
        <w:rPr>
          <w:rFonts w:ascii="Arial" w:hAnsi="Arial" w:cs="Arial"/>
          <w:color w:val="auto"/>
        </w:rPr>
      </w:pPr>
      <w:r w:rsidRPr="004E468C">
        <w:rPr>
          <w:rFonts w:ascii="Arial" w:hAnsi="Arial" w:cs="Arial"/>
          <w:color w:val="auto"/>
        </w:rPr>
        <w:t xml:space="preserve">Înființarea la nivelul județului Brăila a unor structuri eficiente de management al deșeurilor. </w:t>
      </w:r>
    </w:p>
    <w:p w:rsidR="00A107ED" w:rsidRPr="00161538" w:rsidRDefault="00A107ED" w:rsidP="004E468C">
      <w:pPr>
        <w:pStyle w:val="Default"/>
        <w:jc w:val="both"/>
        <w:rPr>
          <w:rFonts w:ascii="Arial" w:hAnsi="Arial" w:cs="Arial"/>
          <w:color w:val="auto"/>
        </w:rPr>
      </w:pPr>
      <w:r w:rsidRPr="00161538">
        <w:rPr>
          <w:rFonts w:ascii="Arial" w:hAnsi="Arial" w:cs="Arial"/>
          <w:color w:val="auto"/>
        </w:rPr>
        <w:t xml:space="preserve">Implementarea proiectului </w:t>
      </w:r>
      <w:r>
        <w:rPr>
          <w:rFonts w:ascii="Arial" w:hAnsi="Arial" w:cs="Arial"/>
          <w:color w:val="auto"/>
        </w:rPr>
        <w:t>î</w:t>
      </w:r>
      <w:r w:rsidRPr="00161538">
        <w:rPr>
          <w:rFonts w:ascii="Arial" w:hAnsi="Arial" w:cs="Arial"/>
          <w:color w:val="auto"/>
        </w:rPr>
        <w:t>n jude</w:t>
      </w:r>
      <w:r>
        <w:rPr>
          <w:rFonts w:ascii="Arial" w:hAnsi="Arial" w:cs="Arial"/>
          <w:color w:val="auto"/>
        </w:rPr>
        <w:t>ț</w:t>
      </w:r>
      <w:r w:rsidRPr="00161538">
        <w:rPr>
          <w:rFonts w:ascii="Arial" w:hAnsi="Arial" w:cs="Arial"/>
          <w:color w:val="auto"/>
        </w:rPr>
        <w:t xml:space="preserve">ul Brăila </w:t>
      </w:r>
      <w:r>
        <w:rPr>
          <w:rFonts w:ascii="Arial" w:hAnsi="Arial" w:cs="Arial"/>
          <w:color w:val="auto"/>
        </w:rPr>
        <w:t xml:space="preserve">permite </w:t>
      </w:r>
      <w:r w:rsidRPr="00161538">
        <w:rPr>
          <w:rFonts w:ascii="Arial" w:hAnsi="Arial" w:cs="Arial"/>
          <w:color w:val="auto"/>
        </w:rPr>
        <w:t xml:space="preserve"> atingerea urm</w:t>
      </w:r>
      <w:r>
        <w:rPr>
          <w:rFonts w:ascii="Arial" w:hAnsi="Arial" w:cs="Arial"/>
          <w:color w:val="auto"/>
        </w:rPr>
        <w:t>ă</w:t>
      </w:r>
      <w:r w:rsidRPr="00161538">
        <w:rPr>
          <w:rFonts w:ascii="Arial" w:hAnsi="Arial" w:cs="Arial"/>
          <w:color w:val="auto"/>
        </w:rPr>
        <w:t xml:space="preserve">toarelor obiective: </w:t>
      </w:r>
    </w:p>
    <w:p w:rsidR="00A107ED" w:rsidRPr="00161538" w:rsidRDefault="00A107ED" w:rsidP="004E468C">
      <w:pPr>
        <w:pStyle w:val="Default"/>
        <w:ind w:left="734" w:hanging="450"/>
        <w:jc w:val="both"/>
        <w:rPr>
          <w:rFonts w:ascii="Arial" w:hAnsi="Arial" w:cs="Arial"/>
          <w:color w:val="auto"/>
        </w:rPr>
      </w:pPr>
      <w:r w:rsidRPr="00161538">
        <w:rPr>
          <w:rFonts w:ascii="Arial" w:hAnsi="Arial" w:cs="Arial"/>
          <w:color w:val="auto"/>
        </w:rPr>
        <w:t xml:space="preserve">• </w:t>
      </w:r>
      <w:r w:rsidR="007A5866">
        <w:rPr>
          <w:rFonts w:ascii="Arial" w:hAnsi="Arial" w:cs="Arial"/>
          <w:color w:val="auto"/>
        </w:rPr>
        <w:tab/>
      </w:r>
      <w:r w:rsidRPr="00161538">
        <w:rPr>
          <w:rFonts w:ascii="Arial" w:hAnsi="Arial" w:cs="Arial"/>
          <w:color w:val="auto"/>
        </w:rPr>
        <w:t>asigurarea unui grad de acoperire cu servicii de salubritate de 100%, at</w:t>
      </w:r>
      <w:r>
        <w:rPr>
          <w:rFonts w:ascii="Arial" w:hAnsi="Arial" w:cs="Arial"/>
          <w:color w:val="auto"/>
        </w:rPr>
        <w:t>â</w:t>
      </w:r>
      <w:r w:rsidRPr="00161538">
        <w:rPr>
          <w:rFonts w:ascii="Arial" w:hAnsi="Arial" w:cs="Arial"/>
          <w:color w:val="auto"/>
        </w:rPr>
        <w:t xml:space="preserve">t </w:t>
      </w:r>
      <w:r>
        <w:rPr>
          <w:rFonts w:ascii="Arial" w:hAnsi="Arial" w:cs="Arial"/>
          <w:color w:val="auto"/>
        </w:rPr>
        <w:t>î</w:t>
      </w:r>
      <w:r w:rsidRPr="00161538">
        <w:rPr>
          <w:rFonts w:ascii="Arial" w:hAnsi="Arial" w:cs="Arial"/>
          <w:color w:val="auto"/>
        </w:rPr>
        <w:t>n</w:t>
      </w:r>
      <w:r>
        <w:rPr>
          <w:rFonts w:ascii="Arial" w:hAnsi="Arial" w:cs="Arial"/>
          <w:color w:val="auto"/>
        </w:rPr>
        <w:t xml:space="preserve"> </w:t>
      </w:r>
      <w:r w:rsidR="007A5866">
        <w:rPr>
          <w:rFonts w:ascii="Arial" w:hAnsi="Arial" w:cs="Arial"/>
          <w:color w:val="auto"/>
        </w:rPr>
        <w:t xml:space="preserve">mediul </w:t>
      </w:r>
      <w:r w:rsidRPr="00161538">
        <w:rPr>
          <w:rFonts w:ascii="Arial" w:hAnsi="Arial" w:cs="Arial"/>
          <w:color w:val="auto"/>
        </w:rPr>
        <w:t>urban, c</w:t>
      </w:r>
      <w:r>
        <w:rPr>
          <w:rFonts w:ascii="Arial" w:hAnsi="Arial" w:cs="Arial"/>
          <w:color w:val="auto"/>
        </w:rPr>
        <w:t>ât ș</w:t>
      </w:r>
      <w:r w:rsidRPr="00161538">
        <w:rPr>
          <w:rFonts w:ascii="Arial" w:hAnsi="Arial" w:cs="Arial"/>
          <w:color w:val="auto"/>
        </w:rPr>
        <w:t xml:space="preserve">i </w:t>
      </w:r>
      <w:r>
        <w:rPr>
          <w:rFonts w:ascii="Arial" w:hAnsi="Arial" w:cs="Arial"/>
          <w:color w:val="auto"/>
        </w:rPr>
        <w:t>î</w:t>
      </w:r>
      <w:r w:rsidRPr="00161538">
        <w:rPr>
          <w:rFonts w:ascii="Arial" w:hAnsi="Arial" w:cs="Arial"/>
          <w:color w:val="auto"/>
        </w:rPr>
        <w:t xml:space="preserve">n mediul rural; </w:t>
      </w:r>
    </w:p>
    <w:p w:rsidR="00A107ED" w:rsidRDefault="00A107ED" w:rsidP="004E468C">
      <w:pPr>
        <w:pStyle w:val="Default"/>
        <w:ind w:left="426" w:hanging="142"/>
        <w:jc w:val="both"/>
        <w:rPr>
          <w:rFonts w:ascii="Arial" w:hAnsi="Arial" w:cs="Arial"/>
          <w:color w:val="auto"/>
        </w:rPr>
      </w:pPr>
      <w:r w:rsidRPr="00161538">
        <w:rPr>
          <w:rFonts w:ascii="Arial" w:hAnsi="Arial" w:cs="Arial"/>
          <w:color w:val="auto"/>
        </w:rPr>
        <w:t xml:space="preserve">• </w:t>
      </w:r>
      <w:r w:rsidR="007A5866">
        <w:rPr>
          <w:rFonts w:ascii="Arial" w:hAnsi="Arial" w:cs="Arial"/>
          <w:color w:val="auto"/>
        </w:rPr>
        <w:tab/>
      </w:r>
      <w:r w:rsidRPr="00161538">
        <w:rPr>
          <w:rFonts w:ascii="Arial" w:hAnsi="Arial" w:cs="Arial"/>
          <w:color w:val="auto"/>
        </w:rPr>
        <w:t xml:space="preserve">atingerea </w:t>
      </w:r>
      <w:r>
        <w:rPr>
          <w:rFonts w:ascii="Arial" w:hAnsi="Arial" w:cs="Arial"/>
          <w:color w:val="auto"/>
        </w:rPr>
        <w:t>ț</w:t>
      </w:r>
      <w:r w:rsidRPr="00161538">
        <w:rPr>
          <w:rFonts w:ascii="Arial" w:hAnsi="Arial" w:cs="Arial"/>
          <w:color w:val="auto"/>
        </w:rPr>
        <w:t>intelor de reciclare/valorificare a de</w:t>
      </w:r>
      <w:r>
        <w:rPr>
          <w:rFonts w:ascii="Arial" w:hAnsi="Arial" w:cs="Arial"/>
          <w:color w:val="auto"/>
        </w:rPr>
        <w:t>ș</w:t>
      </w:r>
      <w:r w:rsidRPr="00161538">
        <w:rPr>
          <w:rFonts w:ascii="Arial" w:hAnsi="Arial" w:cs="Arial"/>
          <w:color w:val="auto"/>
        </w:rPr>
        <w:t>eurilor din ambalaje</w:t>
      </w:r>
      <w:r>
        <w:rPr>
          <w:rFonts w:ascii="Arial" w:hAnsi="Arial" w:cs="Arial"/>
          <w:color w:val="auto"/>
        </w:rPr>
        <w:t>.</w:t>
      </w:r>
      <w:r w:rsidRPr="00161538">
        <w:rPr>
          <w:rFonts w:ascii="Arial" w:hAnsi="Arial" w:cs="Arial"/>
          <w:color w:val="auto"/>
        </w:rPr>
        <w:t xml:space="preserve"> </w:t>
      </w:r>
    </w:p>
    <w:p w:rsidR="00A107ED" w:rsidRDefault="00A107ED" w:rsidP="004E468C">
      <w:pPr>
        <w:pStyle w:val="Default"/>
        <w:ind w:left="426" w:hanging="142"/>
        <w:jc w:val="both"/>
        <w:rPr>
          <w:rFonts w:ascii="Arial" w:hAnsi="Arial" w:cs="Arial"/>
          <w:color w:val="auto"/>
        </w:rPr>
      </w:pPr>
      <w:r w:rsidRPr="00161538">
        <w:rPr>
          <w:rFonts w:ascii="Arial" w:hAnsi="Arial" w:cs="Arial"/>
          <w:color w:val="auto"/>
        </w:rPr>
        <w:lastRenderedPageBreak/>
        <w:t xml:space="preserve">• </w:t>
      </w:r>
      <w:r w:rsidR="007A5866">
        <w:rPr>
          <w:rFonts w:ascii="Arial" w:hAnsi="Arial" w:cs="Arial"/>
          <w:color w:val="auto"/>
        </w:rPr>
        <w:tab/>
      </w:r>
      <w:r w:rsidRPr="00161538">
        <w:rPr>
          <w:rFonts w:ascii="Arial" w:hAnsi="Arial" w:cs="Arial"/>
          <w:color w:val="auto"/>
        </w:rPr>
        <w:t>conformarea cu privire la Directiva UE privind depozitarea de</w:t>
      </w:r>
      <w:r>
        <w:rPr>
          <w:rFonts w:ascii="Arial" w:hAnsi="Arial" w:cs="Arial"/>
          <w:color w:val="auto"/>
        </w:rPr>
        <w:t>ș</w:t>
      </w:r>
      <w:r w:rsidRPr="00161538">
        <w:rPr>
          <w:rFonts w:ascii="Arial" w:hAnsi="Arial" w:cs="Arial"/>
          <w:color w:val="auto"/>
        </w:rPr>
        <w:t xml:space="preserve">eurilor biodegradabile </w:t>
      </w:r>
    </w:p>
    <w:p w:rsidR="00A107ED" w:rsidRPr="00161538" w:rsidRDefault="00A107ED" w:rsidP="004E468C">
      <w:pPr>
        <w:pStyle w:val="Default"/>
        <w:ind w:left="426" w:hanging="142"/>
        <w:jc w:val="both"/>
        <w:rPr>
          <w:rFonts w:ascii="Arial" w:hAnsi="Arial" w:cs="Arial"/>
          <w:color w:val="auto"/>
        </w:rPr>
      </w:pPr>
      <w:r w:rsidRPr="00161538">
        <w:rPr>
          <w:rFonts w:ascii="Arial" w:hAnsi="Arial" w:cs="Arial"/>
          <w:color w:val="auto"/>
        </w:rPr>
        <w:t xml:space="preserve">• </w:t>
      </w:r>
      <w:r w:rsidR="007A5866">
        <w:rPr>
          <w:rFonts w:ascii="Arial" w:hAnsi="Arial" w:cs="Arial"/>
          <w:color w:val="auto"/>
        </w:rPr>
        <w:tab/>
      </w:r>
      <w:r w:rsidRPr="00161538">
        <w:rPr>
          <w:rFonts w:ascii="Arial" w:hAnsi="Arial" w:cs="Arial"/>
          <w:color w:val="auto"/>
        </w:rPr>
        <w:t>reducerea impactului de mediu aferent</w:t>
      </w:r>
      <w:r>
        <w:rPr>
          <w:rFonts w:ascii="Arial" w:hAnsi="Arial" w:cs="Arial"/>
          <w:color w:val="auto"/>
        </w:rPr>
        <w:t>e</w:t>
      </w:r>
      <w:r w:rsidRPr="00161538">
        <w:rPr>
          <w:rFonts w:ascii="Arial" w:hAnsi="Arial" w:cs="Arial"/>
          <w:color w:val="auto"/>
        </w:rPr>
        <w:t xml:space="preserve"> depozit</w:t>
      </w:r>
      <w:r>
        <w:rPr>
          <w:rFonts w:ascii="Arial" w:hAnsi="Arial" w:cs="Arial"/>
          <w:color w:val="auto"/>
        </w:rPr>
        <w:t xml:space="preserve">ărilor </w:t>
      </w:r>
      <w:r w:rsidRPr="00161538">
        <w:rPr>
          <w:rFonts w:ascii="Arial" w:hAnsi="Arial" w:cs="Arial"/>
          <w:color w:val="auto"/>
        </w:rPr>
        <w:t>neconform</w:t>
      </w:r>
      <w:r>
        <w:rPr>
          <w:rFonts w:ascii="Arial" w:hAnsi="Arial" w:cs="Arial"/>
          <w:color w:val="auto"/>
        </w:rPr>
        <w:t>e.</w:t>
      </w:r>
      <w:r w:rsidRPr="00161538">
        <w:rPr>
          <w:rFonts w:ascii="Arial" w:hAnsi="Arial" w:cs="Arial"/>
          <w:color w:val="auto"/>
        </w:rPr>
        <w:t xml:space="preserve"> </w:t>
      </w:r>
    </w:p>
    <w:p w:rsidR="00A107ED" w:rsidRPr="00322A84" w:rsidRDefault="00A107ED" w:rsidP="00A107ED">
      <w:pPr>
        <w:tabs>
          <w:tab w:val="left" w:pos="1159"/>
        </w:tabs>
        <w:spacing w:line="60" w:lineRule="atLeast"/>
        <w:jc w:val="both"/>
        <w:outlineLvl w:val="0"/>
        <w:rPr>
          <w:rFonts w:ascii="Arial" w:hAnsi="Arial" w:cs="Arial"/>
          <w:b/>
          <w:color w:val="FF0000"/>
          <w:u w:val="single"/>
        </w:rPr>
      </w:pPr>
    </w:p>
    <w:p w:rsidR="00A107ED" w:rsidRPr="00730CFC" w:rsidRDefault="00A107ED" w:rsidP="00012F90">
      <w:pPr>
        <w:ind w:firstLine="720"/>
        <w:jc w:val="both"/>
        <w:rPr>
          <w:rFonts w:ascii="Arial" w:hAnsi="Arial" w:cs="Arial"/>
          <w:b/>
          <w:lang w:val="ro-RO"/>
        </w:rPr>
      </w:pPr>
    </w:p>
    <w:p w:rsidR="000F4FEA" w:rsidRPr="00C71C6A" w:rsidRDefault="000F4FEA" w:rsidP="00691934">
      <w:pPr>
        <w:pStyle w:val="ListParagraph"/>
        <w:tabs>
          <w:tab w:val="left" w:pos="720"/>
        </w:tabs>
        <w:suppressAutoHyphens/>
        <w:autoSpaceDE w:val="0"/>
        <w:autoSpaceDN w:val="0"/>
        <w:adjustRightInd w:val="0"/>
        <w:jc w:val="both"/>
        <w:rPr>
          <w:rFonts w:ascii="Arial" w:hAnsi="Arial" w:cs="Arial"/>
          <w:noProof/>
        </w:rPr>
      </w:pPr>
    </w:p>
    <w:sectPr w:rsidR="000F4FEA" w:rsidRPr="00C71C6A" w:rsidSect="00C24933">
      <w:footerReference w:type="default" r:id="rId143"/>
      <w:pgSz w:w="11907" w:h="16840" w:code="9"/>
      <w:pgMar w:top="1077" w:right="850" w:bottom="1440" w:left="993" w:header="680" w:footer="680" w:gutter="0"/>
      <w:cols w:space="720"/>
      <w:docGrid w:linePitch="360"/>
    </w:sectPr>
  </w:body>
</w:document>
</file>

<file path=word/endnotes.xml><?xml version="1.0" encoding="utf-8"?>
<w:end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endnote w:type="separator" w:id="-1">
    <w:p w:rsidR="006768C9" w:rsidRDefault="006768C9" w:rsidP="00504ED5">
      <w:r>
        <w:separator/>
      </w:r>
    </w:p>
  </w:endnote>
  <w:endnote w:type="continuationSeparator" w:id="0">
    <w:p w:rsidR="006768C9" w:rsidRDefault="006768C9" w:rsidP="00504ED5">
      <w:r>
        <w:continuationSeparator/>
      </w:r>
    </w:p>
  </w:endnote>
</w:endnotes>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AFF" w:usb1="C0007841" w:usb2="00000009" w:usb3="00000000" w:csb0="000001FF" w:csb1="00000000"/>
  </w:font>
  <w:font w:name="OpenSymbol">
    <w:altName w:val="Arial Unicode MS"/>
    <w:charset w:val="80"/>
    <w:family w:val="auto"/>
    <w:pitch w:val="default"/>
    <w:sig w:usb0="00000000" w:usb1="00000000" w:usb2="00000000" w:usb3="00000000" w:csb0="00000000" w:csb1="00000000"/>
  </w:font>
  <w:font w:name="Courier New">
    <w:panose1 w:val="02070309020205020404"/>
    <w:charset w:val="EE"/>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Calibri">
    <w:panose1 w:val="020F0502020204030204"/>
    <w:charset w:val="EE"/>
    <w:family w:val="swiss"/>
    <w:pitch w:val="variable"/>
    <w:sig w:usb0="E00002FF" w:usb1="4000ACFF" w:usb2="00000001" w:usb3="00000000" w:csb0="0000019F" w:csb1="00000000"/>
  </w:font>
  <w:font w:name="SimSun">
    <w:altName w:val="宋体"/>
    <w:panose1 w:val="02010600030101010101"/>
    <w:charset w:val="86"/>
    <w:family w:val="auto"/>
    <w:notTrueType/>
    <w:pitch w:val="variable"/>
    <w:sig w:usb0="00000001" w:usb1="080E0000" w:usb2="00000010" w:usb3="00000000" w:csb0="00040000" w:csb1="00000000"/>
  </w:font>
  <w:font w:name="Cambria">
    <w:panose1 w:val="02040503050406030204"/>
    <w:charset w:val="EE"/>
    <w:family w:val="roman"/>
    <w:pitch w:val="variable"/>
    <w:sig w:usb0="E00002FF" w:usb1="400004FF" w:usb2="00000000" w:usb3="00000000" w:csb0="0000019F" w:csb1="00000000"/>
  </w:font>
  <w:font w:name="Tahoma">
    <w:panose1 w:val="020B0604030504040204"/>
    <w:charset w:val="EE"/>
    <w:family w:val="swiss"/>
    <w:pitch w:val="variable"/>
    <w:sig w:usb0="E1002EFF" w:usb1="C000605B" w:usb2="00000029" w:usb3="00000000" w:csb0="000101FF" w:csb1="00000000"/>
  </w:font>
  <w:font w:name="Mangal">
    <w:panose1 w:val="02040503050203030202"/>
    <w:charset w:val="01"/>
    <w:family w:val="roman"/>
    <w:notTrueType/>
    <w:pitch w:val="variable"/>
    <w:sig w:usb0="00002000" w:usb1="00000000" w:usb2="00000000" w:usb3="00000000" w:csb0="00000000" w:csb1="00000000"/>
  </w:font>
  <w:font w:name="Verdana">
    <w:panose1 w:val="020B0604030504040204"/>
    <w:charset w:val="EE"/>
    <w:family w:val="swiss"/>
    <w:pitch w:val="variable"/>
    <w:sig w:usb0="A10006FF" w:usb1="4000205B" w:usb2="00000010" w:usb3="00000000" w:csb0="0000019F" w:csb1="00000000"/>
  </w:font>
  <w:font w:name="Univers Cd (WE)">
    <w:altName w:val="Arial"/>
    <w:panose1 w:val="00000000000000000000"/>
    <w:charset w:val="EE"/>
    <w:family w:val="swiss"/>
    <w:notTrueType/>
    <w:pitch w:val="variable"/>
    <w:sig w:usb0="00000005" w:usb1="00000000" w:usb2="00000000" w:usb3="00000000" w:csb0="00000002" w:csb1="00000000"/>
  </w:font>
  <w:font w:name="EU Albertina">
    <w:altName w:val="Times New Roman"/>
    <w:panose1 w:val="00000000000000000000"/>
    <w:charset w:val="00"/>
    <w:family w:val="roman"/>
    <w:notTrueType/>
    <w:pitch w:val="default"/>
    <w:sig w:usb0="00000003" w:usb1="00000000" w:usb2="00000000" w:usb3="00000000" w:csb0="00000001" w:csb1="00000000"/>
  </w:font>
  <w:font w:name="EUAlbertina">
    <w:panose1 w:val="00000000000000000000"/>
    <w:charset w:val="00"/>
    <w:family w:val="roman"/>
    <w:notTrueType/>
    <w:pitch w:val="default"/>
    <w:sig w:usb0="00000000" w:usb1="00000000" w:usb2="00000000" w:usb3="00000000" w:csb0="00000000" w:csb1="00000000"/>
  </w:font>
  <w:font w:name="Ro Times New Roman">
    <w:altName w:val="Times New Roman"/>
    <w:charset w:val="00"/>
    <w:family w:val="roman"/>
    <w:pitch w:val="variable"/>
    <w:sig w:usb0="00000007" w:usb1="00000000" w:usb2="00000000" w:usb3="00000000" w:csb0="00000003" w:csb1="00000000"/>
  </w:font>
  <w:font w:name="MS Mincho">
    <w:altName w:val="ＭＳ 明朝"/>
    <w:panose1 w:val="02020609040205080304"/>
    <w:charset w:val="80"/>
    <w:family w:val="roman"/>
    <w:notTrueType/>
    <w:pitch w:val="fixed"/>
    <w:sig w:usb0="00000001" w:usb1="08070000" w:usb2="00000010" w:usb3="00000000" w:csb0="00020000" w:csb1="00000000"/>
  </w:font>
  <w:font w:name="Arial Unicode MS">
    <w:panose1 w:val="020B0604020202020204"/>
    <w:charset w:val="00"/>
    <w:family w:val="roman"/>
    <w:notTrueType/>
    <w:pitch w:val="variable"/>
    <w:sig w:usb0="00000003" w:usb1="00000000" w:usb2="00000000" w:usb3="00000000" w:csb0="00000001" w:csb1="00000000"/>
  </w:font>
  <w:font w:name="Arial Narrow">
    <w:panose1 w:val="020B0606020202030204"/>
    <w:charset w:val="EE"/>
    <w:family w:val="swiss"/>
    <w:pitch w:val="variable"/>
    <w:sig w:usb0="00000287" w:usb1="00000800" w:usb2="00000000" w:usb3="00000000" w:csb0="0000009F" w:csb1="00000000"/>
  </w:font>
</w:fonts>
</file>

<file path=word/footer1.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p w:rsidR="00F75744" w:rsidRDefault="00043583">
    <w:pPr>
      <w:pStyle w:val="Footer"/>
      <w:jc w:val="center"/>
    </w:pPr>
    <w:fldSimple w:instr=" PAGE   \* MERGEFORMAT ">
      <w:r w:rsidR="00D93C2D">
        <w:rPr>
          <w:noProof/>
        </w:rPr>
        <w:t>1</w:t>
      </w:r>
    </w:fldSimple>
  </w:p>
  <w:p w:rsidR="00F75744" w:rsidRDefault="00F75744">
    <w:pPr>
      <w:pStyle w:val="Footer"/>
    </w:pPr>
  </w:p>
</w:ftr>
</file>

<file path=word/footer2.xml><?xml version="1.0" encoding="utf-8"?>
<w:ftr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sdt>
    <w:sdtPr>
      <w:id w:val="7059561"/>
      <w:docPartObj>
        <w:docPartGallery w:val="Page Numbers (Bottom of Page)"/>
        <w:docPartUnique/>
      </w:docPartObj>
    </w:sdtPr>
    <w:sdtContent>
      <w:p w:rsidR="00F75744" w:rsidRDefault="00043583">
        <w:pPr>
          <w:pStyle w:val="Footer"/>
          <w:jc w:val="right"/>
        </w:pPr>
        <w:fldSimple w:instr=" PAGE   \* MERGEFORMAT ">
          <w:r w:rsidR="00C938CA">
            <w:rPr>
              <w:noProof/>
            </w:rPr>
            <w:t>162</w:t>
          </w:r>
        </w:fldSimple>
      </w:p>
    </w:sdtContent>
  </w:sdt>
  <w:p w:rsidR="00F75744" w:rsidRDefault="00F75744">
    <w:pPr>
      <w:pStyle w:val="Footer"/>
    </w:pPr>
  </w:p>
</w:ftr>
</file>

<file path=word/footnotes.xml><?xml version="1.0" encoding="utf-8"?>
<w:footnotes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footnote w:type="separator" w:id="-1">
    <w:p w:rsidR="006768C9" w:rsidRDefault="006768C9" w:rsidP="00504ED5">
      <w:r>
        <w:separator/>
      </w:r>
    </w:p>
  </w:footnote>
  <w:footnote w:type="continuationSeparator" w:id="0">
    <w:p w:rsidR="006768C9" w:rsidRDefault="006768C9" w:rsidP="00504ED5">
      <w:r>
        <w:continuationSeparator/>
      </w:r>
    </w:p>
  </w:footnote>
</w:footnote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9FFA57D7"/>
    <w:multiLevelType w:val="hybridMultilevel"/>
    <w:tmpl w:val="5E2F082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
    <w:nsid w:val="AD47BFB1"/>
    <w:multiLevelType w:val="hybridMultilevel"/>
    <w:tmpl w:val="88496FE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2">
    <w:nsid w:val="B0A75926"/>
    <w:multiLevelType w:val="hybridMultilevel"/>
    <w:tmpl w:val="8C0221E0"/>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
    <w:nsid w:val="C1EA873D"/>
    <w:multiLevelType w:val="hybridMultilevel"/>
    <w:tmpl w:val="79542BD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
    <w:nsid w:val="C29055FE"/>
    <w:multiLevelType w:val="hybridMultilevel"/>
    <w:tmpl w:val="DBF69377"/>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5">
    <w:nsid w:val="C5A5DDF8"/>
    <w:multiLevelType w:val="hybridMultilevel"/>
    <w:tmpl w:val="E1DDDBD5"/>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
    <w:nsid w:val="C83CFD56"/>
    <w:multiLevelType w:val="hybridMultilevel"/>
    <w:tmpl w:val="0BC021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7">
    <w:nsid w:val="E5B601E2"/>
    <w:multiLevelType w:val="hybridMultilevel"/>
    <w:tmpl w:val="C53582D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8">
    <w:nsid w:val="ED79E0D0"/>
    <w:multiLevelType w:val="hybridMultilevel"/>
    <w:tmpl w:val="25C3011F"/>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9">
    <w:nsid w:val="FD2B1C92"/>
    <w:multiLevelType w:val="hybridMultilevel"/>
    <w:tmpl w:val="B0387D98"/>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0">
    <w:nsid w:val="FE0CD1AD"/>
    <w:multiLevelType w:val="hybridMultilevel"/>
    <w:tmpl w:val="6A340731"/>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1">
    <w:nsid w:val="FF4F789B"/>
    <w:multiLevelType w:val="hybridMultilevel"/>
    <w:tmpl w:val="69D76123"/>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12">
    <w:nsid w:val="00000002"/>
    <w:multiLevelType w:val="singleLevel"/>
    <w:tmpl w:val="00000002"/>
    <w:name w:val="WW8Num2"/>
    <w:lvl w:ilvl="0">
      <w:start w:val="1"/>
      <w:numFmt w:val="decimal"/>
      <w:lvlText w:val="%1."/>
      <w:lvlJc w:val="left"/>
      <w:pPr>
        <w:tabs>
          <w:tab w:val="num" w:pos="720"/>
        </w:tabs>
        <w:ind w:left="720" w:hanging="720"/>
      </w:pPr>
    </w:lvl>
  </w:abstractNum>
  <w:abstractNum w:abstractNumId="13">
    <w:nsid w:val="00000003"/>
    <w:multiLevelType w:val="multilevel"/>
    <w:tmpl w:val="00000003"/>
    <w:name w:val="WW8Num3"/>
    <w:lvl w:ilvl="0">
      <w:start w:val="1"/>
      <w:numFmt w:val="bullet"/>
      <w:lvlText w:val=""/>
      <w:lvlJc w:val="left"/>
      <w:pPr>
        <w:tabs>
          <w:tab w:val="num" w:pos="720"/>
        </w:tabs>
        <w:ind w:left="720" w:hanging="360"/>
      </w:pPr>
      <w:rPr>
        <w:rFonts w:ascii="Symbol" w:hAnsi="Symbol" w:cs="OpenSymbol"/>
      </w:rPr>
    </w:lvl>
    <w:lvl w:ilvl="1">
      <w:start w:val="1"/>
      <w:numFmt w:val="bullet"/>
      <w:lvlText w:val=""/>
      <w:lvlJc w:val="left"/>
      <w:pPr>
        <w:tabs>
          <w:tab w:val="num" w:pos="1080"/>
        </w:tabs>
        <w:ind w:left="1080" w:hanging="360"/>
      </w:pPr>
      <w:rPr>
        <w:rFonts w:ascii="Symbol" w:hAnsi="Symbol" w:cs="OpenSymbol"/>
      </w:rPr>
    </w:lvl>
    <w:lvl w:ilvl="2">
      <w:start w:val="1"/>
      <w:numFmt w:val="bullet"/>
      <w:lvlText w:val=""/>
      <w:lvlJc w:val="left"/>
      <w:pPr>
        <w:tabs>
          <w:tab w:val="num" w:pos="1440"/>
        </w:tabs>
        <w:ind w:left="1440" w:hanging="360"/>
      </w:pPr>
      <w:rPr>
        <w:rFonts w:ascii="Symbol" w:hAnsi="Symbol" w:cs="OpenSymbol"/>
      </w:rPr>
    </w:lvl>
    <w:lvl w:ilvl="3">
      <w:start w:val="1"/>
      <w:numFmt w:val="bullet"/>
      <w:lvlText w:val=""/>
      <w:lvlJc w:val="left"/>
      <w:pPr>
        <w:tabs>
          <w:tab w:val="num" w:pos="1800"/>
        </w:tabs>
        <w:ind w:left="1800" w:hanging="360"/>
      </w:pPr>
      <w:rPr>
        <w:rFonts w:ascii="Symbol" w:hAnsi="Symbol" w:cs="OpenSymbol"/>
      </w:rPr>
    </w:lvl>
    <w:lvl w:ilvl="4">
      <w:start w:val="1"/>
      <w:numFmt w:val="bullet"/>
      <w:lvlText w:val=""/>
      <w:lvlJc w:val="left"/>
      <w:pPr>
        <w:tabs>
          <w:tab w:val="num" w:pos="2160"/>
        </w:tabs>
        <w:ind w:left="2160" w:hanging="360"/>
      </w:pPr>
      <w:rPr>
        <w:rFonts w:ascii="Symbol" w:hAnsi="Symbol" w:cs="OpenSymbol"/>
      </w:rPr>
    </w:lvl>
    <w:lvl w:ilvl="5">
      <w:start w:val="1"/>
      <w:numFmt w:val="bullet"/>
      <w:lvlText w:val=""/>
      <w:lvlJc w:val="left"/>
      <w:pPr>
        <w:tabs>
          <w:tab w:val="num" w:pos="2520"/>
        </w:tabs>
        <w:ind w:left="2520" w:hanging="360"/>
      </w:pPr>
      <w:rPr>
        <w:rFonts w:ascii="Symbol" w:hAnsi="Symbol" w:cs="OpenSymbol"/>
      </w:rPr>
    </w:lvl>
    <w:lvl w:ilvl="6">
      <w:start w:val="1"/>
      <w:numFmt w:val="bullet"/>
      <w:lvlText w:val=""/>
      <w:lvlJc w:val="left"/>
      <w:pPr>
        <w:tabs>
          <w:tab w:val="num" w:pos="2880"/>
        </w:tabs>
        <w:ind w:left="2880" w:hanging="360"/>
      </w:pPr>
      <w:rPr>
        <w:rFonts w:ascii="Symbol" w:hAnsi="Symbol" w:cs="OpenSymbol"/>
      </w:rPr>
    </w:lvl>
    <w:lvl w:ilvl="7">
      <w:start w:val="1"/>
      <w:numFmt w:val="bullet"/>
      <w:lvlText w:val=""/>
      <w:lvlJc w:val="left"/>
      <w:pPr>
        <w:tabs>
          <w:tab w:val="num" w:pos="3240"/>
        </w:tabs>
        <w:ind w:left="3240" w:hanging="360"/>
      </w:pPr>
      <w:rPr>
        <w:rFonts w:ascii="Symbol" w:hAnsi="Symbol" w:cs="OpenSymbol"/>
      </w:rPr>
    </w:lvl>
    <w:lvl w:ilvl="8">
      <w:start w:val="1"/>
      <w:numFmt w:val="bullet"/>
      <w:lvlText w:val=""/>
      <w:lvlJc w:val="left"/>
      <w:pPr>
        <w:tabs>
          <w:tab w:val="num" w:pos="3600"/>
        </w:tabs>
        <w:ind w:left="3600" w:hanging="360"/>
      </w:pPr>
      <w:rPr>
        <w:rFonts w:ascii="Symbol" w:hAnsi="Symbol" w:cs="OpenSymbol"/>
      </w:rPr>
    </w:lvl>
  </w:abstractNum>
  <w:abstractNum w:abstractNumId="14">
    <w:nsid w:val="024F4003"/>
    <w:multiLevelType w:val="hybridMultilevel"/>
    <w:tmpl w:val="D6E6CFE0"/>
    <w:lvl w:ilvl="0" w:tplc="CC84742E">
      <w:start w:val="1"/>
      <w:numFmt w:val="bullet"/>
      <w:lvlText w:val=""/>
      <w:lvlJc w:val="left"/>
      <w:pPr>
        <w:tabs>
          <w:tab w:val="num" w:pos="360"/>
        </w:tabs>
        <w:ind w:left="360" w:hanging="360"/>
      </w:pPr>
      <w:rPr>
        <w:rFonts w:ascii="Symbol" w:hAnsi="Symbol"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15">
    <w:nsid w:val="096A64CE"/>
    <w:multiLevelType w:val="hybridMultilevel"/>
    <w:tmpl w:val="160E8B68"/>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16">
    <w:nsid w:val="0AE648DA"/>
    <w:multiLevelType w:val="hybridMultilevel"/>
    <w:tmpl w:val="731676FC"/>
    <w:lvl w:ilvl="0" w:tplc="04180001">
      <w:start w:val="1"/>
      <w:numFmt w:val="bullet"/>
      <w:lvlText w:val=""/>
      <w:lvlJc w:val="left"/>
      <w:pPr>
        <w:tabs>
          <w:tab w:val="num" w:pos="720"/>
        </w:tabs>
        <w:ind w:left="720" w:hanging="360"/>
      </w:pPr>
      <w:rPr>
        <w:rFonts w:ascii="Symbol" w:hAnsi="Symbol" w:hint="default"/>
      </w:rPr>
    </w:lvl>
    <w:lvl w:ilvl="1" w:tplc="04180005">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17">
    <w:nsid w:val="0C04163F"/>
    <w:multiLevelType w:val="hybridMultilevel"/>
    <w:tmpl w:val="40903BDA"/>
    <w:lvl w:ilvl="0" w:tplc="0418000B">
      <w:start w:val="1"/>
      <w:numFmt w:val="bullet"/>
      <w:lvlText w:val=""/>
      <w:lvlJc w:val="left"/>
      <w:pPr>
        <w:tabs>
          <w:tab w:val="num" w:pos="1440"/>
        </w:tabs>
        <w:ind w:left="1440" w:hanging="360"/>
      </w:pPr>
      <w:rPr>
        <w:rFonts w:ascii="Wingdings" w:hAnsi="Wingdings" w:hint="default"/>
      </w:rPr>
    </w:lvl>
    <w:lvl w:ilvl="1" w:tplc="FFFFFFFF" w:tentative="1">
      <w:start w:val="1"/>
      <w:numFmt w:val="bullet"/>
      <w:lvlText w:val="o"/>
      <w:lvlJc w:val="left"/>
      <w:pPr>
        <w:tabs>
          <w:tab w:val="num" w:pos="2160"/>
        </w:tabs>
        <w:ind w:left="2160" w:hanging="360"/>
      </w:pPr>
      <w:rPr>
        <w:rFonts w:ascii="Courier New" w:hAnsi="Courier New" w:hint="default"/>
      </w:rPr>
    </w:lvl>
    <w:lvl w:ilvl="2" w:tplc="FFFFFFFF" w:tentative="1">
      <w:start w:val="1"/>
      <w:numFmt w:val="bullet"/>
      <w:lvlText w:val=""/>
      <w:lvlJc w:val="left"/>
      <w:pPr>
        <w:tabs>
          <w:tab w:val="num" w:pos="2880"/>
        </w:tabs>
        <w:ind w:left="2880" w:hanging="360"/>
      </w:pPr>
      <w:rPr>
        <w:rFonts w:ascii="Wingdings" w:hAnsi="Wingdings" w:hint="default"/>
      </w:rPr>
    </w:lvl>
    <w:lvl w:ilvl="3" w:tplc="FFFFFFFF" w:tentative="1">
      <w:start w:val="1"/>
      <w:numFmt w:val="bullet"/>
      <w:lvlText w:val=""/>
      <w:lvlJc w:val="left"/>
      <w:pPr>
        <w:tabs>
          <w:tab w:val="num" w:pos="3600"/>
        </w:tabs>
        <w:ind w:left="3600" w:hanging="360"/>
      </w:pPr>
      <w:rPr>
        <w:rFonts w:ascii="Symbol" w:hAnsi="Symbol" w:hint="default"/>
      </w:rPr>
    </w:lvl>
    <w:lvl w:ilvl="4" w:tplc="FFFFFFFF" w:tentative="1">
      <w:start w:val="1"/>
      <w:numFmt w:val="bullet"/>
      <w:lvlText w:val="o"/>
      <w:lvlJc w:val="left"/>
      <w:pPr>
        <w:tabs>
          <w:tab w:val="num" w:pos="4320"/>
        </w:tabs>
        <w:ind w:left="4320" w:hanging="360"/>
      </w:pPr>
      <w:rPr>
        <w:rFonts w:ascii="Courier New" w:hAnsi="Courier New" w:hint="default"/>
      </w:rPr>
    </w:lvl>
    <w:lvl w:ilvl="5" w:tplc="FFFFFFFF" w:tentative="1">
      <w:start w:val="1"/>
      <w:numFmt w:val="bullet"/>
      <w:lvlText w:val=""/>
      <w:lvlJc w:val="left"/>
      <w:pPr>
        <w:tabs>
          <w:tab w:val="num" w:pos="5040"/>
        </w:tabs>
        <w:ind w:left="5040" w:hanging="360"/>
      </w:pPr>
      <w:rPr>
        <w:rFonts w:ascii="Wingdings" w:hAnsi="Wingdings" w:hint="default"/>
      </w:rPr>
    </w:lvl>
    <w:lvl w:ilvl="6" w:tplc="FFFFFFFF" w:tentative="1">
      <w:start w:val="1"/>
      <w:numFmt w:val="bullet"/>
      <w:lvlText w:val=""/>
      <w:lvlJc w:val="left"/>
      <w:pPr>
        <w:tabs>
          <w:tab w:val="num" w:pos="5760"/>
        </w:tabs>
        <w:ind w:left="5760" w:hanging="360"/>
      </w:pPr>
      <w:rPr>
        <w:rFonts w:ascii="Symbol" w:hAnsi="Symbol" w:hint="default"/>
      </w:rPr>
    </w:lvl>
    <w:lvl w:ilvl="7" w:tplc="FFFFFFFF" w:tentative="1">
      <w:start w:val="1"/>
      <w:numFmt w:val="bullet"/>
      <w:lvlText w:val="o"/>
      <w:lvlJc w:val="left"/>
      <w:pPr>
        <w:tabs>
          <w:tab w:val="num" w:pos="6480"/>
        </w:tabs>
        <w:ind w:left="6480" w:hanging="360"/>
      </w:pPr>
      <w:rPr>
        <w:rFonts w:ascii="Courier New" w:hAnsi="Courier New" w:hint="default"/>
      </w:rPr>
    </w:lvl>
    <w:lvl w:ilvl="8" w:tplc="FFFFFFFF" w:tentative="1">
      <w:start w:val="1"/>
      <w:numFmt w:val="bullet"/>
      <w:lvlText w:val=""/>
      <w:lvlJc w:val="left"/>
      <w:pPr>
        <w:tabs>
          <w:tab w:val="num" w:pos="7200"/>
        </w:tabs>
        <w:ind w:left="7200" w:hanging="360"/>
      </w:pPr>
      <w:rPr>
        <w:rFonts w:ascii="Wingdings" w:hAnsi="Wingdings" w:hint="default"/>
      </w:rPr>
    </w:lvl>
  </w:abstractNum>
  <w:abstractNum w:abstractNumId="18">
    <w:nsid w:val="0CCE7F6B"/>
    <w:multiLevelType w:val="hybridMultilevel"/>
    <w:tmpl w:val="EC20241E"/>
    <w:lvl w:ilvl="0" w:tplc="04090005">
      <w:start w:val="1"/>
      <w:numFmt w:val="bullet"/>
      <w:lvlText w:val=""/>
      <w:lvlJc w:val="left"/>
      <w:pPr>
        <w:tabs>
          <w:tab w:val="num" w:pos="644"/>
        </w:tabs>
        <w:ind w:left="644" w:hanging="360"/>
      </w:pPr>
      <w:rPr>
        <w:rFonts w:ascii="Wingdings" w:hAnsi="Wingdings" w:hint="default"/>
      </w:rPr>
    </w:lvl>
    <w:lvl w:ilvl="1" w:tplc="04180003" w:tentative="1">
      <w:start w:val="1"/>
      <w:numFmt w:val="bullet"/>
      <w:lvlText w:val="o"/>
      <w:lvlJc w:val="left"/>
      <w:pPr>
        <w:tabs>
          <w:tab w:val="num" w:pos="1364"/>
        </w:tabs>
        <w:ind w:left="1364" w:hanging="360"/>
      </w:pPr>
      <w:rPr>
        <w:rFonts w:ascii="Courier New" w:hAnsi="Courier New" w:cs="Courier New" w:hint="default"/>
      </w:rPr>
    </w:lvl>
    <w:lvl w:ilvl="2" w:tplc="04180005" w:tentative="1">
      <w:start w:val="1"/>
      <w:numFmt w:val="bullet"/>
      <w:lvlText w:val=""/>
      <w:lvlJc w:val="left"/>
      <w:pPr>
        <w:tabs>
          <w:tab w:val="num" w:pos="2084"/>
        </w:tabs>
        <w:ind w:left="2084" w:hanging="360"/>
      </w:pPr>
      <w:rPr>
        <w:rFonts w:ascii="Wingdings" w:hAnsi="Wingdings" w:hint="default"/>
      </w:rPr>
    </w:lvl>
    <w:lvl w:ilvl="3" w:tplc="04180001" w:tentative="1">
      <w:start w:val="1"/>
      <w:numFmt w:val="bullet"/>
      <w:lvlText w:val=""/>
      <w:lvlJc w:val="left"/>
      <w:pPr>
        <w:tabs>
          <w:tab w:val="num" w:pos="2804"/>
        </w:tabs>
        <w:ind w:left="2804" w:hanging="360"/>
      </w:pPr>
      <w:rPr>
        <w:rFonts w:ascii="Symbol" w:hAnsi="Symbol" w:hint="default"/>
      </w:rPr>
    </w:lvl>
    <w:lvl w:ilvl="4" w:tplc="04180003" w:tentative="1">
      <w:start w:val="1"/>
      <w:numFmt w:val="bullet"/>
      <w:lvlText w:val="o"/>
      <w:lvlJc w:val="left"/>
      <w:pPr>
        <w:tabs>
          <w:tab w:val="num" w:pos="3524"/>
        </w:tabs>
        <w:ind w:left="3524" w:hanging="360"/>
      </w:pPr>
      <w:rPr>
        <w:rFonts w:ascii="Courier New" w:hAnsi="Courier New" w:cs="Courier New" w:hint="default"/>
      </w:rPr>
    </w:lvl>
    <w:lvl w:ilvl="5" w:tplc="04180005" w:tentative="1">
      <w:start w:val="1"/>
      <w:numFmt w:val="bullet"/>
      <w:lvlText w:val=""/>
      <w:lvlJc w:val="left"/>
      <w:pPr>
        <w:tabs>
          <w:tab w:val="num" w:pos="4244"/>
        </w:tabs>
        <w:ind w:left="4244" w:hanging="360"/>
      </w:pPr>
      <w:rPr>
        <w:rFonts w:ascii="Wingdings" w:hAnsi="Wingdings" w:hint="default"/>
      </w:rPr>
    </w:lvl>
    <w:lvl w:ilvl="6" w:tplc="04180001" w:tentative="1">
      <w:start w:val="1"/>
      <w:numFmt w:val="bullet"/>
      <w:lvlText w:val=""/>
      <w:lvlJc w:val="left"/>
      <w:pPr>
        <w:tabs>
          <w:tab w:val="num" w:pos="4964"/>
        </w:tabs>
        <w:ind w:left="4964" w:hanging="360"/>
      </w:pPr>
      <w:rPr>
        <w:rFonts w:ascii="Symbol" w:hAnsi="Symbol" w:hint="default"/>
      </w:rPr>
    </w:lvl>
    <w:lvl w:ilvl="7" w:tplc="04180003" w:tentative="1">
      <w:start w:val="1"/>
      <w:numFmt w:val="bullet"/>
      <w:lvlText w:val="o"/>
      <w:lvlJc w:val="left"/>
      <w:pPr>
        <w:tabs>
          <w:tab w:val="num" w:pos="5684"/>
        </w:tabs>
        <w:ind w:left="5684" w:hanging="360"/>
      </w:pPr>
      <w:rPr>
        <w:rFonts w:ascii="Courier New" w:hAnsi="Courier New" w:cs="Courier New" w:hint="default"/>
      </w:rPr>
    </w:lvl>
    <w:lvl w:ilvl="8" w:tplc="04180005" w:tentative="1">
      <w:start w:val="1"/>
      <w:numFmt w:val="bullet"/>
      <w:lvlText w:val=""/>
      <w:lvlJc w:val="left"/>
      <w:pPr>
        <w:tabs>
          <w:tab w:val="num" w:pos="6404"/>
        </w:tabs>
        <w:ind w:left="6404" w:hanging="360"/>
      </w:pPr>
      <w:rPr>
        <w:rFonts w:ascii="Wingdings" w:hAnsi="Wingdings" w:hint="default"/>
      </w:rPr>
    </w:lvl>
  </w:abstractNum>
  <w:abstractNum w:abstractNumId="19">
    <w:nsid w:val="0E080874"/>
    <w:multiLevelType w:val="hybridMultilevel"/>
    <w:tmpl w:val="07967608"/>
    <w:lvl w:ilvl="0" w:tplc="04090001">
      <w:start w:val="1"/>
      <w:numFmt w:val="bullet"/>
      <w:lvlText w:val=""/>
      <w:lvlJc w:val="left"/>
      <w:pPr>
        <w:ind w:left="72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20">
    <w:nsid w:val="0E2B3C98"/>
    <w:multiLevelType w:val="hybridMultilevel"/>
    <w:tmpl w:val="288030DA"/>
    <w:lvl w:ilvl="0" w:tplc="04180001">
      <w:start w:val="1"/>
      <w:numFmt w:val="bullet"/>
      <w:lvlText w:val=""/>
      <w:lvlJc w:val="left"/>
      <w:pPr>
        <w:ind w:left="975" w:hanging="360"/>
      </w:pPr>
      <w:rPr>
        <w:rFonts w:ascii="Symbol" w:hAnsi="Symbol" w:hint="default"/>
      </w:rPr>
    </w:lvl>
    <w:lvl w:ilvl="1" w:tplc="04180003" w:tentative="1">
      <w:start w:val="1"/>
      <w:numFmt w:val="bullet"/>
      <w:lvlText w:val="o"/>
      <w:lvlJc w:val="left"/>
      <w:pPr>
        <w:ind w:left="1695" w:hanging="360"/>
      </w:pPr>
      <w:rPr>
        <w:rFonts w:ascii="Courier New" w:hAnsi="Courier New" w:cs="Courier New" w:hint="default"/>
      </w:rPr>
    </w:lvl>
    <w:lvl w:ilvl="2" w:tplc="04180005" w:tentative="1">
      <w:start w:val="1"/>
      <w:numFmt w:val="bullet"/>
      <w:lvlText w:val=""/>
      <w:lvlJc w:val="left"/>
      <w:pPr>
        <w:ind w:left="2415" w:hanging="360"/>
      </w:pPr>
      <w:rPr>
        <w:rFonts w:ascii="Wingdings" w:hAnsi="Wingdings" w:hint="default"/>
      </w:rPr>
    </w:lvl>
    <w:lvl w:ilvl="3" w:tplc="04180001" w:tentative="1">
      <w:start w:val="1"/>
      <w:numFmt w:val="bullet"/>
      <w:lvlText w:val=""/>
      <w:lvlJc w:val="left"/>
      <w:pPr>
        <w:ind w:left="3135" w:hanging="360"/>
      </w:pPr>
      <w:rPr>
        <w:rFonts w:ascii="Symbol" w:hAnsi="Symbol" w:hint="default"/>
      </w:rPr>
    </w:lvl>
    <w:lvl w:ilvl="4" w:tplc="04180003" w:tentative="1">
      <w:start w:val="1"/>
      <w:numFmt w:val="bullet"/>
      <w:lvlText w:val="o"/>
      <w:lvlJc w:val="left"/>
      <w:pPr>
        <w:ind w:left="3855" w:hanging="360"/>
      </w:pPr>
      <w:rPr>
        <w:rFonts w:ascii="Courier New" w:hAnsi="Courier New" w:cs="Courier New" w:hint="default"/>
      </w:rPr>
    </w:lvl>
    <w:lvl w:ilvl="5" w:tplc="04180005" w:tentative="1">
      <w:start w:val="1"/>
      <w:numFmt w:val="bullet"/>
      <w:lvlText w:val=""/>
      <w:lvlJc w:val="left"/>
      <w:pPr>
        <w:ind w:left="4575" w:hanging="360"/>
      </w:pPr>
      <w:rPr>
        <w:rFonts w:ascii="Wingdings" w:hAnsi="Wingdings" w:hint="default"/>
      </w:rPr>
    </w:lvl>
    <w:lvl w:ilvl="6" w:tplc="04180001" w:tentative="1">
      <w:start w:val="1"/>
      <w:numFmt w:val="bullet"/>
      <w:lvlText w:val=""/>
      <w:lvlJc w:val="left"/>
      <w:pPr>
        <w:ind w:left="5295" w:hanging="360"/>
      </w:pPr>
      <w:rPr>
        <w:rFonts w:ascii="Symbol" w:hAnsi="Symbol" w:hint="default"/>
      </w:rPr>
    </w:lvl>
    <w:lvl w:ilvl="7" w:tplc="04180003" w:tentative="1">
      <w:start w:val="1"/>
      <w:numFmt w:val="bullet"/>
      <w:lvlText w:val="o"/>
      <w:lvlJc w:val="left"/>
      <w:pPr>
        <w:ind w:left="6015" w:hanging="360"/>
      </w:pPr>
      <w:rPr>
        <w:rFonts w:ascii="Courier New" w:hAnsi="Courier New" w:cs="Courier New" w:hint="default"/>
      </w:rPr>
    </w:lvl>
    <w:lvl w:ilvl="8" w:tplc="04180005" w:tentative="1">
      <w:start w:val="1"/>
      <w:numFmt w:val="bullet"/>
      <w:lvlText w:val=""/>
      <w:lvlJc w:val="left"/>
      <w:pPr>
        <w:ind w:left="6735" w:hanging="360"/>
      </w:pPr>
      <w:rPr>
        <w:rFonts w:ascii="Wingdings" w:hAnsi="Wingdings" w:hint="default"/>
      </w:rPr>
    </w:lvl>
  </w:abstractNum>
  <w:abstractNum w:abstractNumId="21">
    <w:nsid w:val="10AC5CA8"/>
    <w:multiLevelType w:val="hybridMultilevel"/>
    <w:tmpl w:val="A0C88E30"/>
    <w:lvl w:ilvl="0" w:tplc="04180001">
      <w:start w:val="1"/>
      <w:numFmt w:val="bullet"/>
      <w:lvlText w:val=""/>
      <w:lvlJc w:val="left"/>
      <w:pPr>
        <w:tabs>
          <w:tab w:val="num" w:pos="720"/>
        </w:tabs>
        <w:ind w:left="720" w:hanging="360"/>
      </w:pPr>
      <w:rPr>
        <w:rFonts w:ascii="Symbol" w:hAnsi="Symbol" w:hint="default"/>
      </w:rPr>
    </w:lvl>
    <w:lvl w:ilvl="1" w:tplc="0418000B">
      <w:start w:val="1"/>
      <w:numFmt w:val="bullet"/>
      <w:lvlText w:val=""/>
      <w:lvlJc w:val="left"/>
      <w:pPr>
        <w:tabs>
          <w:tab w:val="num" w:pos="1440"/>
        </w:tabs>
        <w:ind w:left="1440" w:hanging="360"/>
      </w:pPr>
      <w:rPr>
        <w:rFonts w:ascii="Wingdings" w:hAnsi="Wingdings"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22">
    <w:nsid w:val="12057CE8"/>
    <w:multiLevelType w:val="hybridMultilevel"/>
    <w:tmpl w:val="4600F72E"/>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3">
    <w:nsid w:val="12091AA6"/>
    <w:multiLevelType w:val="multilevel"/>
    <w:tmpl w:val="3740F760"/>
    <w:lvl w:ilvl="0">
      <w:start w:val="1"/>
      <w:numFmt w:val="bullet"/>
      <w:lvlText w:val=""/>
      <w:lvlJc w:val="left"/>
      <w:pPr>
        <w:tabs>
          <w:tab w:val="num" w:pos="1800"/>
        </w:tabs>
        <w:ind w:left="1800" w:hanging="360"/>
      </w:pPr>
      <w:rPr>
        <w:rFonts w:ascii="Wingdings" w:hAnsi="Wingdings" w:cs="Wingdings" w:hint="default"/>
      </w:rPr>
    </w:lvl>
    <w:lvl w:ilvl="1">
      <w:start w:val="1"/>
      <w:numFmt w:val="bullet"/>
      <w:lvlText w:val="o"/>
      <w:lvlJc w:val="left"/>
      <w:pPr>
        <w:tabs>
          <w:tab w:val="num" w:pos="1080"/>
        </w:tabs>
        <w:ind w:left="1080" w:hanging="360"/>
      </w:pPr>
      <w:rPr>
        <w:rFonts w:ascii="Courier New" w:hAnsi="Courier New" w:cs="Courier New" w:hint="default"/>
      </w:rPr>
    </w:lvl>
    <w:lvl w:ilvl="2">
      <w:start w:val="1"/>
      <w:numFmt w:val="bullet"/>
      <w:lvlText w:val=""/>
      <w:lvlJc w:val="left"/>
      <w:pPr>
        <w:tabs>
          <w:tab w:val="num" w:pos="1800"/>
        </w:tabs>
        <w:ind w:left="1800" w:hanging="360"/>
      </w:pPr>
      <w:rPr>
        <w:rFonts w:ascii="Wingdings" w:hAnsi="Wingdings" w:cs="Wingdings" w:hint="default"/>
      </w:rPr>
    </w:lvl>
    <w:lvl w:ilvl="3">
      <w:start w:val="1"/>
      <w:numFmt w:val="bullet"/>
      <w:lvlText w:val=""/>
      <w:lvlJc w:val="left"/>
      <w:pPr>
        <w:tabs>
          <w:tab w:val="num" w:pos="2520"/>
        </w:tabs>
        <w:ind w:left="2520" w:hanging="360"/>
      </w:pPr>
      <w:rPr>
        <w:rFonts w:ascii="Symbol" w:hAnsi="Symbol" w:cs="Symbol" w:hint="default"/>
      </w:rPr>
    </w:lvl>
    <w:lvl w:ilvl="4">
      <w:start w:val="1"/>
      <w:numFmt w:val="bullet"/>
      <w:lvlText w:val="o"/>
      <w:lvlJc w:val="left"/>
      <w:pPr>
        <w:tabs>
          <w:tab w:val="num" w:pos="3240"/>
        </w:tabs>
        <w:ind w:left="3240" w:hanging="360"/>
      </w:pPr>
      <w:rPr>
        <w:rFonts w:ascii="Courier New" w:hAnsi="Courier New" w:cs="Courier New" w:hint="default"/>
      </w:rPr>
    </w:lvl>
    <w:lvl w:ilvl="5">
      <w:start w:val="1"/>
      <w:numFmt w:val="bullet"/>
      <w:lvlText w:val=""/>
      <w:lvlJc w:val="left"/>
      <w:pPr>
        <w:tabs>
          <w:tab w:val="num" w:pos="3960"/>
        </w:tabs>
        <w:ind w:left="3960" w:hanging="360"/>
      </w:pPr>
      <w:rPr>
        <w:rFonts w:ascii="Wingdings" w:hAnsi="Wingdings" w:cs="Wingdings" w:hint="default"/>
      </w:rPr>
    </w:lvl>
    <w:lvl w:ilvl="6">
      <w:start w:val="1"/>
      <w:numFmt w:val="bullet"/>
      <w:lvlText w:val=""/>
      <w:lvlJc w:val="left"/>
      <w:pPr>
        <w:tabs>
          <w:tab w:val="num" w:pos="4680"/>
        </w:tabs>
        <w:ind w:left="4680" w:hanging="360"/>
      </w:pPr>
      <w:rPr>
        <w:rFonts w:ascii="Symbol" w:hAnsi="Symbol" w:cs="Symbol" w:hint="default"/>
      </w:rPr>
    </w:lvl>
    <w:lvl w:ilvl="7">
      <w:start w:val="1"/>
      <w:numFmt w:val="bullet"/>
      <w:lvlText w:val="o"/>
      <w:lvlJc w:val="left"/>
      <w:pPr>
        <w:tabs>
          <w:tab w:val="num" w:pos="5400"/>
        </w:tabs>
        <w:ind w:left="5400" w:hanging="360"/>
      </w:pPr>
      <w:rPr>
        <w:rFonts w:ascii="Courier New" w:hAnsi="Courier New" w:cs="Courier New" w:hint="default"/>
      </w:rPr>
    </w:lvl>
    <w:lvl w:ilvl="8">
      <w:start w:val="1"/>
      <w:numFmt w:val="bullet"/>
      <w:lvlText w:val=""/>
      <w:lvlJc w:val="left"/>
      <w:pPr>
        <w:tabs>
          <w:tab w:val="num" w:pos="6120"/>
        </w:tabs>
        <w:ind w:left="6120" w:hanging="360"/>
      </w:pPr>
      <w:rPr>
        <w:rFonts w:ascii="Wingdings" w:hAnsi="Wingdings" w:cs="Wingdings" w:hint="default"/>
      </w:rPr>
    </w:lvl>
  </w:abstractNum>
  <w:abstractNum w:abstractNumId="24">
    <w:nsid w:val="13BC4487"/>
    <w:multiLevelType w:val="hybridMultilevel"/>
    <w:tmpl w:val="4C6EAF94"/>
    <w:lvl w:ilvl="0" w:tplc="04180001">
      <w:start w:val="1"/>
      <w:numFmt w:val="bullet"/>
      <w:lvlText w:val=""/>
      <w:lvlJc w:val="left"/>
      <w:pPr>
        <w:ind w:left="1440" w:hanging="360"/>
      </w:pPr>
      <w:rPr>
        <w:rFonts w:ascii="Symbol" w:hAnsi="Symbol"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25">
    <w:nsid w:val="16957F97"/>
    <w:multiLevelType w:val="hybridMultilevel"/>
    <w:tmpl w:val="3496D3E2"/>
    <w:lvl w:ilvl="0" w:tplc="04180001">
      <w:start w:val="1"/>
      <w:numFmt w:val="bullet"/>
      <w:lvlText w:val=""/>
      <w:lvlJc w:val="left"/>
      <w:pPr>
        <w:tabs>
          <w:tab w:val="num" w:pos="786"/>
        </w:tabs>
        <w:ind w:left="786" w:hanging="360"/>
      </w:pPr>
      <w:rPr>
        <w:rFonts w:ascii="Symbol" w:hAnsi="Symbol" w:hint="default"/>
      </w:rPr>
    </w:lvl>
    <w:lvl w:ilvl="1" w:tplc="04180003" w:tentative="1">
      <w:start w:val="1"/>
      <w:numFmt w:val="bullet"/>
      <w:lvlText w:val="o"/>
      <w:lvlJc w:val="left"/>
      <w:pPr>
        <w:tabs>
          <w:tab w:val="num" w:pos="1506"/>
        </w:tabs>
        <w:ind w:left="1506" w:hanging="360"/>
      </w:pPr>
      <w:rPr>
        <w:rFonts w:ascii="Courier New" w:hAnsi="Courier New" w:cs="Courier New" w:hint="default"/>
      </w:rPr>
    </w:lvl>
    <w:lvl w:ilvl="2" w:tplc="04180005" w:tentative="1">
      <w:start w:val="1"/>
      <w:numFmt w:val="bullet"/>
      <w:lvlText w:val=""/>
      <w:lvlJc w:val="left"/>
      <w:pPr>
        <w:tabs>
          <w:tab w:val="num" w:pos="2226"/>
        </w:tabs>
        <w:ind w:left="2226" w:hanging="360"/>
      </w:pPr>
      <w:rPr>
        <w:rFonts w:ascii="Wingdings" w:hAnsi="Wingdings" w:hint="default"/>
      </w:rPr>
    </w:lvl>
    <w:lvl w:ilvl="3" w:tplc="04180001" w:tentative="1">
      <w:start w:val="1"/>
      <w:numFmt w:val="bullet"/>
      <w:lvlText w:val=""/>
      <w:lvlJc w:val="left"/>
      <w:pPr>
        <w:tabs>
          <w:tab w:val="num" w:pos="2946"/>
        </w:tabs>
        <w:ind w:left="2946" w:hanging="360"/>
      </w:pPr>
      <w:rPr>
        <w:rFonts w:ascii="Symbol" w:hAnsi="Symbol" w:hint="default"/>
      </w:rPr>
    </w:lvl>
    <w:lvl w:ilvl="4" w:tplc="04180003" w:tentative="1">
      <w:start w:val="1"/>
      <w:numFmt w:val="bullet"/>
      <w:lvlText w:val="o"/>
      <w:lvlJc w:val="left"/>
      <w:pPr>
        <w:tabs>
          <w:tab w:val="num" w:pos="3666"/>
        </w:tabs>
        <w:ind w:left="3666" w:hanging="360"/>
      </w:pPr>
      <w:rPr>
        <w:rFonts w:ascii="Courier New" w:hAnsi="Courier New" w:cs="Courier New" w:hint="default"/>
      </w:rPr>
    </w:lvl>
    <w:lvl w:ilvl="5" w:tplc="04180005" w:tentative="1">
      <w:start w:val="1"/>
      <w:numFmt w:val="bullet"/>
      <w:lvlText w:val=""/>
      <w:lvlJc w:val="left"/>
      <w:pPr>
        <w:tabs>
          <w:tab w:val="num" w:pos="4386"/>
        </w:tabs>
        <w:ind w:left="4386" w:hanging="360"/>
      </w:pPr>
      <w:rPr>
        <w:rFonts w:ascii="Wingdings" w:hAnsi="Wingdings" w:hint="default"/>
      </w:rPr>
    </w:lvl>
    <w:lvl w:ilvl="6" w:tplc="04180001" w:tentative="1">
      <w:start w:val="1"/>
      <w:numFmt w:val="bullet"/>
      <w:lvlText w:val=""/>
      <w:lvlJc w:val="left"/>
      <w:pPr>
        <w:tabs>
          <w:tab w:val="num" w:pos="5106"/>
        </w:tabs>
        <w:ind w:left="5106" w:hanging="360"/>
      </w:pPr>
      <w:rPr>
        <w:rFonts w:ascii="Symbol" w:hAnsi="Symbol" w:hint="default"/>
      </w:rPr>
    </w:lvl>
    <w:lvl w:ilvl="7" w:tplc="04180003" w:tentative="1">
      <w:start w:val="1"/>
      <w:numFmt w:val="bullet"/>
      <w:lvlText w:val="o"/>
      <w:lvlJc w:val="left"/>
      <w:pPr>
        <w:tabs>
          <w:tab w:val="num" w:pos="5826"/>
        </w:tabs>
        <w:ind w:left="5826" w:hanging="360"/>
      </w:pPr>
      <w:rPr>
        <w:rFonts w:ascii="Courier New" w:hAnsi="Courier New" w:cs="Courier New" w:hint="default"/>
      </w:rPr>
    </w:lvl>
    <w:lvl w:ilvl="8" w:tplc="04180005" w:tentative="1">
      <w:start w:val="1"/>
      <w:numFmt w:val="bullet"/>
      <w:lvlText w:val=""/>
      <w:lvlJc w:val="left"/>
      <w:pPr>
        <w:tabs>
          <w:tab w:val="num" w:pos="6546"/>
        </w:tabs>
        <w:ind w:left="6546" w:hanging="360"/>
      </w:pPr>
      <w:rPr>
        <w:rFonts w:ascii="Wingdings" w:hAnsi="Wingdings" w:hint="default"/>
      </w:rPr>
    </w:lvl>
  </w:abstractNum>
  <w:abstractNum w:abstractNumId="26">
    <w:nsid w:val="17844A81"/>
    <w:multiLevelType w:val="hybridMultilevel"/>
    <w:tmpl w:val="1FA2E182"/>
    <w:lvl w:ilvl="0" w:tplc="53F40834">
      <w:start w:val="1"/>
      <w:numFmt w:val="decimal"/>
      <w:lvlText w:val="%1."/>
      <w:lvlJc w:val="left"/>
      <w:pPr>
        <w:tabs>
          <w:tab w:val="num" w:pos="720"/>
        </w:tabs>
        <w:ind w:left="720" w:hanging="36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nsid w:val="17F24D21"/>
    <w:multiLevelType w:val="hybridMultilevel"/>
    <w:tmpl w:val="4AD4F770"/>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28">
    <w:nsid w:val="193004B3"/>
    <w:multiLevelType w:val="hybridMultilevel"/>
    <w:tmpl w:val="8EB2B028"/>
    <w:lvl w:ilvl="0" w:tplc="04180001">
      <w:start w:val="1"/>
      <w:numFmt w:val="bullet"/>
      <w:lvlText w:val=""/>
      <w:lvlJc w:val="left"/>
      <w:pPr>
        <w:ind w:left="900" w:hanging="360"/>
      </w:pPr>
      <w:rPr>
        <w:rFonts w:ascii="Symbol" w:hAnsi="Symbol" w:hint="default"/>
      </w:rPr>
    </w:lvl>
    <w:lvl w:ilvl="1" w:tplc="5DD408BC">
      <w:numFmt w:val="bullet"/>
      <w:lvlText w:val="-"/>
      <w:lvlJc w:val="left"/>
      <w:pPr>
        <w:ind w:left="1620" w:hanging="360"/>
      </w:pPr>
      <w:rPr>
        <w:rFonts w:ascii="Arial" w:eastAsia="Times New Roman" w:hAnsi="Arial" w:cs="Arial" w:hint="default"/>
      </w:rPr>
    </w:lvl>
    <w:lvl w:ilvl="2" w:tplc="04180005" w:tentative="1">
      <w:start w:val="1"/>
      <w:numFmt w:val="bullet"/>
      <w:lvlText w:val=""/>
      <w:lvlJc w:val="left"/>
      <w:pPr>
        <w:ind w:left="2340" w:hanging="360"/>
      </w:pPr>
      <w:rPr>
        <w:rFonts w:ascii="Wingdings" w:hAnsi="Wingdings" w:hint="default"/>
      </w:rPr>
    </w:lvl>
    <w:lvl w:ilvl="3" w:tplc="04180001" w:tentative="1">
      <w:start w:val="1"/>
      <w:numFmt w:val="bullet"/>
      <w:lvlText w:val=""/>
      <w:lvlJc w:val="left"/>
      <w:pPr>
        <w:ind w:left="3060" w:hanging="360"/>
      </w:pPr>
      <w:rPr>
        <w:rFonts w:ascii="Symbol" w:hAnsi="Symbol" w:hint="default"/>
      </w:rPr>
    </w:lvl>
    <w:lvl w:ilvl="4" w:tplc="04180003" w:tentative="1">
      <w:start w:val="1"/>
      <w:numFmt w:val="bullet"/>
      <w:lvlText w:val="o"/>
      <w:lvlJc w:val="left"/>
      <w:pPr>
        <w:ind w:left="3780" w:hanging="360"/>
      </w:pPr>
      <w:rPr>
        <w:rFonts w:ascii="Courier New" w:hAnsi="Courier New" w:cs="Courier New" w:hint="default"/>
      </w:rPr>
    </w:lvl>
    <w:lvl w:ilvl="5" w:tplc="04180005" w:tentative="1">
      <w:start w:val="1"/>
      <w:numFmt w:val="bullet"/>
      <w:lvlText w:val=""/>
      <w:lvlJc w:val="left"/>
      <w:pPr>
        <w:ind w:left="4500" w:hanging="360"/>
      </w:pPr>
      <w:rPr>
        <w:rFonts w:ascii="Wingdings" w:hAnsi="Wingdings" w:hint="default"/>
      </w:rPr>
    </w:lvl>
    <w:lvl w:ilvl="6" w:tplc="04180001" w:tentative="1">
      <w:start w:val="1"/>
      <w:numFmt w:val="bullet"/>
      <w:lvlText w:val=""/>
      <w:lvlJc w:val="left"/>
      <w:pPr>
        <w:ind w:left="5220" w:hanging="360"/>
      </w:pPr>
      <w:rPr>
        <w:rFonts w:ascii="Symbol" w:hAnsi="Symbol" w:hint="default"/>
      </w:rPr>
    </w:lvl>
    <w:lvl w:ilvl="7" w:tplc="04180003" w:tentative="1">
      <w:start w:val="1"/>
      <w:numFmt w:val="bullet"/>
      <w:lvlText w:val="o"/>
      <w:lvlJc w:val="left"/>
      <w:pPr>
        <w:ind w:left="5940" w:hanging="360"/>
      </w:pPr>
      <w:rPr>
        <w:rFonts w:ascii="Courier New" w:hAnsi="Courier New" w:cs="Courier New" w:hint="default"/>
      </w:rPr>
    </w:lvl>
    <w:lvl w:ilvl="8" w:tplc="04180005" w:tentative="1">
      <w:start w:val="1"/>
      <w:numFmt w:val="bullet"/>
      <w:lvlText w:val=""/>
      <w:lvlJc w:val="left"/>
      <w:pPr>
        <w:ind w:left="6660" w:hanging="360"/>
      </w:pPr>
      <w:rPr>
        <w:rFonts w:ascii="Wingdings" w:hAnsi="Wingdings" w:hint="default"/>
      </w:rPr>
    </w:lvl>
  </w:abstractNum>
  <w:abstractNum w:abstractNumId="29">
    <w:nsid w:val="1A956F5B"/>
    <w:multiLevelType w:val="hybridMultilevel"/>
    <w:tmpl w:val="6B5411BE"/>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0">
    <w:nsid w:val="1D340AAD"/>
    <w:multiLevelType w:val="multilevel"/>
    <w:tmpl w:val="2474DE34"/>
    <w:lvl w:ilvl="0">
      <w:start w:val="1"/>
      <w:numFmt w:val="upperRoman"/>
      <w:lvlText w:val=" %1. "/>
      <w:lvlJc w:val="left"/>
      <w:pPr>
        <w:tabs>
          <w:tab w:val="num" w:pos="0"/>
        </w:tabs>
        <w:ind w:left="735" w:hanging="735"/>
      </w:pPr>
      <w:rPr>
        <w:rFonts w:hint="default"/>
        <w:b/>
        <w:i w:val="0"/>
        <w:caps w:val="0"/>
        <w:strike w:val="0"/>
        <w:dstrike w:val="0"/>
        <w:vanish w:val="0"/>
        <w:color w:val="000000"/>
        <w:sz w:val="26"/>
        <w:szCs w:val="26"/>
        <w:vertAlign w:val="baseline"/>
      </w:rPr>
    </w:lvl>
    <w:lvl w:ilvl="1">
      <w:start w:val="1"/>
      <w:numFmt w:val="decimal"/>
      <w:suff w:val="space"/>
      <w:lvlText w:val="%1.%2."/>
      <w:lvlJc w:val="left"/>
      <w:pPr>
        <w:ind w:left="1191" w:hanging="624"/>
      </w:pPr>
      <w:rPr>
        <w:rFonts w:hint="default"/>
        <w:sz w:val="22"/>
      </w:rPr>
    </w:lvl>
    <w:lvl w:ilvl="2">
      <w:start w:val="1"/>
      <w:numFmt w:val="decimal"/>
      <w:lvlText w:val="%1.%2.%3."/>
      <w:lvlJc w:val="left"/>
      <w:pPr>
        <w:tabs>
          <w:tab w:val="num" w:pos="0"/>
        </w:tabs>
        <w:ind w:left="567" w:hanging="397"/>
      </w:pPr>
      <w:rPr>
        <w:rFonts w:hint="default"/>
        <w:b/>
        <w:sz w:val="20"/>
      </w:rPr>
    </w:lvl>
    <w:lvl w:ilvl="3">
      <w:start w:val="1"/>
      <w:numFmt w:val="decimal"/>
      <w:lvlText w:val="%1.%2.%3.%4."/>
      <w:lvlJc w:val="left"/>
      <w:pPr>
        <w:tabs>
          <w:tab w:val="num" w:pos="2215"/>
        </w:tabs>
        <w:ind w:left="2215" w:hanging="1080"/>
      </w:pPr>
      <w:rPr>
        <w:rFonts w:hint="default"/>
        <w:b w:val="0"/>
        <w:sz w:val="20"/>
      </w:rPr>
    </w:lvl>
    <w:lvl w:ilvl="4">
      <w:start w:val="1"/>
      <w:numFmt w:val="decimal"/>
      <w:lvlText w:val="%1.%2.%3.%4.%5."/>
      <w:lvlJc w:val="left"/>
      <w:pPr>
        <w:tabs>
          <w:tab w:val="num" w:pos="1080"/>
        </w:tabs>
        <w:ind w:left="1080" w:hanging="1080"/>
      </w:pPr>
      <w:rPr>
        <w:rFonts w:hint="default"/>
        <w:sz w:val="20"/>
      </w:rPr>
    </w:lvl>
    <w:lvl w:ilvl="5">
      <w:start w:val="1"/>
      <w:numFmt w:val="decimal"/>
      <w:lvlText w:val="%1.%2.%3.%4.%5.%6."/>
      <w:lvlJc w:val="left"/>
      <w:pPr>
        <w:tabs>
          <w:tab w:val="num" w:pos="1440"/>
        </w:tabs>
        <w:ind w:left="1440" w:hanging="1440"/>
      </w:pPr>
      <w:rPr>
        <w:rFonts w:hint="default"/>
        <w:sz w:val="20"/>
      </w:rPr>
    </w:lvl>
    <w:lvl w:ilvl="6">
      <w:start w:val="1"/>
      <w:numFmt w:val="decimal"/>
      <w:lvlText w:val="%1.%2.%3.%4.%5.%6.%7."/>
      <w:lvlJc w:val="left"/>
      <w:pPr>
        <w:tabs>
          <w:tab w:val="num" w:pos="1800"/>
        </w:tabs>
        <w:ind w:left="1800" w:hanging="1800"/>
      </w:pPr>
      <w:rPr>
        <w:rFonts w:hint="default"/>
        <w:sz w:val="20"/>
      </w:rPr>
    </w:lvl>
    <w:lvl w:ilvl="7">
      <w:start w:val="1"/>
      <w:numFmt w:val="decimal"/>
      <w:lvlText w:val="%1.%2.%3.%4.%5.%6.%7.%8."/>
      <w:lvlJc w:val="left"/>
      <w:pPr>
        <w:tabs>
          <w:tab w:val="num" w:pos="1800"/>
        </w:tabs>
        <w:ind w:left="1800" w:hanging="1800"/>
      </w:pPr>
      <w:rPr>
        <w:rFonts w:hint="default"/>
        <w:sz w:val="20"/>
      </w:rPr>
    </w:lvl>
    <w:lvl w:ilvl="8">
      <w:start w:val="1"/>
      <w:numFmt w:val="decimal"/>
      <w:lvlText w:val="%1.%2.%3.%4.%5.%6.%7.%8.%9."/>
      <w:lvlJc w:val="left"/>
      <w:pPr>
        <w:tabs>
          <w:tab w:val="num" w:pos="2160"/>
        </w:tabs>
        <w:ind w:left="2160" w:hanging="2160"/>
      </w:pPr>
      <w:rPr>
        <w:rFonts w:hint="default"/>
        <w:sz w:val="20"/>
      </w:rPr>
    </w:lvl>
  </w:abstractNum>
  <w:abstractNum w:abstractNumId="31">
    <w:nsid w:val="1E8E64D8"/>
    <w:multiLevelType w:val="hybridMultilevel"/>
    <w:tmpl w:val="EDA80974"/>
    <w:lvl w:ilvl="0" w:tplc="27229B74">
      <w:start w:val="1"/>
      <w:numFmt w:val="bullet"/>
      <w:lvlText w:val=""/>
      <w:lvlJc w:val="left"/>
      <w:pPr>
        <w:tabs>
          <w:tab w:val="num" w:pos="2520"/>
        </w:tabs>
        <w:ind w:left="2520" w:hanging="360"/>
      </w:pPr>
      <w:rPr>
        <w:rFonts w:ascii="Symbol" w:hAnsi="Symbol" w:hint="default"/>
        <w:color w:val="auto"/>
      </w:rPr>
    </w:lvl>
    <w:lvl w:ilvl="1" w:tplc="04090003" w:tentative="1">
      <w:start w:val="1"/>
      <w:numFmt w:val="bullet"/>
      <w:lvlText w:val="o"/>
      <w:lvlJc w:val="left"/>
      <w:pPr>
        <w:tabs>
          <w:tab w:val="num" w:pos="1800"/>
        </w:tabs>
        <w:ind w:left="1800" w:hanging="360"/>
      </w:pPr>
      <w:rPr>
        <w:rFonts w:ascii="Courier New" w:hAnsi="Courier New" w:cs="Courier New" w:hint="default"/>
      </w:rPr>
    </w:lvl>
    <w:lvl w:ilvl="2" w:tplc="04090005" w:tentative="1">
      <w:start w:val="1"/>
      <w:numFmt w:val="bullet"/>
      <w:lvlText w:val=""/>
      <w:lvlJc w:val="left"/>
      <w:pPr>
        <w:tabs>
          <w:tab w:val="num" w:pos="2520"/>
        </w:tabs>
        <w:ind w:left="2520" w:hanging="360"/>
      </w:pPr>
      <w:rPr>
        <w:rFonts w:ascii="Wingdings" w:hAnsi="Wingdings" w:hint="default"/>
      </w:rPr>
    </w:lvl>
    <w:lvl w:ilvl="3" w:tplc="04090001" w:tentative="1">
      <w:start w:val="1"/>
      <w:numFmt w:val="bullet"/>
      <w:lvlText w:val=""/>
      <w:lvlJc w:val="left"/>
      <w:pPr>
        <w:tabs>
          <w:tab w:val="num" w:pos="3240"/>
        </w:tabs>
        <w:ind w:left="3240" w:hanging="360"/>
      </w:pPr>
      <w:rPr>
        <w:rFonts w:ascii="Symbol" w:hAnsi="Symbol" w:hint="default"/>
      </w:rPr>
    </w:lvl>
    <w:lvl w:ilvl="4" w:tplc="04090003" w:tentative="1">
      <w:start w:val="1"/>
      <w:numFmt w:val="bullet"/>
      <w:lvlText w:val="o"/>
      <w:lvlJc w:val="left"/>
      <w:pPr>
        <w:tabs>
          <w:tab w:val="num" w:pos="3960"/>
        </w:tabs>
        <w:ind w:left="3960" w:hanging="360"/>
      </w:pPr>
      <w:rPr>
        <w:rFonts w:ascii="Courier New" w:hAnsi="Courier New" w:cs="Courier New" w:hint="default"/>
      </w:rPr>
    </w:lvl>
    <w:lvl w:ilvl="5" w:tplc="04090005" w:tentative="1">
      <w:start w:val="1"/>
      <w:numFmt w:val="bullet"/>
      <w:lvlText w:val=""/>
      <w:lvlJc w:val="left"/>
      <w:pPr>
        <w:tabs>
          <w:tab w:val="num" w:pos="4680"/>
        </w:tabs>
        <w:ind w:left="4680" w:hanging="360"/>
      </w:pPr>
      <w:rPr>
        <w:rFonts w:ascii="Wingdings" w:hAnsi="Wingdings" w:hint="default"/>
      </w:rPr>
    </w:lvl>
    <w:lvl w:ilvl="6" w:tplc="04090001" w:tentative="1">
      <w:start w:val="1"/>
      <w:numFmt w:val="bullet"/>
      <w:lvlText w:val=""/>
      <w:lvlJc w:val="left"/>
      <w:pPr>
        <w:tabs>
          <w:tab w:val="num" w:pos="5400"/>
        </w:tabs>
        <w:ind w:left="5400" w:hanging="360"/>
      </w:pPr>
      <w:rPr>
        <w:rFonts w:ascii="Symbol" w:hAnsi="Symbol" w:hint="default"/>
      </w:rPr>
    </w:lvl>
    <w:lvl w:ilvl="7" w:tplc="04090003" w:tentative="1">
      <w:start w:val="1"/>
      <w:numFmt w:val="bullet"/>
      <w:lvlText w:val="o"/>
      <w:lvlJc w:val="left"/>
      <w:pPr>
        <w:tabs>
          <w:tab w:val="num" w:pos="6120"/>
        </w:tabs>
        <w:ind w:left="6120" w:hanging="360"/>
      </w:pPr>
      <w:rPr>
        <w:rFonts w:ascii="Courier New" w:hAnsi="Courier New" w:cs="Courier New" w:hint="default"/>
      </w:rPr>
    </w:lvl>
    <w:lvl w:ilvl="8" w:tplc="04090005" w:tentative="1">
      <w:start w:val="1"/>
      <w:numFmt w:val="bullet"/>
      <w:lvlText w:val=""/>
      <w:lvlJc w:val="left"/>
      <w:pPr>
        <w:tabs>
          <w:tab w:val="num" w:pos="6840"/>
        </w:tabs>
        <w:ind w:left="6840" w:hanging="360"/>
      </w:pPr>
      <w:rPr>
        <w:rFonts w:ascii="Wingdings" w:hAnsi="Wingdings" w:hint="default"/>
      </w:rPr>
    </w:lvl>
  </w:abstractNum>
  <w:abstractNum w:abstractNumId="32">
    <w:nsid w:val="1EB37745"/>
    <w:multiLevelType w:val="multilevel"/>
    <w:tmpl w:val="E64A5560"/>
    <w:lvl w:ilvl="0">
      <w:start w:val="1"/>
      <w:numFmt w:val="bullet"/>
      <w:lvlText w:val=""/>
      <w:lvlJc w:val="left"/>
      <w:pPr>
        <w:ind w:left="2300" w:hanging="360"/>
      </w:pPr>
      <w:rPr>
        <w:rFonts w:ascii="Symbol" w:hAnsi="Symbol" w:cs="Symbol" w:hint="default"/>
      </w:rPr>
    </w:lvl>
    <w:lvl w:ilvl="1">
      <w:start w:val="1"/>
      <w:numFmt w:val="bullet"/>
      <w:lvlText w:val="o"/>
      <w:lvlJc w:val="left"/>
      <w:pPr>
        <w:ind w:left="3020" w:hanging="360"/>
      </w:pPr>
      <w:rPr>
        <w:rFonts w:ascii="Courier New" w:hAnsi="Courier New" w:cs="Courier New" w:hint="default"/>
      </w:rPr>
    </w:lvl>
    <w:lvl w:ilvl="2">
      <w:start w:val="1"/>
      <w:numFmt w:val="bullet"/>
      <w:lvlText w:val=""/>
      <w:lvlJc w:val="left"/>
      <w:pPr>
        <w:ind w:left="3740" w:hanging="360"/>
      </w:pPr>
      <w:rPr>
        <w:rFonts w:ascii="Wingdings" w:hAnsi="Wingdings" w:cs="Wingdings" w:hint="default"/>
      </w:rPr>
    </w:lvl>
    <w:lvl w:ilvl="3">
      <w:start w:val="1"/>
      <w:numFmt w:val="bullet"/>
      <w:lvlText w:val=""/>
      <w:lvlJc w:val="left"/>
      <w:pPr>
        <w:ind w:left="4460" w:hanging="360"/>
      </w:pPr>
      <w:rPr>
        <w:rFonts w:ascii="Symbol" w:hAnsi="Symbol" w:cs="Symbol" w:hint="default"/>
      </w:rPr>
    </w:lvl>
    <w:lvl w:ilvl="4">
      <w:start w:val="1"/>
      <w:numFmt w:val="bullet"/>
      <w:lvlText w:val="o"/>
      <w:lvlJc w:val="left"/>
      <w:pPr>
        <w:ind w:left="5180" w:hanging="360"/>
      </w:pPr>
      <w:rPr>
        <w:rFonts w:ascii="Courier New" w:hAnsi="Courier New" w:cs="Courier New" w:hint="default"/>
      </w:rPr>
    </w:lvl>
    <w:lvl w:ilvl="5">
      <w:start w:val="1"/>
      <w:numFmt w:val="bullet"/>
      <w:lvlText w:val=""/>
      <w:lvlJc w:val="left"/>
      <w:pPr>
        <w:ind w:left="5900" w:hanging="360"/>
      </w:pPr>
      <w:rPr>
        <w:rFonts w:ascii="Wingdings" w:hAnsi="Wingdings" w:cs="Wingdings" w:hint="default"/>
      </w:rPr>
    </w:lvl>
    <w:lvl w:ilvl="6">
      <w:start w:val="1"/>
      <w:numFmt w:val="bullet"/>
      <w:lvlText w:val=""/>
      <w:lvlJc w:val="left"/>
      <w:pPr>
        <w:ind w:left="6620" w:hanging="360"/>
      </w:pPr>
      <w:rPr>
        <w:rFonts w:ascii="Symbol" w:hAnsi="Symbol" w:cs="Symbol" w:hint="default"/>
      </w:rPr>
    </w:lvl>
    <w:lvl w:ilvl="7">
      <w:start w:val="1"/>
      <w:numFmt w:val="bullet"/>
      <w:lvlText w:val="o"/>
      <w:lvlJc w:val="left"/>
      <w:pPr>
        <w:ind w:left="7340" w:hanging="360"/>
      </w:pPr>
      <w:rPr>
        <w:rFonts w:ascii="Courier New" w:hAnsi="Courier New" w:cs="Courier New" w:hint="default"/>
      </w:rPr>
    </w:lvl>
    <w:lvl w:ilvl="8">
      <w:start w:val="1"/>
      <w:numFmt w:val="bullet"/>
      <w:lvlText w:val=""/>
      <w:lvlJc w:val="left"/>
      <w:pPr>
        <w:ind w:left="8060" w:hanging="360"/>
      </w:pPr>
      <w:rPr>
        <w:rFonts w:ascii="Wingdings" w:hAnsi="Wingdings" w:cs="Wingdings" w:hint="default"/>
      </w:rPr>
    </w:lvl>
  </w:abstractNum>
  <w:abstractNum w:abstractNumId="33">
    <w:nsid w:val="1F233BAF"/>
    <w:multiLevelType w:val="hybridMultilevel"/>
    <w:tmpl w:val="E384C466"/>
    <w:lvl w:ilvl="0" w:tplc="0409000D">
      <w:start w:val="1"/>
      <w:numFmt w:val="bullet"/>
      <w:lvlText w:val=""/>
      <w:lvlJc w:val="left"/>
      <w:pPr>
        <w:tabs>
          <w:tab w:val="num" w:pos="720"/>
        </w:tabs>
        <w:ind w:left="720" w:hanging="360"/>
      </w:pPr>
      <w:rPr>
        <w:rFonts w:ascii="Wingdings" w:hAnsi="Wingdings"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4">
    <w:nsid w:val="1F9C6789"/>
    <w:multiLevelType w:val="hybridMultilevel"/>
    <w:tmpl w:val="746E42B8"/>
    <w:lvl w:ilvl="0" w:tplc="0418000D">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5">
    <w:nsid w:val="1FDC7A38"/>
    <w:multiLevelType w:val="hybridMultilevel"/>
    <w:tmpl w:val="3768EDEE"/>
    <w:lvl w:ilvl="0" w:tplc="0418000D">
      <w:start w:val="1"/>
      <w:numFmt w:val="bullet"/>
      <w:lvlText w:val=""/>
      <w:lvlJc w:val="left"/>
      <w:pPr>
        <w:tabs>
          <w:tab w:val="num" w:pos="360"/>
        </w:tabs>
        <w:ind w:left="360" w:hanging="360"/>
      </w:pPr>
      <w:rPr>
        <w:rFonts w:ascii="Wingdings" w:hAnsi="Wingdings" w:hint="default"/>
        <w:color w:val="auto"/>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6">
    <w:nsid w:val="241C73A9"/>
    <w:multiLevelType w:val="hybridMultilevel"/>
    <w:tmpl w:val="CD72206A"/>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37">
    <w:nsid w:val="26776D8A"/>
    <w:multiLevelType w:val="hybridMultilevel"/>
    <w:tmpl w:val="3C7A7FB4"/>
    <w:lvl w:ilvl="0" w:tplc="0418000B">
      <w:start w:val="1"/>
      <w:numFmt w:val="bullet"/>
      <w:lvlText w:val=""/>
      <w:lvlJc w:val="left"/>
      <w:pPr>
        <w:tabs>
          <w:tab w:val="num" w:pos="720"/>
        </w:tabs>
        <w:ind w:left="72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38">
    <w:nsid w:val="27134C21"/>
    <w:multiLevelType w:val="hybridMultilevel"/>
    <w:tmpl w:val="161C2ADA"/>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39">
    <w:nsid w:val="2792349F"/>
    <w:multiLevelType w:val="hybridMultilevel"/>
    <w:tmpl w:val="CB225CB6"/>
    <w:lvl w:ilvl="0" w:tplc="5D2E3BE6">
      <w:start w:val="1"/>
      <w:numFmt w:val="bullet"/>
      <w:lvlText w:val=""/>
      <w:lvlJc w:val="left"/>
      <w:pPr>
        <w:tabs>
          <w:tab w:val="num" w:pos="360"/>
        </w:tabs>
        <w:ind w:left="360" w:hanging="360"/>
      </w:pPr>
      <w:rPr>
        <w:rFonts w:ascii="Wingdings" w:hAnsi="Wingdings" w:hint="default"/>
      </w:rPr>
    </w:lvl>
    <w:lvl w:ilvl="1" w:tplc="04090001">
      <w:start w:val="1"/>
      <w:numFmt w:val="bullet"/>
      <w:lvlText w:val=""/>
      <w:lvlJc w:val="left"/>
      <w:pPr>
        <w:tabs>
          <w:tab w:val="num" w:pos="1440"/>
        </w:tabs>
        <w:ind w:left="1440" w:hanging="360"/>
      </w:pPr>
      <w:rPr>
        <w:rFonts w:ascii="Symbol" w:hAnsi="Symbo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0">
    <w:nsid w:val="2A925105"/>
    <w:multiLevelType w:val="hybridMultilevel"/>
    <w:tmpl w:val="E9EC884A"/>
    <w:lvl w:ilvl="0" w:tplc="0418000B">
      <w:start w:val="1"/>
      <w:numFmt w:val="bullet"/>
      <w:lvlText w:val=""/>
      <w:lvlJc w:val="left"/>
      <w:pPr>
        <w:tabs>
          <w:tab w:val="num" w:pos="2204"/>
        </w:tabs>
        <w:ind w:left="2204" w:hanging="360"/>
      </w:pPr>
      <w:rPr>
        <w:rFonts w:ascii="Wingdings" w:hAnsi="Wingdings" w:hint="default"/>
      </w:rPr>
    </w:lvl>
    <w:lvl w:ilvl="1" w:tplc="04180003" w:tentative="1">
      <w:start w:val="1"/>
      <w:numFmt w:val="bullet"/>
      <w:lvlText w:val="o"/>
      <w:lvlJc w:val="left"/>
      <w:pPr>
        <w:tabs>
          <w:tab w:val="num" w:pos="2924"/>
        </w:tabs>
        <w:ind w:left="2924" w:hanging="360"/>
      </w:pPr>
      <w:rPr>
        <w:rFonts w:ascii="Courier New" w:hAnsi="Courier New" w:cs="Courier New" w:hint="default"/>
      </w:rPr>
    </w:lvl>
    <w:lvl w:ilvl="2" w:tplc="04180005" w:tentative="1">
      <w:start w:val="1"/>
      <w:numFmt w:val="bullet"/>
      <w:lvlText w:val=""/>
      <w:lvlJc w:val="left"/>
      <w:pPr>
        <w:tabs>
          <w:tab w:val="num" w:pos="3644"/>
        </w:tabs>
        <w:ind w:left="3644" w:hanging="360"/>
      </w:pPr>
      <w:rPr>
        <w:rFonts w:ascii="Wingdings" w:hAnsi="Wingdings" w:hint="default"/>
      </w:rPr>
    </w:lvl>
    <w:lvl w:ilvl="3" w:tplc="04180001" w:tentative="1">
      <w:start w:val="1"/>
      <w:numFmt w:val="bullet"/>
      <w:lvlText w:val=""/>
      <w:lvlJc w:val="left"/>
      <w:pPr>
        <w:tabs>
          <w:tab w:val="num" w:pos="4364"/>
        </w:tabs>
        <w:ind w:left="4364" w:hanging="360"/>
      </w:pPr>
      <w:rPr>
        <w:rFonts w:ascii="Symbol" w:hAnsi="Symbol" w:hint="default"/>
      </w:rPr>
    </w:lvl>
    <w:lvl w:ilvl="4" w:tplc="04180003" w:tentative="1">
      <w:start w:val="1"/>
      <w:numFmt w:val="bullet"/>
      <w:lvlText w:val="o"/>
      <w:lvlJc w:val="left"/>
      <w:pPr>
        <w:tabs>
          <w:tab w:val="num" w:pos="5084"/>
        </w:tabs>
        <w:ind w:left="5084" w:hanging="360"/>
      </w:pPr>
      <w:rPr>
        <w:rFonts w:ascii="Courier New" w:hAnsi="Courier New" w:cs="Courier New" w:hint="default"/>
      </w:rPr>
    </w:lvl>
    <w:lvl w:ilvl="5" w:tplc="04180005" w:tentative="1">
      <w:start w:val="1"/>
      <w:numFmt w:val="bullet"/>
      <w:lvlText w:val=""/>
      <w:lvlJc w:val="left"/>
      <w:pPr>
        <w:tabs>
          <w:tab w:val="num" w:pos="5804"/>
        </w:tabs>
        <w:ind w:left="5804" w:hanging="360"/>
      </w:pPr>
      <w:rPr>
        <w:rFonts w:ascii="Wingdings" w:hAnsi="Wingdings" w:hint="default"/>
      </w:rPr>
    </w:lvl>
    <w:lvl w:ilvl="6" w:tplc="04180001" w:tentative="1">
      <w:start w:val="1"/>
      <w:numFmt w:val="bullet"/>
      <w:lvlText w:val=""/>
      <w:lvlJc w:val="left"/>
      <w:pPr>
        <w:tabs>
          <w:tab w:val="num" w:pos="6524"/>
        </w:tabs>
        <w:ind w:left="6524" w:hanging="360"/>
      </w:pPr>
      <w:rPr>
        <w:rFonts w:ascii="Symbol" w:hAnsi="Symbol" w:hint="default"/>
      </w:rPr>
    </w:lvl>
    <w:lvl w:ilvl="7" w:tplc="04180003" w:tentative="1">
      <w:start w:val="1"/>
      <w:numFmt w:val="bullet"/>
      <w:lvlText w:val="o"/>
      <w:lvlJc w:val="left"/>
      <w:pPr>
        <w:tabs>
          <w:tab w:val="num" w:pos="7244"/>
        </w:tabs>
        <w:ind w:left="7244" w:hanging="360"/>
      </w:pPr>
      <w:rPr>
        <w:rFonts w:ascii="Courier New" w:hAnsi="Courier New" w:cs="Courier New" w:hint="default"/>
      </w:rPr>
    </w:lvl>
    <w:lvl w:ilvl="8" w:tplc="04180005" w:tentative="1">
      <w:start w:val="1"/>
      <w:numFmt w:val="bullet"/>
      <w:lvlText w:val=""/>
      <w:lvlJc w:val="left"/>
      <w:pPr>
        <w:tabs>
          <w:tab w:val="num" w:pos="7964"/>
        </w:tabs>
        <w:ind w:left="7964" w:hanging="360"/>
      </w:pPr>
      <w:rPr>
        <w:rFonts w:ascii="Wingdings" w:hAnsi="Wingdings" w:hint="default"/>
      </w:rPr>
    </w:lvl>
  </w:abstractNum>
  <w:abstractNum w:abstractNumId="41">
    <w:nsid w:val="313160BB"/>
    <w:multiLevelType w:val="hybridMultilevel"/>
    <w:tmpl w:val="6ED8DDE2"/>
    <w:lvl w:ilvl="0" w:tplc="FFFFFFFF">
      <w:start w:val="1"/>
      <w:numFmt w:val="bullet"/>
      <w:lvlText w:val=""/>
      <w:lvlJc w:val="left"/>
      <w:pPr>
        <w:tabs>
          <w:tab w:val="num" w:pos="1080"/>
        </w:tabs>
        <w:ind w:left="1080" w:hanging="360"/>
      </w:pPr>
      <w:rPr>
        <w:rFonts w:ascii="Symbol" w:hAnsi="Symbol" w:hint="default"/>
      </w:rPr>
    </w:lvl>
    <w:lvl w:ilvl="1" w:tplc="FFFFFFFF" w:tentative="1">
      <w:start w:val="1"/>
      <w:numFmt w:val="bullet"/>
      <w:lvlText w:val="o"/>
      <w:lvlJc w:val="left"/>
      <w:pPr>
        <w:tabs>
          <w:tab w:val="num" w:pos="1800"/>
        </w:tabs>
        <w:ind w:left="1800" w:hanging="360"/>
      </w:pPr>
      <w:rPr>
        <w:rFonts w:ascii="Courier New" w:hAnsi="Courier New" w:cs="Courier New" w:hint="default"/>
      </w:rPr>
    </w:lvl>
    <w:lvl w:ilvl="2" w:tplc="FFFFFFFF" w:tentative="1">
      <w:start w:val="1"/>
      <w:numFmt w:val="bullet"/>
      <w:lvlText w:val=""/>
      <w:lvlJc w:val="left"/>
      <w:pPr>
        <w:tabs>
          <w:tab w:val="num" w:pos="2520"/>
        </w:tabs>
        <w:ind w:left="2520" w:hanging="360"/>
      </w:pPr>
      <w:rPr>
        <w:rFonts w:ascii="Wingdings" w:hAnsi="Wingdings" w:hint="default"/>
      </w:rPr>
    </w:lvl>
    <w:lvl w:ilvl="3" w:tplc="FFFFFFFF" w:tentative="1">
      <w:start w:val="1"/>
      <w:numFmt w:val="bullet"/>
      <w:lvlText w:val=""/>
      <w:lvlJc w:val="left"/>
      <w:pPr>
        <w:tabs>
          <w:tab w:val="num" w:pos="3240"/>
        </w:tabs>
        <w:ind w:left="3240" w:hanging="360"/>
      </w:pPr>
      <w:rPr>
        <w:rFonts w:ascii="Symbol" w:hAnsi="Symbol" w:hint="default"/>
      </w:rPr>
    </w:lvl>
    <w:lvl w:ilvl="4" w:tplc="FFFFFFFF" w:tentative="1">
      <w:start w:val="1"/>
      <w:numFmt w:val="bullet"/>
      <w:lvlText w:val="o"/>
      <w:lvlJc w:val="left"/>
      <w:pPr>
        <w:tabs>
          <w:tab w:val="num" w:pos="3960"/>
        </w:tabs>
        <w:ind w:left="3960" w:hanging="360"/>
      </w:pPr>
      <w:rPr>
        <w:rFonts w:ascii="Courier New" w:hAnsi="Courier New" w:cs="Courier New" w:hint="default"/>
      </w:rPr>
    </w:lvl>
    <w:lvl w:ilvl="5" w:tplc="FFFFFFFF" w:tentative="1">
      <w:start w:val="1"/>
      <w:numFmt w:val="bullet"/>
      <w:lvlText w:val=""/>
      <w:lvlJc w:val="left"/>
      <w:pPr>
        <w:tabs>
          <w:tab w:val="num" w:pos="4680"/>
        </w:tabs>
        <w:ind w:left="4680" w:hanging="360"/>
      </w:pPr>
      <w:rPr>
        <w:rFonts w:ascii="Wingdings" w:hAnsi="Wingdings" w:hint="default"/>
      </w:rPr>
    </w:lvl>
    <w:lvl w:ilvl="6" w:tplc="FFFFFFFF" w:tentative="1">
      <w:start w:val="1"/>
      <w:numFmt w:val="bullet"/>
      <w:lvlText w:val=""/>
      <w:lvlJc w:val="left"/>
      <w:pPr>
        <w:tabs>
          <w:tab w:val="num" w:pos="5400"/>
        </w:tabs>
        <w:ind w:left="5400" w:hanging="360"/>
      </w:pPr>
      <w:rPr>
        <w:rFonts w:ascii="Symbol" w:hAnsi="Symbol" w:hint="default"/>
      </w:rPr>
    </w:lvl>
    <w:lvl w:ilvl="7" w:tplc="FFFFFFFF" w:tentative="1">
      <w:start w:val="1"/>
      <w:numFmt w:val="bullet"/>
      <w:lvlText w:val="o"/>
      <w:lvlJc w:val="left"/>
      <w:pPr>
        <w:tabs>
          <w:tab w:val="num" w:pos="6120"/>
        </w:tabs>
        <w:ind w:left="6120" w:hanging="360"/>
      </w:pPr>
      <w:rPr>
        <w:rFonts w:ascii="Courier New" w:hAnsi="Courier New" w:cs="Courier New" w:hint="default"/>
      </w:rPr>
    </w:lvl>
    <w:lvl w:ilvl="8" w:tplc="FFFFFFFF" w:tentative="1">
      <w:start w:val="1"/>
      <w:numFmt w:val="bullet"/>
      <w:lvlText w:val=""/>
      <w:lvlJc w:val="left"/>
      <w:pPr>
        <w:tabs>
          <w:tab w:val="num" w:pos="6840"/>
        </w:tabs>
        <w:ind w:left="6840" w:hanging="360"/>
      </w:pPr>
      <w:rPr>
        <w:rFonts w:ascii="Wingdings" w:hAnsi="Wingdings" w:hint="default"/>
      </w:rPr>
    </w:lvl>
  </w:abstractNum>
  <w:abstractNum w:abstractNumId="42">
    <w:nsid w:val="314141E6"/>
    <w:multiLevelType w:val="hybridMultilevel"/>
    <w:tmpl w:val="44E72449"/>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43">
    <w:nsid w:val="33D06807"/>
    <w:multiLevelType w:val="hybridMultilevel"/>
    <w:tmpl w:val="A238E78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4">
    <w:nsid w:val="35D2058F"/>
    <w:multiLevelType w:val="hybridMultilevel"/>
    <w:tmpl w:val="B724995A"/>
    <w:lvl w:ilvl="0" w:tplc="7B38A724">
      <w:start w:val="1"/>
      <w:numFmt w:val="decimal"/>
      <w:lvlText w:val="%1."/>
      <w:lvlJc w:val="left"/>
      <w:pPr>
        <w:tabs>
          <w:tab w:val="num" w:pos="990"/>
        </w:tabs>
        <w:ind w:left="990" w:hanging="630"/>
      </w:pPr>
      <w:rPr>
        <w:rFonts w:hint="default"/>
        <w:u w:val="single"/>
      </w:rPr>
    </w:lvl>
    <w:lvl w:ilvl="1" w:tplc="04090019" w:tentative="1">
      <w:start w:val="1"/>
      <w:numFmt w:val="lowerLetter"/>
      <w:lvlText w:val="%2."/>
      <w:lvlJc w:val="left"/>
      <w:pPr>
        <w:tabs>
          <w:tab w:val="num" w:pos="1440"/>
        </w:tabs>
        <w:ind w:left="1440" w:hanging="360"/>
      </w:p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45">
    <w:nsid w:val="36132502"/>
    <w:multiLevelType w:val="hybridMultilevel"/>
    <w:tmpl w:val="DBFE3580"/>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46">
    <w:nsid w:val="3A895D32"/>
    <w:multiLevelType w:val="hybridMultilevel"/>
    <w:tmpl w:val="3730B0B0"/>
    <w:lvl w:ilvl="0" w:tplc="0418000B">
      <w:start w:val="1"/>
      <w:numFmt w:val="bullet"/>
      <w:lvlText w:val=""/>
      <w:lvlJc w:val="left"/>
      <w:pPr>
        <w:ind w:left="720" w:hanging="360"/>
      </w:pPr>
      <w:rPr>
        <w:rFonts w:ascii="Wingdings" w:hAnsi="Wingdings" w:hint="default"/>
      </w:rPr>
    </w:lvl>
    <w:lvl w:ilvl="1" w:tplc="04180003">
      <w:start w:val="1"/>
      <w:numFmt w:val="bullet"/>
      <w:lvlText w:val="o"/>
      <w:lvlJc w:val="left"/>
      <w:pPr>
        <w:ind w:left="1440" w:hanging="360"/>
      </w:pPr>
      <w:rPr>
        <w:rFonts w:ascii="Courier New" w:hAnsi="Courier New" w:cs="Courier New" w:hint="default"/>
      </w:rPr>
    </w:lvl>
    <w:lvl w:ilvl="2" w:tplc="04180005">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7">
    <w:nsid w:val="3B5D1629"/>
    <w:multiLevelType w:val="hybridMultilevel"/>
    <w:tmpl w:val="A3DE09B4"/>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48">
    <w:nsid w:val="3BC11BDF"/>
    <w:multiLevelType w:val="hybridMultilevel"/>
    <w:tmpl w:val="F84E8152"/>
    <w:lvl w:ilvl="0" w:tplc="0E94B37E">
      <w:start w:val="1"/>
      <w:numFmt w:val="decimal"/>
      <w:lvlText w:val="%1."/>
      <w:lvlJc w:val="left"/>
      <w:pPr>
        <w:ind w:left="720" w:hanging="360"/>
      </w:pPr>
      <w:rPr>
        <w:rFonts w:hint="default"/>
        <w:b/>
      </w:rPr>
    </w:lvl>
    <w:lvl w:ilvl="1" w:tplc="04180019" w:tentative="1">
      <w:start w:val="1"/>
      <w:numFmt w:val="lowerLetter"/>
      <w:lvlText w:val="%2."/>
      <w:lvlJc w:val="left"/>
      <w:pPr>
        <w:ind w:left="1440" w:hanging="360"/>
      </w:pPr>
    </w:lvl>
    <w:lvl w:ilvl="2" w:tplc="0418001B" w:tentative="1">
      <w:start w:val="1"/>
      <w:numFmt w:val="lowerRoman"/>
      <w:lvlText w:val="%3."/>
      <w:lvlJc w:val="right"/>
      <w:pPr>
        <w:ind w:left="2160" w:hanging="180"/>
      </w:pPr>
    </w:lvl>
    <w:lvl w:ilvl="3" w:tplc="0418000F" w:tentative="1">
      <w:start w:val="1"/>
      <w:numFmt w:val="decimal"/>
      <w:lvlText w:val="%4."/>
      <w:lvlJc w:val="left"/>
      <w:pPr>
        <w:ind w:left="2880" w:hanging="360"/>
      </w:pPr>
    </w:lvl>
    <w:lvl w:ilvl="4" w:tplc="04180019" w:tentative="1">
      <w:start w:val="1"/>
      <w:numFmt w:val="lowerLetter"/>
      <w:lvlText w:val="%5."/>
      <w:lvlJc w:val="left"/>
      <w:pPr>
        <w:ind w:left="3600" w:hanging="360"/>
      </w:pPr>
    </w:lvl>
    <w:lvl w:ilvl="5" w:tplc="0418001B" w:tentative="1">
      <w:start w:val="1"/>
      <w:numFmt w:val="lowerRoman"/>
      <w:lvlText w:val="%6."/>
      <w:lvlJc w:val="right"/>
      <w:pPr>
        <w:ind w:left="4320" w:hanging="180"/>
      </w:pPr>
    </w:lvl>
    <w:lvl w:ilvl="6" w:tplc="0418000F" w:tentative="1">
      <w:start w:val="1"/>
      <w:numFmt w:val="decimal"/>
      <w:lvlText w:val="%7."/>
      <w:lvlJc w:val="left"/>
      <w:pPr>
        <w:ind w:left="5040" w:hanging="360"/>
      </w:pPr>
    </w:lvl>
    <w:lvl w:ilvl="7" w:tplc="04180019" w:tentative="1">
      <w:start w:val="1"/>
      <w:numFmt w:val="lowerLetter"/>
      <w:lvlText w:val="%8."/>
      <w:lvlJc w:val="left"/>
      <w:pPr>
        <w:ind w:left="5760" w:hanging="360"/>
      </w:pPr>
    </w:lvl>
    <w:lvl w:ilvl="8" w:tplc="0418001B" w:tentative="1">
      <w:start w:val="1"/>
      <w:numFmt w:val="lowerRoman"/>
      <w:lvlText w:val="%9."/>
      <w:lvlJc w:val="right"/>
      <w:pPr>
        <w:ind w:left="6480" w:hanging="180"/>
      </w:pPr>
    </w:lvl>
  </w:abstractNum>
  <w:abstractNum w:abstractNumId="49">
    <w:nsid w:val="3E1D0C66"/>
    <w:multiLevelType w:val="hybridMultilevel"/>
    <w:tmpl w:val="961064EC"/>
    <w:lvl w:ilvl="0" w:tplc="04180001">
      <w:start w:val="1"/>
      <w:numFmt w:val="bullet"/>
      <w:lvlText w:val=""/>
      <w:lvlJc w:val="left"/>
      <w:pPr>
        <w:ind w:left="1455" w:hanging="360"/>
      </w:pPr>
      <w:rPr>
        <w:rFonts w:ascii="Symbol" w:hAnsi="Symbol" w:hint="default"/>
      </w:rPr>
    </w:lvl>
    <w:lvl w:ilvl="1" w:tplc="04180003" w:tentative="1">
      <w:start w:val="1"/>
      <w:numFmt w:val="bullet"/>
      <w:lvlText w:val="o"/>
      <w:lvlJc w:val="left"/>
      <w:pPr>
        <w:ind w:left="2175" w:hanging="360"/>
      </w:pPr>
      <w:rPr>
        <w:rFonts w:ascii="Courier New" w:hAnsi="Courier New" w:cs="Courier New" w:hint="default"/>
      </w:rPr>
    </w:lvl>
    <w:lvl w:ilvl="2" w:tplc="04180005" w:tentative="1">
      <w:start w:val="1"/>
      <w:numFmt w:val="bullet"/>
      <w:lvlText w:val=""/>
      <w:lvlJc w:val="left"/>
      <w:pPr>
        <w:ind w:left="2895" w:hanging="360"/>
      </w:pPr>
      <w:rPr>
        <w:rFonts w:ascii="Wingdings" w:hAnsi="Wingdings" w:hint="default"/>
      </w:rPr>
    </w:lvl>
    <w:lvl w:ilvl="3" w:tplc="04180001" w:tentative="1">
      <w:start w:val="1"/>
      <w:numFmt w:val="bullet"/>
      <w:lvlText w:val=""/>
      <w:lvlJc w:val="left"/>
      <w:pPr>
        <w:ind w:left="3615" w:hanging="360"/>
      </w:pPr>
      <w:rPr>
        <w:rFonts w:ascii="Symbol" w:hAnsi="Symbol" w:hint="default"/>
      </w:rPr>
    </w:lvl>
    <w:lvl w:ilvl="4" w:tplc="04180003" w:tentative="1">
      <w:start w:val="1"/>
      <w:numFmt w:val="bullet"/>
      <w:lvlText w:val="o"/>
      <w:lvlJc w:val="left"/>
      <w:pPr>
        <w:ind w:left="4335" w:hanging="360"/>
      </w:pPr>
      <w:rPr>
        <w:rFonts w:ascii="Courier New" w:hAnsi="Courier New" w:cs="Courier New" w:hint="default"/>
      </w:rPr>
    </w:lvl>
    <w:lvl w:ilvl="5" w:tplc="04180005" w:tentative="1">
      <w:start w:val="1"/>
      <w:numFmt w:val="bullet"/>
      <w:lvlText w:val=""/>
      <w:lvlJc w:val="left"/>
      <w:pPr>
        <w:ind w:left="5055" w:hanging="360"/>
      </w:pPr>
      <w:rPr>
        <w:rFonts w:ascii="Wingdings" w:hAnsi="Wingdings" w:hint="default"/>
      </w:rPr>
    </w:lvl>
    <w:lvl w:ilvl="6" w:tplc="04180001" w:tentative="1">
      <w:start w:val="1"/>
      <w:numFmt w:val="bullet"/>
      <w:lvlText w:val=""/>
      <w:lvlJc w:val="left"/>
      <w:pPr>
        <w:ind w:left="5775" w:hanging="360"/>
      </w:pPr>
      <w:rPr>
        <w:rFonts w:ascii="Symbol" w:hAnsi="Symbol" w:hint="default"/>
      </w:rPr>
    </w:lvl>
    <w:lvl w:ilvl="7" w:tplc="04180003" w:tentative="1">
      <w:start w:val="1"/>
      <w:numFmt w:val="bullet"/>
      <w:lvlText w:val="o"/>
      <w:lvlJc w:val="left"/>
      <w:pPr>
        <w:ind w:left="6495" w:hanging="360"/>
      </w:pPr>
      <w:rPr>
        <w:rFonts w:ascii="Courier New" w:hAnsi="Courier New" w:cs="Courier New" w:hint="default"/>
      </w:rPr>
    </w:lvl>
    <w:lvl w:ilvl="8" w:tplc="04180005" w:tentative="1">
      <w:start w:val="1"/>
      <w:numFmt w:val="bullet"/>
      <w:lvlText w:val=""/>
      <w:lvlJc w:val="left"/>
      <w:pPr>
        <w:ind w:left="7215" w:hanging="360"/>
      </w:pPr>
      <w:rPr>
        <w:rFonts w:ascii="Wingdings" w:hAnsi="Wingdings" w:hint="default"/>
      </w:rPr>
    </w:lvl>
  </w:abstractNum>
  <w:abstractNum w:abstractNumId="50">
    <w:nsid w:val="4171542D"/>
    <w:multiLevelType w:val="hybridMultilevel"/>
    <w:tmpl w:val="2292AC16"/>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1">
    <w:nsid w:val="41AE7C56"/>
    <w:multiLevelType w:val="hybridMultilevel"/>
    <w:tmpl w:val="92705D5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2">
    <w:nsid w:val="42476FDD"/>
    <w:multiLevelType w:val="hybridMultilevel"/>
    <w:tmpl w:val="8040B7E2"/>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Courier New"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Courier New"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53">
    <w:nsid w:val="43100559"/>
    <w:multiLevelType w:val="hybridMultilevel"/>
    <w:tmpl w:val="BD260272"/>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4">
    <w:nsid w:val="45116174"/>
    <w:multiLevelType w:val="hybridMultilevel"/>
    <w:tmpl w:val="A3E2C2D8"/>
    <w:lvl w:ilvl="0" w:tplc="04180001">
      <w:start w:val="1"/>
      <w:numFmt w:val="bullet"/>
      <w:lvlText w:val=""/>
      <w:lvlJc w:val="left"/>
      <w:pPr>
        <w:ind w:left="789" w:hanging="360"/>
      </w:pPr>
      <w:rPr>
        <w:rFonts w:ascii="Symbol" w:hAnsi="Symbol" w:hint="default"/>
      </w:rPr>
    </w:lvl>
    <w:lvl w:ilvl="1" w:tplc="04180003" w:tentative="1">
      <w:start w:val="1"/>
      <w:numFmt w:val="bullet"/>
      <w:lvlText w:val="o"/>
      <w:lvlJc w:val="left"/>
      <w:pPr>
        <w:ind w:left="1509" w:hanging="360"/>
      </w:pPr>
      <w:rPr>
        <w:rFonts w:ascii="Courier New" w:hAnsi="Courier New" w:cs="Courier New" w:hint="default"/>
      </w:rPr>
    </w:lvl>
    <w:lvl w:ilvl="2" w:tplc="04180005" w:tentative="1">
      <w:start w:val="1"/>
      <w:numFmt w:val="bullet"/>
      <w:lvlText w:val=""/>
      <w:lvlJc w:val="left"/>
      <w:pPr>
        <w:ind w:left="2229" w:hanging="360"/>
      </w:pPr>
      <w:rPr>
        <w:rFonts w:ascii="Wingdings" w:hAnsi="Wingdings" w:hint="default"/>
      </w:rPr>
    </w:lvl>
    <w:lvl w:ilvl="3" w:tplc="04180001" w:tentative="1">
      <w:start w:val="1"/>
      <w:numFmt w:val="bullet"/>
      <w:lvlText w:val=""/>
      <w:lvlJc w:val="left"/>
      <w:pPr>
        <w:ind w:left="2949" w:hanging="360"/>
      </w:pPr>
      <w:rPr>
        <w:rFonts w:ascii="Symbol" w:hAnsi="Symbol" w:hint="default"/>
      </w:rPr>
    </w:lvl>
    <w:lvl w:ilvl="4" w:tplc="04180003" w:tentative="1">
      <w:start w:val="1"/>
      <w:numFmt w:val="bullet"/>
      <w:lvlText w:val="o"/>
      <w:lvlJc w:val="left"/>
      <w:pPr>
        <w:ind w:left="3669" w:hanging="360"/>
      </w:pPr>
      <w:rPr>
        <w:rFonts w:ascii="Courier New" w:hAnsi="Courier New" w:cs="Courier New" w:hint="default"/>
      </w:rPr>
    </w:lvl>
    <w:lvl w:ilvl="5" w:tplc="04180005" w:tentative="1">
      <w:start w:val="1"/>
      <w:numFmt w:val="bullet"/>
      <w:lvlText w:val=""/>
      <w:lvlJc w:val="left"/>
      <w:pPr>
        <w:ind w:left="4389" w:hanging="360"/>
      </w:pPr>
      <w:rPr>
        <w:rFonts w:ascii="Wingdings" w:hAnsi="Wingdings" w:hint="default"/>
      </w:rPr>
    </w:lvl>
    <w:lvl w:ilvl="6" w:tplc="04180001" w:tentative="1">
      <w:start w:val="1"/>
      <w:numFmt w:val="bullet"/>
      <w:lvlText w:val=""/>
      <w:lvlJc w:val="left"/>
      <w:pPr>
        <w:ind w:left="5109" w:hanging="360"/>
      </w:pPr>
      <w:rPr>
        <w:rFonts w:ascii="Symbol" w:hAnsi="Symbol" w:hint="default"/>
      </w:rPr>
    </w:lvl>
    <w:lvl w:ilvl="7" w:tplc="04180003" w:tentative="1">
      <w:start w:val="1"/>
      <w:numFmt w:val="bullet"/>
      <w:lvlText w:val="o"/>
      <w:lvlJc w:val="left"/>
      <w:pPr>
        <w:ind w:left="5829" w:hanging="360"/>
      </w:pPr>
      <w:rPr>
        <w:rFonts w:ascii="Courier New" w:hAnsi="Courier New" w:cs="Courier New" w:hint="default"/>
      </w:rPr>
    </w:lvl>
    <w:lvl w:ilvl="8" w:tplc="04180005" w:tentative="1">
      <w:start w:val="1"/>
      <w:numFmt w:val="bullet"/>
      <w:lvlText w:val=""/>
      <w:lvlJc w:val="left"/>
      <w:pPr>
        <w:ind w:left="6549" w:hanging="360"/>
      </w:pPr>
      <w:rPr>
        <w:rFonts w:ascii="Wingdings" w:hAnsi="Wingdings" w:hint="default"/>
      </w:rPr>
    </w:lvl>
  </w:abstractNum>
  <w:abstractNum w:abstractNumId="55">
    <w:nsid w:val="48006490"/>
    <w:multiLevelType w:val="hybridMultilevel"/>
    <w:tmpl w:val="591C0106"/>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56">
    <w:nsid w:val="48B45A99"/>
    <w:multiLevelType w:val="hybridMultilevel"/>
    <w:tmpl w:val="D8A6FD20"/>
    <w:lvl w:ilvl="0" w:tplc="04180001">
      <w:start w:val="1"/>
      <w:numFmt w:val="bullet"/>
      <w:lvlText w:val=""/>
      <w:lvlJc w:val="left"/>
      <w:pPr>
        <w:tabs>
          <w:tab w:val="num" w:pos="720"/>
        </w:tabs>
        <w:ind w:left="720" w:hanging="360"/>
      </w:pPr>
      <w:rPr>
        <w:rFonts w:ascii="Symbol" w:hAnsi="Symbol"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57">
    <w:nsid w:val="4D057BB4"/>
    <w:multiLevelType w:val="multilevel"/>
    <w:tmpl w:val="DFA2C63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8">
    <w:nsid w:val="4DFA42A3"/>
    <w:multiLevelType w:val="multilevel"/>
    <w:tmpl w:val="74CAE4C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9">
    <w:nsid w:val="50BC0E54"/>
    <w:multiLevelType w:val="hybridMultilevel"/>
    <w:tmpl w:val="26F4ECEE"/>
    <w:lvl w:ilvl="0" w:tplc="0418000B">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0">
    <w:nsid w:val="528D255A"/>
    <w:multiLevelType w:val="hybridMultilevel"/>
    <w:tmpl w:val="B10A153B"/>
    <w:lvl w:ilvl="0" w:tplc="FFFFFFFF">
      <w:start w:val="1"/>
      <w:numFmt w:val="decimal"/>
      <w:suff w:val="nothing"/>
      <w:lvlText w:val=""/>
      <w:lvlJc w:val="left"/>
    </w:lvl>
    <w:lvl w:ilvl="1" w:tplc="FFFFFFFF">
      <w:numFmt w:val="decimal"/>
      <w:lvlText w:val=""/>
      <w:lvlJc w:val="left"/>
    </w:lvl>
    <w:lvl w:ilvl="2" w:tplc="FFFFFFFF">
      <w:numFmt w:val="decimal"/>
      <w:lvlText w:val=""/>
      <w:lvlJc w:val="left"/>
    </w:lvl>
    <w:lvl w:ilvl="3" w:tplc="FFFFFFFF">
      <w:numFmt w:val="decimal"/>
      <w:lvlText w:val=""/>
      <w:lvlJc w:val="left"/>
    </w:lvl>
    <w:lvl w:ilvl="4" w:tplc="FFFFFFFF">
      <w:numFmt w:val="decimal"/>
      <w:lvlText w:val=""/>
      <w:lvlJc w:val="left"/>
    </w:lvl>
    <w:lvl w:ilvl="5" w:tplc="FFFFFFFF">
      <w:numFmt w:val="decimal"/>
      <w:lvlText w:val=""/>
      <w:lvlJc w:val="left"/>
    </w:lvl>
    <w:lvl w:ilvl="6" w:tplc="FFFFFFFF">
      <w:numFmt w:val="decimal"/>
      <w:lvlText w:val=""/>
      <w:lvlJc w:val="left"/>
    </w:lvl>
    <w:lvl w:ilvl="7" w:tplc="FFFFFFFF">
      <w:numFmt w:val="decimal"/>
      <w:lvlText w:val=""/>
      <w:lvlJc w:val="left"/>
    </w:lvl>
    <w:lvl w:ilvl="8" w:tplc="FFFFFFFF">
      <w:numFmt w:val="decimal"/>
      <w:lvlText w:val=""/>
      <w:lvlJc w:val="left"/>
    </w:lvl>
  </w:abstractNum>
  <w:abstractNum w:abstractNumId="61">
    <w:nsid w:val="54AF080E"/>
    <w:multiLevelType w:val="hybridMultilevel"/>
    <w:tmpl w:val="3DD8E9DC"/>
    <w:lvl w:ilvl="0" w:tplc="04180001">
      <w:start w:val="1"/>
      <w:numFmt w:val="bullet"/>
      <w:lvlText w:val=""/>
      <w:lvlJc w:val="left"/>
      <w:pPr>
        <w:ind w:left="1455" w:hanging="360"/>
      </w:pPr>
      <w:rPr>
        <w:rFonts w:ascii="Symbol" w:hAnsi="Symbol" w:hint="default"/>
      </w:rPr>
    </w:lvl>
    <w:lvl w:ilvl="1" w:tplc="04180003" w:tentative="1">
      <w:start w:val="1"/>
      <w:numFmt w:val="bullet"/>
      <w:lvlText w:val="o"/>
      <w:lvlJc w:val="left"/>
      <w:pPr>
        <w:ind w:left="2175" w:hanging="360"/>
      </w:pPr>
      <w:rPr>
        <w:rFonts w:ascii="Courier New" w:hAnsi="Courier New" w:cs="Courier New" w:hint="default"/>
      </w:rPr>
    </w:lvl>
    <w:lvl w:ilvl="2" w:tplc="04180005" w:tentative="1">
      <w:start w:val="1"/>
      <w:numFmt w:val="bullet"/>
      <w:lvlText w:val=""/>
      <w:lvlJc w:val="left"/>
      <w:pPr>
        <w:ind w:left="2895" w:hanging="360"/>
      </w:pPr>
      <w:rPr>
        <w:rFonts w:ascii="Wingdings" w:hAnsi="Wingdings" w:hint="default"/>
      </w:rPr>
    </w:lvl>
    <w:lvl w:ilvl="3" w:tplc="04180001" w:tentative="1">
      <w:start w:val="1"/>
      <w:numFmt w:val="bullet"/>
      <w:lvlText w:val=""/>
      <w:lvlJc w:val="left"/>
      <w:pPr>
        <w:ind w:left="3615" w:hanging="360"/>
      </w:pPr>
      <w:rPr>
        <w:rFonts w:ascii="Symbol" w:hAnsi="Symbol" w:hint="default"/>
      </w:rPr>
    </w:lvl>
    <w:lvl w:ilvl="4" w:tplc="04180003" w:tentative="1">
      <w:start w:val="1"/>
      <w:numFmt w:val="bullet"/>
      <w:lvlText w:val="o"/>
      <w:lvlJc w:val="left"/>
      <w:pPr>
        <w:ind w:left="4335" w:hanging="360"/>
      </w:pPr>
      <w:rPr>
        <w:rFonts w:ascii="Courier New" w:hAnsi="Courier New" w:cs="Courier New" w:hint="default"/>
      </w:rPr>
    </w:lvl>
    <w:lvl w:ilvl="5" w:tplc="04180005" w:tentative="1">
      <w:start w:val="1"/>
      <w:numFmt w:val="bullet"/>
      <w:lvlText w:val=""/>
      <w:lvlJc w:val="left"/>
      <w:pPr>
        <w:ind w:left="5055" w:hanging="360"/>
      </w:pPr>
      <w:rPr>
        <w:rFonts w:ascii="Wingdings" w:hAnsi="Wingdings" w:hint="default"/>
      </w:rPr>
    </w:lvl>
    <w:lvl w:ilvl="6" w:tplc="04180001" w:tentative="1">
      <w:start w:val="1"/>
      <w:numFmt w:val="bullet"/>
      <w:lvlText w:val=""/>
      <w:lvlJc w:val="left"/>
      <w:pPr>
        <w:ind w:left="5775" w:hanging="360"/>
      </w:pPr>
      <w:rPr>
        <w:rFonts w:ascii="Symbol" w:hAnsi="Symbol" w:hint="default"/>
      </w:rPr>
    </w:lvl>
    <w:lvl w:ilvl="7" w:tplc="04180003" w:tentative="1">
      <w:start w:val="1"/>
      <w:numFmt w:val="bullet"/>
      <w:lvlText w:val="o"/>
      <w:lvlJc w:val="left"/>
      <w:pPr>
        <w:ind w:left="6495" w:hanging="360"/>
      </w:pPr>
      <w:rPr>
        <w:rFonts w:ascii="Courier New" w:hAnsi="Courier New" w:cs="Courier New" w:hint="default"/>
      </w:rPr>
    </w:lvl>
    <w:lvl w:ilvl="8" w:tplc="04180005" w:tentative="1">
      <w:start w:val="1"/>
      <w:numFmt w:val="bullet"/>
      <w:lvlText w:val=""/>
      <w:lvlJc w:val="left"/>
      <w:pPr>
        <w:ind w:left="7215" w:hanging="360"/>
      </w:pPr>
      <w:rPr>
        <w:rFonts w:ascii="Wingdings" w:hAnsi="Wingdings" w:hint="default"/>
      </w:rPr>
    </w:lvl>
  </w:abstractNum>
  <w:abstractNum w:abstractNumId="62">
    <w:nsid w:val="5CA8576A"/>
    <w:multiLevelType w:val="hybridMultilevel"/>
    <w:tmpl w:val="6846DAF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3">
    <w:nsid w:val="5DCA4762"/>
    <w:multiLevelType w:val="hybridMultilevel"/>
    <w:tmpl w:val="F53CA008"/>
    <w:lvl w:ilvl="0" w:tplc="DA26730C">
      <w:start w:val="2010"/>
      <w:numFmt w:val="bullet"/>
      <w:lvlText w:val="-"/>
      <w:lvlJc w:val="left"/>
      <w:pPr>
        <w:tabs>
          <w:tab w:val="num" w:pos="1068"/>
        </w:tabs>
        <w:ind w:left="1068" w:hanging="360"/>
      </w:pPr>
      <w:rPr>
        <w:rFonts w:ascii="Arial" w:eastAsia="Times New Roman" w:hAnsi="Arial" w:cs="Arial" w:hint="default"/>
      </w:rPr>
    </w:lvl>
    <w:lvl w:ilvl="1" w:tplc="04180003" w:tentative="1">
      <w:start w:val="1"/>
      <w:numFmt w:val="bullet"/>
      <w:lvlText w:val="o"/>
      <w:lvlJc w:val="left"/>
      <w:pPr>
        <w:tabs>
          <w:tab w:val="num" w:pos="1788"/>
        </w:tabs>
        <w:ind w:left="1788" w:hanging="360"/>
      </w:pPr>
      <w:rPr>
        <w:rFonts w:ascii="Courier New" w:hAnsi="Courier New" w:cs="Courier New" w:hint="default"/>
      </w:rPr>
    </w:lvl>
    <w:lvl w:ilvl="2" w:tplc="04180005" w:tentative="1">
      <w:start w:val="1"/>
      <w:numFmt w:val="bullet"/>
      <w:lvlText w:val=""/>
      <w:lvlJc w:val="left"/>
      <w:pPr>
        <w:tabs>
          <w:tab w:val="num" w:pos="2508"/>
        </w:tabs>
        <w:ind w:left="2508" w:hanging="360"/>
      </w:pPr>
      <w:rPr>
        <w:rFonts w:ascii="Wingdings" w:hAnsi="Wingdings" w:hint="default"/>
      </w:rPr>
    </w:lvl>
    <w:lvl w:ilvl="3" w:tplc="04180001" w:tentative="1">
      <w:start w:val="1"/>
      <w:numFmt w:val="bullet"/>
      <w:lvlText w:val=""/>
      <w:lvlJc w:val="left"/>
      <w:pPr>
        <w:tabs>
          <w:tab w:val="num" w:pos="3228"/>
        </w:tabs>
        <w:ind w:left="3228" w:hanging="360"/>
      </w:pPr>
      <w:rPr>
        <w:rFonts w:ascii="Symbol" w:hAnsi="Symbol" w:hint="default"/>
      </w:rPr>
    </w:lvl>
    <w:lvl w:ilvl="4" w:tplc="04180003" w:tentative="1">
      <w:start w:val="1"/>
      <w:numFmt w:val="bullet"/>
      <w:lvlText w:val="o"/>
      <w:lvlJc w:val="left"/>
      <w:pPr>
        <w:tabs>
          <w:tab w:val="num" w:pos="3948"/>
        </w:tabs>
        <w:ind w:left="3948" w:hanging="360"/>
      </w:pPr>
      <w:rPr>
        <w:rFonts w:ascii="Courier New" w:hAnsi="Courier New" w:cs="Courier New" w:hint="default"/>
      </w:rPr>
    </w:lvl>
    <w:lvl w:ilvl="5" w:tplc="04180005" w:tentative="1">
      <w:start w:val="1"/>
      <w:numFmt w:val="bullet"/>
      <w:lvlText w:val=""/>
      <w:lvlJc w:val="left"/>
      <w:pPr>
        <w:tabs>
          <w:tab w:val="num" w:pos="4668"/>
        </w:tabs>
        <w:ind w:left="4668" w:hanging="360"/>
      </w:pPr>
      <w:rPr>
        <w:rFonts w:ascii="Wingdings" w:hAnsi="Wingdings" w:hint="default"/>
      </w:rPr>
    </w:lvl>
    <w:lvl w:ilvl="6" w:tplc="04180001" w:tentative="1">
      <w:start w:val="1"/>
      <w:numFmt w:val="bullet"/>
      <w:lvlText w:val=""/>
      <w:lvlJc w:val="left"/>
      <w:pPr>
        <w:tabs>
          <w:tab w:val="num" w:pos="5388"/>
        </w:tabs>
        <w:ind w:left="5388" w:hanging="360"/>
      </w:pPr>
      <w:rPr>
        <w:rFonts w:ascii="Symbol" w:hAnsi="Symbol" w:hint="default"/>
      </w:rPr>
    </w:lvl>
    <w:lvl w:ilvl="7" w:tplc="04180003" w:tentative="1">
      <w:start w:val="1"/>
      <w:numFmt w:val="bullet"/>
      <w:lvlText w:val="o"/>
      <w:lvlJc w:val="left"/>
      <w:pPr>
        <w:tabs>
          <w:tab w:val="num" w:pos="6108"/>
        </w:tabs>
        <w:ind w:left="6108" w:hanging="360"/>
      </w:pPr>
      <w:rPr>
        <w:rFonts w:ascii="Courier New" w:hAnsi="Courier New" w:cs="Courier New" w:hint="default"/>
      </w:rPr>
    </w:lvl>
    <w:lvl w:ilvl="8" w:tplc="04180005" w:tentative="1">
      <w:start w:val="1"/>
      <w:numFmt w:val="bullet"/>
      <w:lvlText w:val=""/>
      <w:lvlJc w:val="left"/>
      <w:pPr>
        <w:tabs>
          <w:tab w:val="num" w:pos="6828"/>
        </w:tabs>
        <w:ind w:left="6828" w:hanging="360"/>
      </w:pPr>
      <w:rPr>
        <w:rFonts w:ascii="Wingdings" w:hAnsi="Wingdings" w:hint="default"/>
      </w:rPr>
    </w:lvl>
  </w:abstractNum>
  <w:abstractNum w:abstractNumId="64">
    <w:nsid w:val="5DE0228B"/>
    <w:multiLevelType w:val="hybridMultilevel"/>
    <w:tmpl w:val="ECAE636A"/>
    <w:lvl w:ilvl="0" w:tplc="04180001">
      <w:start w:val="1"/>
      <w:numFmt w:val="bullet"/>
      <w:lvlText w:val=""/>
      <w:lvlJc w:val="left"/>
      <w:pPr>
        <w:ind w:left="720" w:hanging="360"/>
      </w:pPr>
      <w:rPr>
        <w:rFonts w:ascii="Symbol" w:hAnsi="Symbol" w:hint="default"/>
      </w:rPr>
    </w:lvl>
    <w:lvl w:ilvl="1" w:tplc="04180003">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65">
    <w:nsid w:val="5E6A5CF0"/>
    <w:multiLevelType w:val="hybridMultilevel"/>
    <w:tmpl w:val="062E8F76"/>
    <w:lvl w:ilvl="0" w:tplc="04180005">
      <w:start w:val="1"/>
      <w:numFmt w:val="bullet"/>
      <w:lvlText w:val=""/>
      <w:lvlJc w:val="left"/>
      <w:pPr>
        <w:ind w:left="1080" w:hanging="360"/>
      </w:pPr>
      <w:rPr>
        <w:rFonts w:ascii="Wingdings" w:hAnsi="Wingdings" w:hint="default"/>
      </w:rPr>
    </w:lvl>
    <w:lvl w:ilvl="1" w:tplc="04180003" w:tentative="1">
      <w:start w:val="1"/>
      <w:numFmt w:val="bullet"/>
      <w:lvlText w:val="o"/>
      <w:lvlJc w:val="left"/>
      <w:pPr>
        <w:ind w:left="2160" w:hanging="360"/>
      </w:pPr>
      <w:rPr>
        <w:rFonts w:ascii="Courier New" w:hAnsi="Courier New" w:cs="Courier New" w:hint="default"/>
      </w:rPr>
    </w:lvl>
    <w:lvl w:ilvl="2" w:tplc="04180005" w:tentative="1">
      <w:start w:val="1"/>
      <w:numFmt w:val="bullet"/>
      <w:lvlText w:val=""/>
      <w:lvlJc w:val="left"/>
      <w:pPr>
        <w:ind w:left="2880" w:hanging="360"/>
      </w:pPr>
      <w:rPr>
        <w:rFonts w:ascii="Wingdings" w:hAnsi="Wingdings" w:hint="default"/>
      </w:rPr>
    </w:lvl>
    <w:lvl w:ilvl="3" w:tplc="04180001" w:tentative="1">
      <w:start w:val="1"/>
      <w:numFmt w:val="bullet"/>
      <w:lvlText w:val=""/>
      <w:lvlJc w:val="left"/>
      <w:pPr>
        <w:ind w:left="3600" w:hanging="360"/>
      </w:pPr>
      <w:rPr>
        <w:rFonts w:ascii="Symbol" w:hAnsi="Symbol" w:hint="default"/>
      </w:rPr>
    </w:lvl>
    <w:lvl w:ilvl="4" w:tplc="04180003" w:tentative="1">
      <w:start w:val="1"/>
      <w:numFmt w:val="bullet"/>
      <w:lvlText w:val="o"/>
      <w:lvlJc w:val="left"/>
      <w:pPr>
        <w:ind w:left="4320" w:hanging="360"/>
      </w:pPr>
      <w:rPr>
        <w:rFonts w:ascii="Courier New" w:hAnsi="Courier New" w:cs="Courier New" w:hint="default"/>
      </w:rPr>
    </w:lvl>
    <w:lvl w:ilvl="5" w:tplc="04180005" w:tentative="1">
      <w:start w:val="1"/>
      <w:numFmt w:val="bullet"/>
      <w:lvlText w:val=""/>
      <w:lvlJc w:val="left"/>
      <w:pPr>
        <w:ind w:left="5040" w:hanging="360"/>
      </w:pPr>
      <w:rPr>
        <w:rFonts w:ascii="Wingdings" w:hAnsi="Wingdings" w:hint="default"/>
      </w:rPr>
    </w:lvl>
    <w:lvl w:ilvl="6" w:tplc="04180001" w:tentative="1">
      <w:start w:val="1"/>
      <w:numFmt w:val="bullet"/>
      <w:lvlText w:val=""/>
      <w:lvlJc w:val="left"/>
      <w:pPr>
        <w:ind w:left="5760" w:hanging="360"/>
      </w:pPr>
      <w:rPr>
        <w:rFonts w:ascii="Symbol" w:hAnsi="Symbol" w:hint="default"/>
      </w:rPr>
    </w:lvl>
    <w:lvl w:ilvl="7" w:tplc="04180003" w:tentative="1">
      <w:start w:val="1"/>
      <w:numFmt w:val="bullet"/>
      <w:lvlText w:val="o"/>
      <w:lvlJc w:val="left"/>
      <w:pPr>
        <w:ind w:left="6480" w:hanging="360"/>
      </w:pPr>
      <w:rPr>
        <w:rFonts w:ascii="Courier New" w:hAnsi="Courier New" w:cs="Courier New" w:hint="default"/>
      </w:rPr>
    </w:lvl>
    <w:lvl w:ilvl="8" w:tplc="04180005" w:tentative="1">
      <w:start w:val="1"/>
      <w:numFmt w:val="bullet"/>
      <w:lvlText w:val=""/>
      <w:lvlJc w:val="left"/>
      <w:pPr>
        <w:ind w:left="7200" w:hanging="360"/>
      </w:pPr>
      <w:rPr>
        <w:rFonts w:ascii="Wingdings" w:hAnsi="Wingdings" w:hint="default"/>
      </w:rPr>
    </w:lvl>
  </w:abstractNum>
  <w:abstractNum w:abstractNumId="66">
    <w:nsid w:val="5EEB3A98"/>
    <w:multiLevelType w:val="multilevel"/>
    <w:tmpl w:val="0418001F"/>
    <w:styleLink w:val="111111"/>
    <w:lvl w:ilvl="0">
      <w:start w:val="3"/>
      <w:numFmt w:val="decimal"/>
      <w:lvlText w:val="%1."/>
      <w:lvlJc w:val="left"/>
      <w:pPr>
        <w:tabs>
          <w:tab w:val="num" w:pos="360"/>
        </w:tabs>
        <w:ind w:left="360" w:hanging="360"/>
      </w:pPr>
    </w:lvl>
    <w:lvl w:ilvl="1">
      <w:start w:val="3"/>
      <w:numFmt w:val="decimal"/>
      <w:lvlText w:val="%1.%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67">
    <w:nsid w:val="616407F9"/>
    <w:multiLevelType w:val="hybridMultilevel"/>
    <w:tmpl w:val="243EA1FE"/>
    <w:lvl w:ilvl="0" w:tplc="0409000F">
      <w:start w:val="1"/>
      <w:numFmt w:val="decimal"/>
      <w:lvlText w:val="%1."/>
      <w:lvlJc w:val="left"/>
      <w:pPr>
        <w:tabs>
          <w:tab w:val="num" w:pos="360"/>
        </w:tabs>
        <w:ind w:left="360" w:hanging="360"/>
      </w:pPr>
    </w:lvl>
    <w:lvl w:ilvl="1" w:tplc="04090019" w:tentative="1">
      <w:start w:val="1"/>
      <w:numFmt w:val="lowerLetter"/>
      <w:lvlText w:val="%2."/>
      <w:lvlJc w:val="left"/>
      <w:pPr>
        <w:tabs>
          <w:tab w:val="num" w:pos="1080"/>
        </w:tabs>
        <w:ind w:left="1080" w:hanging="360"/>
      </w:pPr>
    </w:lvl>
    <w:lvl w:ilvl="2" w:tplc="0409001B" w:tentative="1">
      <w:start w:val="1"/>
      <w:numFmt w:val="lowerRoman"/>
      <w:lvlText w:val="%3."/>
      <w:lvlJc w:val="right"/>
      <w:pPr>
        <w:tabs>
          <w:tab w:val="num" w:pos="1800"/>
        </w:tabs>
        <w:ind w:left="1800" w:hanging="180"/>
      </w:pPr>
    </w:lvl>
    <w:lvl w:ilvl="3" w:tplc="0409000F" w:tentative="1">
      <w:start w:val="1"/>
      <w:numFmt w:val="decimal"/>
      <w:lvlText w:val="%4."/>
      <w:lvlJc w:val="left"/>
      <w:pPr>
        <w:tabs>
          <w:tab w:val="num" w:pos="2520"/>
        </w:tabs>
        <w:ind w:left="2520" w:hanging="360"/>
      </w:pPr>
    </w:lvl>
    <w:lvl w:ilvl="4" w:tplc="04090019" w:tentative="1">
      <w:start w:val="1"/>
      <w:numFmt w:val="lowerLetter"/>
      <w:lvlText w:val="%5."/>
      <w:lvlJc w:val="left"/>
      <w:pPr>
        <w:tabs>
          <w:tab w:val="num" w:pos="3240"/>
        </w:tabs>
        <w:ind w:left="3240" w:hanging="360"/>
      </w:pPr>
    </w:lvl>
    <w:lvl w:ilvl="5" w:tplc="0409001B" w:tentative="1">
      <w:start w:val="1"/>
      <w:numFmt w:val="lowerRoman"/>
      <w:lvlText w:val="%6."/>
      <w:lvlJc w:val="right"/>
      <w:pPr>
        <w:tabs>
          <w:tab w:val="num" w:pos="3960"/>
        </w:tabs>
        <w:ind w:left="3960" w:hanging="180"/>
      </w:pPr>
    </w:lvl>
    <w:lvl w:ilvl="6" w:tplc="0409000F" w:tentative="1">
      <w:start w:val="1"/>
      <w:numFmt w:val="decimal"/>
      <w:lvlText w:val="%7."/>
      <w:lvlJc w:val="left"/>
      <w:pPr>
        <w:tabs>
          <w:tab w:val="num" w:pos="4680"/>
        </w:tabs>
        <w:ind w:left="4680" w:hanging="360"/>
      </w:pPr>
    </w:lvl>
    <w:lvl w:ilvl="7" w:tplc="04090019" w:tentative="1">
      <w:start w:val="1"/>
      <w:numFmt w:val="lowerLetter"/>
      <w:lvlText w:val="%8."/>
      <w:lvlJc w:val="left"/>
      <w:pPr>
        <w:tabs>
          <w:tab w:val="num" w:pos="5400"/>
        </w:tabs>
        <w:ind w:left="5400" w:hanging="360"/>
      </w:pPr>
    </w:lvl>
    <w:lvl w:ilvl="8" w:tplc="0409001B" w:tentative="1">
      <w:start w:val="1"/>
      <w:numFmt w:val="lowerRoman"/>
      <w:lvlText w:val="%9."/>
      <w:lvlJc w:val="right"/>
      <w:pPr>
        <w:tabs>
          <w:tab w:val="num" w:pos="6120"/>
        </w:tabs>
        <w:ind w:left="6120" w:hanging="180"/>
      </w:pPr>
    </w:lvl>
  </w:abstractNum>
  <w:abstractNum w:abstractNumId="68">
    <w:nsid w:val="61925AED"/>
    <w:multiLevelType w:val="multilevel"/>
    <w:tmpl w:val="F0A448A2"/>
    <w:lvl w:ilvl="0">
      <w:start w:val="1"/>
      <w:numFmt w:val="decimal"/>
      <w:lvlText w:val="%1."/>
      <w:lvlJc w:val="left"/>
      <w:pPr>
        <w:tabs>
          <w:tab w:val="num" w:pos="720"/>
        </w:tabs>
        <w:ind w:left="720" w:hanging="360"/>
      </w:pPr>
    </w:lvl>
    <w:lvl w:ilvl="1">
      <w:start w:val="5"/>
      <w:numFmt w:val="decimal"/>
      <w:isLgl/>
      <w:lvlText w:val="%1.%2."/>
      <w:lvlJc w:val="left"/>
      <w:pPr>
        <w:ind w:left="1080" w:hanging="720"/>
      </w:pPr>
      <w:rPr>
        <w:rFonts w:hint="default"/>
      </w:rPr>
    </w:lvl>
    <w:lvl w:ilvl="2">
      <w:start w:val="6"/>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69">
    <w:nsid w:val="648177B9"/>
    <w:multiLevelType w:val="hybridMultilevel"/>
    <w:tmpl w:val="8DFEB750"/>
    <w:lvl w:ilvl="0" w:tplc="04090001">
      <w:start w:val="1"/>
      <w:numFmt w:val="bullet"/>
      <w:lvlText w:val=""/>
      <w:lvlJc w:val="left"/>
      <w:pPr>
        <w:ind w:left="1440" w:hanging="360"/>
      </w:pPr>
      <w:rPr>
        <w:rFonts w:ascii="Symbol" w:hAnsi="Symbol" w:hint="default"/>
      </w:rPr>
    </w:lvl>
    <w:lvl w:ilvl="1" w:tplc="04090003">
      <w:start w:val="1"/>
      <w:numFmt w:val="decimal"/>
      <w:lvlText w:val="%2."/>
      <w:lvlJc w:val="left"/>
      <w:pPr>
        <w:tabs>
          <w:tab w:val="num" w:pos="1440"/>
        </w:tabs>
        <w:ind w:left="1440" w:hanging="360"/>
      </w:pPr>
    </w:lvl>
    <w:lvl w:ilvl="2" w:tplc="04090005">
      <w:start w:val="1"/>
      <w:numFmt w:val="decimal"/>
      <w:lvlText w:val="%3."/>
      <w:lvlJc w:val="left"/>
      <w:pPr>
        <w:tabs>
          <w:tab w:val="num" w:pos="2160"/>
        </w:tabs>
        <w:ind w:left="2160" w:hanging="360"/>
      </w:pPr>
    </w:lvl>
    <w:lvl w:ilvl="3" w:tplc="04090001">
      <w:start w:val="1"/>
      <w:numFmt w:val="decimal"/>
      <w:lvlText w:val="%4."/>
      <w:lvlJc w:val="left"/>
      <w:pPr>
        <w:tabs>
          <w:tab w:val="num" w:pos="2880"/>
        </w:tabs>
        <w:ind w:left="2880" w:hanging="360"/>
      </w:pPr>
    </w:lvl>
    <w:lvl w:ilvl="4" w:tplc="04090003">
      <w:start w:val="1"/>
      <w:numFmt w:val="decimal"/>
      <w:lvlText w:val="%5."/>
      <w:lvlJc w:val="left"/>
      <w:pPr>
        <w:tabs>
          <w:tab w:val="num" w:pos="3600"/>
        </w:tabs>
        <w:ind w:left="3600" w:hanging="360"/>
      </w:pPr>
    </w:lvl>
    <w:lvl w:ilvl="5" w:tplc="04090005">
      <w:start w:val="1"/>
      <w:numFmt w:val="decimal"/>
      <w:lvlText w:val="%6."/>
      <w:lvlJc w:val="left"/>
      <w:pPr>
        <w:tabs>
          <w:tab w:val="num" w:pos="4320"/>
        </w:tabs>
        <w:ind w:left="4320" w:hanging="360"/>
      </w:pPr>
    </w:lvl>
    <w:lvl w:ilvl="6" w:tplc="04090001">
      <w:start w:val="1"/>
      <w:numFmt w:val="decimal"/>
      <w:lvlText w:val="%7."/>
      <w:lvlJc w:val="left"/>
      <w:pPr>
        <w:tabs>
          <w:tab w:val="num" w:pos="5040"/>
        </w:tabs>
        <w:ind w:left="5040" w:hanging="360"/>
      </w:pPr>
    </w:lvl>
    <w:lvl w:ilvl="7" w:tplc="04090003">
      <w:start w:val="1"/>
      <w:numFmt w:val="decimal"/>
      <w:lvlText w:val="%8."/>
      <w:lvlJc w:val="left"/>
      <w:pPr>
        <w:tabs>
          <w:tab w:val="num" w:pos="5760"/>
        </w:tabs>
        <w:ind w:left="5760" w:hanging="360"/>
      </w:pPr>
    </w:lvl>
    <w:lvl w:ilvl="8" w:tplc="04090005">
      <w:start w:val="1"/>
      <w:numFmt w:val="decimal"/>
      <w:lvlText w:val="%9."/>
      <w:lvlJc w:val="left"/>
      <w:pPr>
        <w:tabs>
          <w:tab w:val="num" w:pos="6480"/>
        </w:tabs>
        <w:ind w:left="6480" w:hanging="360"/>
      </w:pPr>
    </w:lvl>
  </w:abstractNum>
  <w:abstractNum w:abstractNumId="70">
    <w:nsid w:val="65111351"/>
    <w:multiLevelType w:val="multilevel"/>
    <w:tmpl w:val="647C64C0"/>
    <w:lvl w:ilvl="0">
      <w:start w:val="1"/>
      <w:numFmt w:val="bullet"/>
      <w:lvlText w:val=""/>
      <w:lvlJc w:val="left"/>
      <w:pPr>
        <w:tabs>
          <w:tab w:val="num" w:pos="1260"/>
        </w:tabs>
        <w:ind w:left="1260" w:hanging="360"/>
      </w:pPr>
      <w:rPr>
        <w:rFonts w:ascii="Symbol" w:hAnsi="Symbol" w:cs="Symbol" w:hint="default"/>
        <w:color w:val="00000A"/>
      </w:rPr>
    </w:lvl>
    <w:lvl w:ilvl="1">
      <w:start w:val="1"/>
      <w:numFmt w:val="bullet"/>
      <w:lvlText w:val="o"/>
      <w:lvlJc w:val="left"/>
      <w:pPr>
        <w:tabs>
          <w:tab w:val="num" w:pos="1440"/>
        </w:tabs>
        <w:ind w:left="1440" w:hanging="360"/>
      </w:pPr>
      <w:rPr>
        <w:rFonts w:ascii="Courier New" w:hAnsi="Courier New" w:cs="Courier New" w:hint="default"/>
      </w:rPr>
    </w:lvl>
    <w:lvl w:ilvl="2">
      <w:start w:val="1"/>
      <w:numFmt w:val="bullet"/>
      <w:lvlText w:val=""/>
      <w:lvlJc w:val="left"/>
      <w:pPr>
        <w:tabs>
          <w:tab w:val="num" w:pos="2160"/>
        </w:tabs>
        <w:ind w:left="2160" w:hanging="360"/>
      </w:pPr>
      <w:rPr>
        <w:rFonts w:ascii="Wingdings" w:hAnsi="Wingdings" w:cs="Wingdings" w:hint="default"/>
      </w:rPr>
    </w:lvl>
    <w:lvl w:ilvl="3">
      <w:start w:val="1"/>
      <w:numFmt w:val="bullet"/>
      <w:lvlText w:val=""/>
      <w:lvlJc w:val="left"/>
      <w:pPr>
        <w:tabs>
          <w:tab w:val="num" w:pos="2880"/>
        </w:tabs>
        <w:ind w:left="2880" w:hanging="360"/>
      </w:pPr>
      <w:rPr>
        <w:rFonts w:ascii="Symbol" w:hAnsi="Symbol" w:cs="Symbol" w:hint="default"/>
      </w:rPr>
    </w:lvl>
    <w:lvl w:ilvl="4">
      <w:start w:val="1"/>
      <w:numFmt w:val="bullet"/>
      <w:lvlText w:val="o"/>
      <w:lvlJc w:val="left"/>
      <w:pPr>
        <w:tabs>
          <w:tab w:val="num" w:pos="3600"/>
        </w:tabs>
        <w:ind w:left="3600" w:hanging="360"/>
      </w:pPr>
      <w:rPr>
        <w:rFonts w:ascii="Courier New" w:hAnsi="Courier New" w:cs="Courier New" w:hint="default"/>
      </w:rPr>
    </w:lvl>
    <w:lvl w:ilvl="5">
      <w:start w:val="1"/>
      <w:numFmt w:val="bullet"/>
      <w:lvlText w:val=""/>
      <w:lvlJc w:val="left"/>
      <w:pPr>
        <w:tabs>
          <w:tab w:val="num" w:pos="4320"/>
        </w:tabs>
        <w:ind w:left="4320" w:hanging="360"/>
      </w:pPr>
      <w:rPr>
        <w:rFonts w:ascii="Wingdings" w:hAnsi="Wingdings" w:cs="Wingdings" w:hint="default"/>
      </w:rPr>
    </w:lvl>
    <w:lvl w:ilvl="6">
      <w:start w:val="1"/>
      <w:numFmt w:val="bullet"/>
      <w:lvlText w:val=""/>
      <w:lvlJc w:val="left"/>
      <w:pPr>
        <w:tabs>
          <w:tab w:val="num" w:pos="5040"/>
        </w:tabs>
        <w:ind w:left="5040" w:hanging="360"/>
      </w:pPr>
      <w:rPr>
        <w:rFonts w:ascii="Symbol" w:hAnsi="Symbol" w:cs="Symbol" w:hint="default"/>
      </w:rPr>
    </w:lvl>
    <w:lvl w:ilvl="7">
      <w:start w:val="1"/>
      <w:numFmt w:val="bullet"/>
      <w:lvlText w:val="o"/>
      <w:lvlJc w:val="left"/>
      <w:pPr>
        <w:tabs>
          <w:tab w:val="num" w:pos="5760"/>
        </w:tabs>
        <w:ind w:left="5760" w:hanging="360"/>
      </w:pPr>
      <w:rPr>
        <w:rFonts w:ascii="Courier New" w:hAnsi="Courier New" w:cs="Courier New" w:hint="default"/>
      </w:rPr>
    </w:lvl>
    <w:lvl w:ilvl="8">
      <w:start w:val="1"/>
      <w:numFmt w:val="bullet"/>
      <w:lvlText w:val=""/>
      <w:lvlJc w:val="left"/>
      <w:pPr>
        <w:tabs>
          <w:tab w:val="num" w:pos="6480"/>
        </w:tabs>
        <w:ind w:left="6480" w:hanging="360"/>
      </w:pPr>
      <w:rPr>
        <w:rFonts w:ascii="Wingdings" w:hAnsi="Wingdings" w:cs="Wingdings" w:hint="default"/>
      </w:rPr>
    </w:lvl>
  </w:abstractNum>
  <w:abstractNum w:abstractNumId="71">
    <w:nsid w:val="66F17396"/>
    <w:multiLevelType w:val="hybridMultilevel"/>
    <w:tmpl w:val="0798A7B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2">
    <w:nsid w:val="697B6450"/>
    <w:multiLevelType w:val="hybridMultilevel"/>
    <w:tmpl w:val="521A1EA8"/>
    <w:lvl w:ilvl="0" w:tplc="04180001">
      <w:start w:val="1"/>
      <w:numFmt w:val="bullet"/>
      <w:lvlText w:val=""/>
      <w:lvlJc w:val="left"/>
      <w:pPr>
        <w:ind w:left="1069" w:hanging="360"/>
      </w:pPr>
      <w:rPr>
        <w:rFonts w:ascii="Symbol" w:hAnsi="Symbol" w:hint="default"/>
      </w:rPr>
    </w:lvl>
    <w:lvl w:ilvl="1" w:tplc="04180003" w:tentative="1">
      <w:start w:val="1"/>
      <w:numFmt w:val="bullet"/>
      <w:lvlText w:val="o"/>
      <w:lvlJc w:val="left"/>
      <w:pPr>
        <w:ind w:left="1789" w:hanging="360"/>
      </w:pPr>
      <w:rPr>
        <w:rFonts w:ascii="Courier New" w:hAnsi="Courier New" w:cs="Courier New" w:hint="default"/>
      </w:rPr>
    </w:lvl>
    <w:lvl w:ilvl="2" w:tplc="04180005" w:tentative="1">
      <w:start w:val="1"/>
      <w:numFmt w:val="bullet"/>
      <w:lvlText w:val=""/>
      <w:lvlJc w:val="left"/>
      <w:pPr>
        <w:ind w:left="2509" w:hanging="360"/>
      </w:pPr>
      <w:rPr>
        <w:rFonts w:ascii="Wingdings" w:hAnsi="Wingdings" w:hint="default"/>
      </w:rPr>
    </w:lvl>
    <w:lvl w:ilvl="3" w:tplc="04180001" w:tentative="1">
      <w:start w:val="1"/>
      <w:numFmt w:val="bullet"/>
      <w:lvlText w:val=""/>
      <w:lvlJc w:val="left"/>
      <w:pPr>
        <w:ind w:left="3229" w:hanging="360"/>
      </w:pPr>
      <w:rPr>
        <w:rFonts w:ascii="Symbol" w:hAnsi="Symbol" w:hint="default"/>
      </w:rPr>
    </w:lvl>
    <w:lvl w:ilvl="4" w:tplc="04180003" w:tentative="1">
      <w:start w:val="1"/>
      <w:numFmt w:val="bullet"/>
      <w:lvlText w:val="o"/>
      <w:lvlJc w:val="left"/>
      <w:pPr>
        <w:ind w:left="3949" w:hanging="360"/>
      </w:pPr>
      <w:rPr>
        <w:rFonts w:ascii="Courier New" w:hAnsi="Courier New" w:cs="Courier New" w:hint="default"/>
      </w:rPr>
    </w:lvl>
    <w:lvl w:ilvl="5" w:tplc="04180005" w:tentative="1">
      <w:start w:val="1"/>
      <w:numFmt w:val="bullet"/>
      <w:lvlText w:val=""/>
      <w:lvlJc w:val="left"/>
      <w:pPr>
        <w:ind w:left="4669" w:hanging="360"/>
      </w:pPr>
      <w:rPr>
        <w:rFonts w:ascii="Wingdings" w:hAnsi="Wingdings" w:hint="default"/>
      </w:rPr>
    </w:lvl>
    <w:lvl w:ilvl="6" w:tplc="04180001" w:tentative="1">
      <w:start w:val="1"/>
      <w:numFmt w:val="bullet"/>
      <w:lvlText w:val=""/>
      <w:lvlJc w:val="left"/>
      <w:pPr>
        <w:ind w:left="5389" w:hanging="360"/>
      </w:pPr>
      <w:rPr>
        <w:rFonts w:ascii="Symbol" w:hAnsi="Symbol" w:hint="default"/>
      </w:rPr>
    </w:lvl>
    <w:lvl w:ilvl="7" w:tplc="04180003" w:tentative="1">
      <w:start w:val="1"/>
      <w:numFmt w:val="bullet"/>
      <w:lvlText w:val="o"/>
      <w:lvlJc w:val="left"/>
      <w:pPr>
        <w:ind w:left="6109" w:hanging="360"/>
      </w:pPr>
      <w:rPr>
        <w:rFonts w:ascii="Courier New" w:hAnsi="Courier New" w:cs="Courier New" w:hint="default"/>
      </w:rPr>
    </w:lvl>
    <w:lvl w:ilvl="8" w:tplc="04180005" w:tentative="1">
      <w:start w:val="1"/>
      <w:numFmt w:val="bullet"/>
      <w:lvlText w:val=""/>
      <w:lvlJc w:val="left"/>
      <w:pPr>
        <w:ind w:left="6829" w:hanging="360"/>
      </w:pPr>
      <w:rPr>
        <w:rFonts w:ascii="Wingdings" w:hAnsi="Wingdings" w:hint="default"/>
      </w:rPr>
    </w:lvl>
  </w:abstractNum>
  <w:abstractNum w:abstractNumId="73">
    <w:nsid w:val="6A5807C7"/>
    <w:multiLevelType w:val="hybridMultilevel"/>
    <w:tmpl w:val="30383B52"/>
    <w:lvl w:ilvl="0" w:tplc="0418000F">
      <w:start w:val="1"/>
      <w:numFmt w:val="decimal"/>
      <w:lvlText w:val="%1."/>
      <w:lvlJc w:val="left"/>
      <w:pPr>
        <w:tabs>
          <w:tab w:val="num" w:pos="360"/>
        </w:tabs>
        <w:ind w:left="360" w:hanging="360"/>
      </w:pPr>
    </w:lvl>
    <w:lvl w:ilvl="1" w:tplc="04180019" w:tentative="1">
      <w:start w:val="1"/>
      <w:numFmt w:val="lowerLetter"/>
      <w:lvlText w:val="%2."/>
      <w:lvlJc w:val="left"/>
      <w:pPr>
        <w:tabs>
          <w:tab w:val="num" w:pos="1080"/>
        </w:tabs>
        <w:ind w:left="1080" w:hanging="360"/>
      </w:pPr>
    </w:lvl>
    <w:lvl w:ilvl="2" w:tplc="0418001B" w:tentative="1">
      <w:start w:val="1"/>
      <w:numFmt w:val="lowerRoman"/>
      <w:lvlText w:val="%3."/>
      <w:lvlJc w:val="right"/>
      <w:pPr>
        <w:tabs>
          <w:tab w:val="num" w:pos="1800"/>
        </w:tabs>
        <w:ind w:left="1800" w:hanging="180"/>
      </w:pPr>
    </w:lvl>
    <w:lvl w:ilvl="3" w:tplc="0418000F" w:tentative="1">
      <w:start w:val="1"/>
      <w:numFmt w:val="decimal"/>
      <w:lvlText w:val="%4."/>
      <w:lvlJc w:val="left"/>
      <w:pPr>
        <w:tabs>
          <w:tab w:val="num" w:pos="2520"/>
        </w:tabs>
        <w:ind w:left="2520" w:hanging="360"/>
      </w:pPr>
    </w:lvl>
    <w:lvl w:ilvl="4" w:tplc="04180019" w:tentative="1">
      <w:start w:val="1"/>
      <w:numFmt w:val="lowerLetter"/>
      <w:lvlText w:val="%5."/>
      <w:lvlJc w:val="left"/>
      <w:pPr>
        <w:tabs>
          <w:tab w:val="num" w:pos="3240"/>
        </w:tabs>
        <w:ind w:left="3240" w:hanging="360"/>
      </w:pPr>
    </w:lvl>
    <w:lvl w:ilvl="5" w:tplc="0418001B" w:tentative="1">
      <w:start w:val="1"/>
      <w:numFmt w:val="lowerRoman"/>
      <w:lvlText w:val="%6."/>
      <w:lvlJc w:val="right"/>
      <w:pPr>
        <w:tabs>
          <w:tab w:val="num" w:pos="3960"/>
        </w:tabs>
        <w:ind w:left="3960" w:hanging="180"/>
      </w:pPr>
    </w:lvl>
    <w:lvl w:ilvl="6" w:tplc="0418000F" w:tentative="1">
      <w:start w:val="1"/>
      <w:numFmt w:val="decimal"/>
      <w:lvlText w:val="%7."/>
      <w:lvlJc w:val="left"/>
      <w:pPr>
        <w:tabs>
          <w:tab w:val="num" w:pos="4680"/>
        </w:tabs>
        <w:ind w:left="4680" w:hanging="360"/>
      </w:pPr>
    </w:lvl>
    <w:lvl w:ilvl="7" w:tplc="04180019" w:tentative="1">
      <w:start w:val="1"/>
      <w:numFmt w:val="lowerLetter"/>
      <w:lvlText w:val="%8."/>
      <w:lvlJc w:val="left"/>
      <w:pPr>
        <w:tabs>
          <w:tab w:val="num" w:pos="5400"/>
        </w:tabs>
        <w:ind w:left="5400" w:hanging="360"/>
      </w:pPr>
    </w:lvl>
    <w:lvl w:ilvl="8" w:tplc="0418001B" w:tentative="1">
      <w:start w:val="1"/>
      <w:numFmt w:val="lowerRoman"/>
      <w:lvlText w:val="%9."/>
      <w:lvlJc w:val="right"/>
      <w:pPr>
        <w:tabs>
          <w:tab w:val="num" w:pos="6120"/>
        </w:tabs>
        <w:ind w:left="6120" w:hanging="180"/>
      </w:pPr>
    </w:lvl>
  </w:abstractNum>
  <w:abstractNum w:abstractNumId="74">
    <w:nsid w:val="6AD37583"/>
    <w:multiLevelType w:val="hybridMultilevel"/>
    <w:tmpl w:val="0622980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75">
    <w:nsid w:val="6C8C7F82"/>
    <w:multiLevelType w:val="hybridMultilevel"/>
    <w:tmpl w:val="CDA0144E"/>
    <w:lvl w:ilvl="0" w:tplc="04180001">
      <w:start w:val="1"/>
      <w:numFmt w:val="bullet"/>
      <w:lvlText w:val=""/>
      <w:lvlJc w:val="left"/>
      <w:pPr>
        <w:ind w:left="720" w:hanging="360"/>
      </w:pPr>
      <w:rPr>
        <w:rFonts w:ascii="Symbol" w:hAnsi="Symbol"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76">
    <w:nsid w:val="6FEB68A6"/>
    <w:multiLevelType w:val="hybridMultilevel"/>
    <w:tmpl w:val="0D442610"/>
    <w:lvl w:ilvl="0" w:tplc="04090001">
      <w:start w:val="1"/>
      <w:numFmt w:val="bullet"/>
      <w:lvlText w:val=""/>
      <w:lvlJc w:val="left"/>
      <w:pPr>
        <w:ind w:left="1440" w:hanging="360"/>
      </w:pPr>
      <w:rPr>
        <w:rFonts w:ascii="Symbol" w:hAnsi="Symbol" w:hint="default"/>
      </w:rPr>
    </w:lvl>
    <w:lvl w:ilvl="1" w:tplc="04090003" w:tentative="1">
      <w:start w:val="1"/>
      <w:numFmt w:val="bullet"/>
      <w:lvlText w:val="o"/>
      <w:lvlJc w:val="left"/>
      <w:pPr>
        <w:ind w:left="2160" w:hanging="360"/>
      </w:pPr>
      <w:rPr>
        <w:rFonts w:ascii="Courier New" w:hAnsi="Courier New" w:cs="Courier New" w:hint="default"/>
      </w:rPr>
    </w:lvl>
    <w:lvl w:ilvl="2" w:tplc="04090005" w:tentative="1">
      <w:start w:val="1"/>
      <w:numFmt w:val="bullet"/>
      <w:lvlText w:val=""/>
      <w:lvlJc w:val="left"/>
      <w:pPr>
        <w:ind w:left="2880" w:hanging="360"/>
      </w:pPr>
      <w:rPr>
        <w:rFonts w:ascii="Wingdings" w:hAnsi="Wingdings" w:hint="default"/>
      </w:rPr>
    </w:lvl>
    <w:lvl w:ilvl="3" w:tplc="04090001" w:tentative="1">
      <w:start w:val="1"/>
      <w:numFmt w:val="bullet"/>
      <w:lvlText w:val=""/>
      <w:lvlJc w:val="left"/>
      <w:pPr>
        <w:ind w:left="3600" w:hanging="360"/>
      </w:pPr>
      <w:rPr>
        <w:rFonts w:ascii="Symbol" w:hAnsi="Symbol" w:hint="default"/>
      </w:rPr>
    </w:lvl>
    <w:lvl w:ilvl="4" w:tplc="04090003" w:tentative="1">
      <w:start w:val="1"/>
      <w:numFmt w:val="bullet"/>
      <w:lvlText w:val="o"/>
      <w:lvlJc w:val="left"/>
      <w:pPr>
        <w:ind w:left="4320" w:hanging="360"/>
      </w:pPr>
      <w:rPr>
        <w:rFonts w:ascii="Courier New" w:hAnsi="Courier New" w:cs="Courier New" w:hint="default"/>
      </w:rPr>
    </w:lvl>
    <w:lvl w:ilvl="5" w:tplc="04090005" w:tentative="1">
      <w:start w:val="1"/>
      <w:numFmt w:val="bullet"/>
      <w:lvlText w:val=""/>
      <w:lvlJc w:val="left"/>
      <w:pPr>
        <w:ind w:left="5040" w:hanging="360"/>
      </w:pPr>
      <w:rPr>
        <w:rFonts w:ascii="Wingdings" w:hAnsi="Wingdings" w:hint="default"/>
      </w:rPr>
    </w:lvl>
    <w:lvl w:ilvl="6" w:tplc="04090001" w:tentative="1">
      <w:start w:val="1"/>
      <w:numFmt w:val="bullet"/>
      <w:lvlText w:val=""/>
      <w:lvlJc w:val="left"/>
      <w:pPr>
        <w:ind w:left="5760" w:hanging="360"/>
      </w:pPr>
      <w:rPr>
        <w:rFonts w:ascii="Symbol" w:hAnsi="Symbol" w:hint="default"/>
      </w:rPr>
    </w:lvl>
    <w:lvl w:ilvl="7" w:tplc="04090003" w:tentative="1">
      <w:start w:val="1"/>
      <w:numFmt w:val="bullet"/>
      <w:lvlText w:val="o"/>
      <w:lvlJc w:val="left"/>
      <w:pPr>
        <w:ind w:left="6480" w:hanging="360"/>
      </w:pPr>
      <w:rPr>
        <w:rFonts w:ascii="Courier New" w:hAnsi="Courier New" w:cs="Courier New" w:hint="default"/>
      </w:rPr>
    </w:lvl>
    <w:lvl w:ilvl="8" w:tplc="04090005" w:tentative="1">
      <w:start w:val="1"/>
      <w:numFmt w:val="bullet"/>
      <w:lvlText w:val=""/>
      <w:lvlJc w:val="left"/>
      <w:pPr>
        <w:ind w:left="7200" w:hanging="360"/>
      </w:pPr>
      <w:rPr>
        <w:rFonts w:ascii="Wingdings" w:hAnsi="Wingdings" w:hint="default"/>
      </w:rPr>
    </w:lvl>
  </w:abstractNum>
  <w:abstractNum w:abstractNumId="77">
    <w:nsid w:val="747577F3"/>
    <w:multiLevelType w:val="hybridMultilevel"/>
    <w:tmpl w:val="FB42C5B0"/>
    <w:lvl w:ilvl="0" w:tplc="C61CCC8E">
      <w:start w:val="1"/>
      <w:numFmt w:val="bullet"/>
      <w:lvlText w:val=""/>
      <w:lvlJc w:val="left"/>
      <w:pPr>
        <w:ind w:left="720" w:hanging="360"/>
      </w:pPr>
      <w:rPr>
        <w:rFonts w:ascii="Symbol" w:hAnsi="Symbol" w:hint="default"/>
      </w:rPr>
    </w:lvl>
    <w:lvl w:ilvl="1" w:tplc="04090019" w:tentative="1">
      <w:start w:val="1"/>
      <w:numFmt w:val="bullet"/>
      <w:lvlText w:val="o"/>
      <w:lvlJc w:val="left"/>
      <w:pPr>
        <w:ind w:left="1440" w:hanging="360"/>
      </w:pPr>
      <w:rPr>
        <w:rFonts w:ascii="Courier New" w:hAnsi="Courier New" w:cs="Courier New" w:hint="default"/>
      </w:rPr>
    </w:lvl>
    <w:lvl w:ilvl="2" w:tplc="0409001B" w:tentative="1">
      <w:start w:val="1"/>
      <w:numFmt w:val="bullet"/>
      <w:lvlText w:val=""/>
      <w:lvlJc w:val="left"/>
      <w:pPr>
        <w:ind w:left="2160" w:hanging="360"/>
      </w:pPr>
      <w:rPr>
        <w:rFonts w:ascii="Wingdings" w:hAnsi="Wingdings" w:hint="default"/>
      </w:rPr>
    </w:lvl>
    <w:lvl w:ilvl="3" w:tplc="0409000F" w:tentative="1">
      <w:start w:val="1"/>
      <w:numFmt w:val="bullet"/>
      <w:lvlText w:val=""/>
      <w:lvlJc w:val="left"/>
      <w:pPr>
        <w:ind w:left="2880" w:hanging="360"/>
      </w:pPr>
      <w:rPr>
        <w:rFonts w:ascii="Symbol" w:hAnsi="Symbol" w:hint="default"/>
      </w:rPr>
    </w:lvl>
    <w:lvl w:ilvl="4" w:tplc="04090019" w:tentative="1">
      <w:start w:val="1"/>
      <w:numFmt w:val="bullet"/>
      <w:lvlText w:val="o"/>
      <w:lvlJc w:val="left"/>
      <w:pPr>
        <w:ind w:left="3600" w:hanging="360"/>
      </w:pPr>
      <w:rPr>
        <w:rFonts w:ascii="Courier New" w:hAnsi="Courier New" w:cs="Courier New" w:hint="default"/>
      </w:rPr>
    </w:lvl>
    <w:lvl w:ilvl="5" w:tplc="0409001B" w:tentative="1">
      <w:start w:val="1"/>
      <w:numFmt w:val="bullet"/>
      <w:lvlText w:val=""/>
      <w:lvlJc w:val="left"/>
      <w:pPr>
        <w:ind w:left="4320" w:hanging="360"/>
      </w:pPr>
      <w:rPr>
        <w:rFonts w:ascii="Wingdings" w:hAnsi="Wingdings" w:hint="default"/>
      </w:rPr>
    </w:lvl>
    <w:lvl w:ilvl="6" w:tplc="0409000F" w:tentative="1">
      <w:start w:val="1"/>
      <w:numFmt w:val="bullet"/>
      <w:lvlText w:val=""/>
      <w:lvlJc w:val="left"/>
      <w:pPr>
        <w:ind w:left="5040" w:hanging="360"/>
      </w:pPr>
      <w:rPr>
        <w:rFonts w:ascii="Symbol" w:hAnsi="Symbol" w:hint="default"/>
      </w:rPr>
    </w:lvl>
    <w:lvl w:ilvl="7" w:tplc="04090019" w:tentative="1">
      <w:start w:val="1"/>
      <w:numFmt w:val="bullet"/>
      <w:lvlText w:val="o"/>
      <w:lvlJc w:val="left"/>
      <w:pPr>
        <w:ind w:left="5760" w:hanging="360"/>
      </w:pPr>
      <w:rPr>
        <w:rFonts w:ascii="Courier New" w:hAnsi="Courier New" w:cs="Courier New" w:hint="default"/>
      </w:rPr>
    </w:lvl>
    <w:lvl w:ilvl="8" w:tplc="0409001B" w:tentative="1">
      <w:start w:val="1"/>
      <w:numFmt w:val="bullet"/>
      <w:lvlText w:val=""/>
      <w:lvlJc w:val="left"/>
      <w:pPr>
        <w:ind w:left="6480" w:hanging="360"/>
      </w:pPr>
      <w:rPr>
        <w:rFonts w:ascii="Wingdings" w:hAnsi="Wingdings" w:hint="default"/>
      </w:rPr>
    </w:lvl>
  </w:abstractNum>
  <w:abstractNum w:abstractNumId="78">
    <w:nsid w:val="74953D61"/>
    <w:multiLevelType w:val="hybridMultilevel"/>
    <w:tmpl w:val="F52EAD62"/>
    <w:lvl w:ilvl="0" w:tplc="04180001">
      <w:start w:val="1"/>
      <w:numFmt w:val="bullet"/>
      <w:lvlText w:val=""/>
      <w:lvlJc w:val="left"/>
      <w:pPr>
        <w:tabs>
          <w:tab w:val="num" w:pos="720"/>
        </w:tabs>
        <w:ind w:left="720" w:hanging="360"/>
      </w:pPr>
      <w:rPr>
        <w:rFonts w:ascii="Wingdings" w:hAnsi="Wingdings" w:hint="default"/>
      </w:rPr>
    </w:lvl>
    <w:lvl w:ilvl="1" w:tplc="04180003" w:tentative="1">
      <w:start w:val="1"/>
      <w:numFmt w:val="bullet"/>
      <w:lvlText w:val="o"/>
      <w:lvlJc w:val="left"/>
      <w:pPr>
        <w:tabs>
          <w:tab w:val="num" w:pos="1440"/>
        </w:tabs>
        <w:ind w:left="1440" w:hanging="360"/>
      </w:pPr>
      <w:rPr>
        <w:rFonts w:ascii="Courier New" w:hAnsi="Courier New" w:cs="Courier New" w:hint="default"/>
      </w:rPr>
    </w:lvl>
    <w:lvl w:ilvl="2" w:tplc="04180005" w:tentative="1">
      <w:start w:val="1"/>
      <w:numFmt w:val="bullet"/>
      <w:lvlText w:val=""/>
      <w:lvlJc w:val="left"/>
      <w:pPr>
        <w:tabs>
          <w:tab w:val="num" w:pos="2160"/>
        </w:tabs>
        <w:ind w:left="2160" w:hanging="360"/>
      </w:pPr>
      <w:rPr>
        <w:rFonts w:ascii="Wingdings" w:hAnsi="Wingdings" w:hint="default"/>
      </w:rPr>
    </w:lvl>
    <w:lvl w:ilvl="3" w:tplc="04180001" w:tentative="1">
      <w:start w:val="1"/>
      <w:numFmt w:val="bullet"/>
      <w:lvlText w:val=""/>
      <w:lvlJc w:val="left"/>
      <w:pPr>
        <w:tabs>
          <w:tab w:val="num" w:pos="2880"/>
        </w:tabs>
        <w:ind w:left="2880" w:hanging="360"/>
      </w:pPr>
      <w:rPr>
        <w:rFonts w:ascii="Symbol" w:hAnsi="Symbol" w:hint="default"/>
      </w:rPr>
    </w:lvl>
    <w:lvl w:ilvl="4" w:tplc="04180003" w:tentative="1">
      <w:start w:val="1"/>
      <w:numFmt w:val="bullet"/>
      <w:lvlText w:val="o"/>
      <w:lvlJc w:val="left"/>
      <w:pPr>
        <w:tabs>
          <w:tab w:val="num" w:pos="3600"/>
        </w:tabs>
        <w:ind w:left="3600" w:hanging="360"/>
      </w:pPr>
      <w:rPr>
        <w:rFonts w:ascii="Courier New" w:hAnsi="Courier New" w:cs="Courier New" w:hint="default"/>
      </w:rPr>
    </w:lvl>
    <w:lvl w:ilvl="5" w:tplc="04180005" w:tentative="1">
      <w:start w:val="1"/>
      <w:numFmt w:val="bullet"/>
      <w:lvlText w:val=""/>
      <w:lvlJc w:val="left"/>
      <w:pPr>
        <w:tabs>
          <w:tab w:val="num" w:pos="4320"/>
        </w:tabs>
        <w:ind w:left="4320" w:hanging="360"/>
      </w:pPr>
      <w:rPr>
        <w:rFonts w:ascii="Wingdings" w:hAnsi="Wingdings" w:hint="default"/>
      </w:rPr>
    </w:lvl>
    <w:lvl w:ilvl="6" w:tplc="04180001" w:tentative="1">
      <w:start w:val="1"/>
      <w:numFmt w:val="bullet"/>
      <w:lvlText w:val=""/>
      <w:lvlJc w:val="left"/>
      <w:pPr>
        <w:tabs>
          <w:tab w:val="num" w:pos="5040"/>
        </w:tabs>
        <w:ind w:left="5040" w:hanging="360"/>
      </w:pPr>
      <w:rPr>
        <w:rFonts w:ascii="Symbol" w:hAnsi="Symbol" w:hint="default"/>
      </w:rPr>
    </w:lvl>
    <w:lvl w:ilvl="7" w:tplc="04180003" w:tentative="1">
      <w:start w:val="1"/>
      <w:numFmt w:val="bullet"/>
      <w:lvlText w:val="o"/>
      <w:lvlJc w:val="left"/>
      <w:pPr>
        <w:tabs>
          <w:tab w:val="num" w:pos="5760"/>
        </w:tabs>
        <w:ind w:left="5760" w:hanging="360"/>
      </w:pPr>
      <w:rPr>
        <w:rFonts w:ascii="Courier New" w:hAnsi="Courier New" w:cs="Courier New" w:hint="default"/>
      </w:rPr>
    </w:lvl>
    <w:lvl w:ilvl="8" w:tplc="04180005" w:tentative="1">
      <w:start w:val="1"/>
      <w:numFmt w:val="bullet"/>
      <w:lvlText w:val=""/>
      <w:lvlJc w:val="left"/>
      <w:pPr>
        <w:tabs>
          <w:tab w:val="num" w:pos="6480"/>
        </w:tabs>
        <w:ind w:left="6480" w:hanging="360"/>
      </w:pPr>
      <w:rPr>
        <w:rFonts w:ascii="Wingdings" w:hAnsi="Wingdings" w:hint="default"/>
      </w:rPr>
    </w:lvl>
  </w:abstractNum>
  <w:abstractNum w:abstractNumId="79">
    <w:nsid w:val="74E7211D"/>
    <w:multiLevelType w:val="hybridMultilevel"/>
    <w:tmpl w:val="1F369C26"/>
    <w:lvl w:ilvl="0" w:tplc="0409000B">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0">
    <w:nsid w:val="77DB0F27"/>
    <w:multiLevelType w:val="hybridMultilevel"/>
    <w:tmpl w:val="5A68ED04"/>
    <w:lvl w:ilvl="0" w:tplc="04180001">
      <w:start w:val="1"/>
      <w:numFmt w:val="decimal"/>
      <w:suff w:val="nothing"/>
      <w:lvlText w:val=""/>
      <w:lvlJc w:val="left"/>
    </w:lvl>
    <w:lvl w:ilvl="1" w:tplc="04180003">
      <w:numFmt w:val="decimal"/>
      <w:lvlText w:val=""/>
      <w:lvlJc w:val="left"/>
    </w:lvl>
    <w:lvl w:ilvl="2" w:tplc="04180005">
      <w:numFmt w:val="decimal"/>
      <w:lvlText w:val=""/>
      <w:lvlJc w:val="left"/>
    </w:lvl>
    <w:lvl w:ilvl="3" w:tplc="04180001">
      <w:numFmt w:val="decimal"/>
      <w:lvlText w:val=""/>
      <w:lvlJc w:val="left"/>
    </w:lvl>
    <w:lvl w:ilvl="4" w:tplc="04180003">
      <w:numFmt w:val="decimal"/>
      <w:lvlText w:val=""/>
      <w:lvlJc w:val="left"/>
    </w:lvl>
    <w:lvl w:ilvl="5" w:tplc="04180005">
      <w:numFmt w:val="decimal"/>
      <w:lvlText w:val=""/>
      <w:lvlJc w:val="left"/>
    </w:lvl>
    <w:lvl w:ilvl="6" w:tplc="04180001">
      <w:numFmt w:val="decimal"/>
      <w:lvlText w:val=""/>
      <w:lvlJc w:val="left"/>
    </w:lvl>
    <w:lvl w:ilvl="7" w:tplc="04180003">
      <w:numFmt w:val="decimal"/>
      <w:lvlText w:val=""/>
      <w:lvlJc w:val="left"/>
    </w:lvl>
    <w:lvl w:ilvl="8" w:tplc="04180005">
      <w:numFmt w:val="decimal"/>
      <w:lvlText w:val=""/>
      <w:lvlJc w:val="left"/>
    </w:lvl>
  </w:abstractNum>
  <w:abstractNum w:abstractNumId="81">
    <w:nsid w:val="7A154682"/>
    <w:multiLevelType w:val="hybridMultilevel"/>
    <w:tmpl w:val="96FA9F7E"/>
    <w:lvl w:ilvl="0" w:tplc="F1D40712">
      <w:start w:val="16"/>
      <w:numFmt w:val="bullet"/>
      <w:lvlText w:val="-"/>
      <w:lvlJc w:val="left"/>
      <w:pPr>
        <w:ind w:left="360" w:hanging="360"/>
      </w:pPr>
      <w:rPr>
        <w:rFonts w:ascii="Times New Roman" w:eastAsia="Calibri" w:hAnsi="Times New Roman" w:cs="Times New Roman" w:hint="default"/>
      </w:rPr>
    </w:lvl>
    <w:lvl w:ilvl="1" w:tplc="04180003" w:tentative="1">
      <w:start w:val="1"/>
      <w:numFmt w:val="bullet"/>
      <w:lvlText w:val="o"/>
      <w:lvlJc w:val="left"/>
      <w:pPr>
        <w:ind w:left="1080" w:hanging="360"/>
      </w:pPr>
      <w:rPr>
        <w:rFonts w:ascii="Courier New" w:hAnsi="Courier New" w:cs="Courier New" w:hint="default"/>
      </w:rPr>
    </w:lvl>
    <w:lvl w:ilvl="2" w:tplc="04180005" w:tentative="1">
      <w:start w:val="1"/>
      <w:numFmt w:val="bullet"/>
      <w:lvlText w:val=""/>
      <w:lvlJc w:val="left"/>
      <w:pPr>
        <w:ind w:left="1800" w:hanging="360"/>
      </w:pPr>
      <w:rPr>
        <w:rFonts w:ascii="Wingdings" w:hAnsi="Wingdings" w:hint="default"/>
      </w:rPr>
    </w:lvl>
    <w:lvl w:ilvl="3" w:tplc="04180001" w:tentative="1">
      <w:start w:val="1"/>
      <w:numFmt w:val="bullet"/>
      <w:lvlText w:val=""/>
      <w:lvlJc w:val="left"/>
      <w:pPr>
        <w:ind w:left="2520" w:hanging="360"/>
      </w:pPr>
      <w:rPr>
        <w:rFonts w:ascii="Symbol" w:hAnsi="Symbol" w:hint="default"/>
      </w:rPr>
    </w:lvl>
    <w:lvl w:ilvl="4" w:tplc="04180003" w:tentative="1">
      <w:start w:val="1"/>
      <w:numFmt w:val="bullet"/>
      <w:lvlText w:val="o"/>
      <w:lvlJc w:val="left"/>
      <w:pPr>
        <w:ind w:left="3240" w:hanging="360"/>
      </w:pPr>
      <w:rPr>
        <w:rFonts w:ascii="Courier New" w:hAnsi="Courier New" w:cs="Courier New" w:hint="default"/>
      </w:rPr>
    </w:lvl>
    <w:lvl w:ilvl="5" w:tplc="04180005" w:tentative="1">
      <w:start w:val="1"/>
      <w:numFmt w:val="bullet"/>
      <w:lvlText w:val=""/>
      <w:lvlJc w:val="left"/>
      <w:pPr>
        <w:ind w:left="3960" w:hanging="360"/>
      </w:pPr>
      <w:rPr>
        <w:rFonts w:ascii="Wingdings" w:hAnsi="Wingdings" w:hint="default"/>
      </w:rPr>
    </w:lvl>
    <w:lvl w:ilvl="6" w:tplc="04180001" w:tentative="1">
      <w:start w:val="1"/>
      <w:numFmt w:val="bullet"/>
      <w:lvlText w:val=""/>
      <w:lvlJc w:val="left"/>
      <w:pPr>
        <w:ind w:left="4680" w:hanging="360"/>
      </w:pPr>
      <w:rPr>
        <w:rFonts w:ascii="Symbol" w:hAnsi="Symbol" w:hint="default"/>
      </w:rPr>
    </w:lvl>
    <w:lvl w:ilvl="7" w:tplc="04180003" w:tentative="1">
      <w:start w:val="1"/>
      <w:numFmt w:val="bullet"/>
      <w:lvlText w:val="o"/>
      <w:lvlJc w:val="left"/>
      <w:pPr>
        <w:ind w:left="5400" w:hanging="360"/>
      </w:pPr>
      <w:rPr>
        <w:rFonts w:ascii="Courier New" w:hAnsi="Courier New" w:cs="Courier New" w:hint="default"/>
      </w:rPr>
    </w:lvl>
    <w:lvl w:ilvl="8" w:tplc="04180005" w:tentative="1">
      <w:start w:val="1"/>
      <w:numFmt w:val="bullet"/>
      <w:lvlText w:val=""/>
      <w:lvlJc w:val="left"/>
      <w:pPr>
        <w:ind w:left="6120" w:hanging="360"/>
      </w:pPr>
      <w:rPr>
        <w:rFonts w:ascii="Wingdings" w:hAnsi="Wingdings" w:hint="default"/>
      </w:rPr>
    </w:lvl>
  </w:abstractNum>
  <w:abstractNum w:abstractNumId="82">
    <w:nsid w:val="7B9C5C62"/>
    <w:multiLevelType w:val="hybridMultilevel"/>
    <w:tmpl w:val="C1F2F75C"/>
    <w:lvl w:ilvl="0" w:tplc="FFFFFFFF">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3">
    <w:nsid w:val="7BB475FD"/>
    <w:multiLevelType w:val="multilevel"/>
    <w:tmpl w:val="6D4A3084"/>
    <w:styleLink w:val="Listacurent1"/>
    <w:lvl w:ilvl="0">
      <w:start w:val="1"/>
      <w:numFmt w:val="decimal"/>
      <w:lvlText w:val="3.%1."/>
      <w:lvlJc w:val="left"/>
      <w:pPr>
        <w:tabs>
          <w:tab w:val="num" w:pos="720"/>
        </w:tabs>
        <w:ind w:left="720" w:firstLine="0"/>
      </w:pPr>
      <w:rPr>
        <w:rFonts w:hint="default"/>
        <w:b/>
        <w:i w:val="0"/>
        <w:caps w:val="0"/>
        <w:strike w:val="0"/>
        <w:dstrike w:val="0"/>
        <w:vanish w:val="0"/>
        <w:color w:val="003300"/>
        <w:sz w:val="20"/>
        <w:szCs w:val="20"/>
        <w:vertAlign w:val="baseline"/>
      </w:rPr>
    </w:lvl>
    <w:lvl w:ilvl="1">
      <w:start w:val="1"/>
      <w:numFmt w:val="decimal"/>
      <w:lvlText w:val="3.3.%2."/>
      <w:lvlJc w:val="right"/>
      <w:pPr>
        <w:tabs>
          <w:tab w:val="num" w:pos="1260"/>
        </w:tabs>
        <w:ind w:left="1260" w:hanging="180"/>
      </w:pPr>
      <w:rPr>
        <w:rFonts w:hint="default"/>
        <w:b w:val="0"/>
        <w:i w:val="0"/>
        <w:caps w:val="0"/>
        <w:strike w:val="0"/>
        <w:dstrike w:val="0"/>
        <w:vanish w:val="0"/>
        <w:vertAlign w:val="baseline"/>
      </w:rPr>
    </w:lvl>
    <w:lvl w:ilvl="2">
      <w:start w:val="1"/>
      <w:numFmt w:val="lowerRoman"/>
      <w:lvlText w:val="%3."/>
      <w:lvlJc w:val="right"/>
      <w:pPr>
        <w:tabs>
          <w:tab w:val="num" w:pos="2160"/>
        </w:tabs>
        <w:ind w:left="2160" w:hanging="180"/>
      </w:pPr>
    </w:lvl>
    <w:lvl w:ilvl="3">
      <w:start w:val="1"/>
      <w:numFmt w:val="decimal"/>
      <w:lvlText w:val="%4."/>
      <w:lvlJc w:val="left"/>
      <w:pPr>
        <w:tabs>
          <w:tab w:val="num" w:pos="2880"/>
        </w:tabs>
        <w:ind w:left="2880" w:hanging="360"/>
      </w:pPr>
    </w:lvl>
    <w:lvl w:ilvl="4">
      <w:start w:val="1"/>
      <w:numFmt w:val="lowerLetter"/>
      <w:lvlText w:val="%5."/>
      <w:lvlJc w:val="left"/>
      <w:pPr>
        <w:tabs>
          <w:tab w:val="num" w:pos="3600"/>
        </w:tabs>
        <w:ind w:left="3600" w:hanging="360"/>
      </w:p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84">
    <w:nsid w:val="7C1046CD"/>
    <w:multiLevelType w:val="hybridMultilevel"/>
    <w:tmpl w:val="B0E23D56"/>
    <w:lvl w:ilvl="0" w:tplc="04090005">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abstractNum w:abstractNumId="85">
    <w:nsid w:val="7D723F3B"/>
    <w:multiLevelType w:val="multilevel"/>
    <w:tmpl w:val="D37CC11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6">
    <w:nsid w:val="7DBBE596"/>
    <w:multiLevelType w:val="hybridMultilevel"/>
    <w:tmpl w:val="3A0EAF29"/>
    <w:lvl w:ilvl="0" w:tplc="FF7A988C">
      <w:start w:val="1"/>
      <w:numFmt w:val="decimal"/>
      <w:suff w:val="nothing"/>
      <w:lvlText w:val=""/>
      <w:lvlJc w:val="left"/>
    </w:lvl>
    <w:lvl w:ilvl="1" w:tplc="DA14D7E0">
      <w:numFmt w:val="decimal"/>
      <w:lvlText w:val=""/>
      <w:lvlJc w:val="left"/>
    </w:lvl>
    <w:lvl w:ilvl="2" w:tplc="2730E98A">
      <w:numFmt w:val="decimal"/>
      <w:lvlText w:val=""/>
      <w:lvlJc w:val="left"/>
    </w:lvl>
    <w:lvl w:ilvl="3" w:tplc="FE62B54C">
      <w:numFmt w:val="decimal"/>
      <w:lvlText w:val=""/>
      <w:lvlJc w:val="left"/>
    </w:lvl>
    <w:lvl w:ilvl="4" w:tplc="C1C40408">
      <w:numFmt w:val="decimal"/>
      <w:lvlText w:val=""/>
      <w:lvlJc w:val="left"/>
    </w:lvl>
    <w:lvl w:ilvl="5" w:tplc="106A310E">
      <w:numFmt w:val="decimal"/>
      <w:lvlText w:val=""/>
      <w:lvlJc w:val="left"/>
    </w:lvl>
    <w:lvl w:ilvl="6" w:tplc="770227B2">
      <w:numFmt w:val="decimal"/>
      <w:lvlText w:val=""/>
      <w:lvlJc w:val="left"/>
    </w:lvl>
    <w:lvl w:ilvl="7" w:tplc="4B3E08DE">
      <w:numFmt w:val="decimal"/>
      <w:lvlText w:val=""/>
      <w:lvlJc w:val="left"/>
    </w:lvl>
    <w:lvl w:ilvl="8" w:tplc="74A0B478">
      <w:numFmt w:val="decimal"/>
      <w:lvlText w:val=""/>
      <w:lvlJc w:val="left"/>
    </w:lvl>
  </w:abstractNum>
  <w:abstractNum w:abstractNumId="87">
    <w:nsid w:val="7DC662CC"/>
    <w:multiLevelType w:val="hybridMultilevel"/>
    <w:tmpl w:val="D814F89A"/>
    <w:lvl w:ilvl="0" w:tplc="FFFFFFFF">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88">
    <w:nsid w:val="7EF00A04"/>
    <w:multiLevelType w:val="hybridMultilevel"/>
    <w:tmpl w:val="C2747D76"/>
    <w:lvl w:ilvl="0" w:tplc="04180001">
      <w:start w:val="1"/>
      <w:numFmt w:val="bullet"/>
      <w:lvlText w:val=""/>
      <w:lvlJc w:val="left"/>
      <w:pPr>
        <w:ind w:left="1068" w:hanging="360"/>
      </w:pPr>
      <w:rPr>
        <w:rFonts w:ascii="Symbol" w:hAnsi="Symbol" w:hint="default"/>
      </w:rPr>
    </w:lvl>
    <w:lvl w:ilvl="1" w:tplc="04180003">
      <w:start w:val="1"/>
      <w:numFmt w:val="bullet"/>
      <w:lvlText w:val="o"/>
      <w:lvlJc w:val="left"/>
      <w:pPr>
        <w:ind w:left="1788" w:hanging="360"/>
      </w:pPr>
      <w:rPr>
        <w:rFonts w:ascii="Courier New" w:hAnsi="Courier New" w:cs="Courier New" w:hint="default"/>
      </w:rPr>
    </w:lvl>
    <w:lvl w:ilvl="2" w:tplc="04180005" w:tentative="1">
      <w:start w:val="1"/>
      <w:numFmt w:val="bullet"/>
      <w:lvlText w:val=""/>
      <w:lvlJc w:val="left"/>
      <w:pPr>
        <w:ind w:left="2508" w:hanging="360"/>
      </w:pPr>
      <w:rPr>
        <w:rFonts w:ascii="Wingdings" w:hAnsi="Wingdings" w:hint="default"/>
      </w:rPr>
    </w:lvl>
    <w:lvl w:ilvl="3" w:tplc="04180001" w:tentative="1">
      <w:start w:val="1"/>
      <w:numFmt w:val="bullet"/>
      <w:lvlText w:val=""/>
      <w:lvlJc w:val="left"/>
      <w:pPr>
        <w:ind w:left="3228" w:hanging="360"/>
      </w:pPr>
      <w:rPr>
        <w:rFonts w:ascii="Symbol" w:hAnsi="Symbol" w:hint="default"/>
      </w:rPr>
    </w:lvl>
    <w:lvl w:ilvl="4" w:tplc="04180003" w:tentative="1">
      <w:start w:val="1"/>
      <w:numFmt w:val="bullet"/>
      <w:lvlText w:val="o"/>
      <w:lvlJc w:val="left"/>
      <w:pPr>
        <w:ind w:left="3948" w:hanging="360"/>
      </w:pPr>
      <w:rPr>
        <w:rFonts w:ascii="Courier New" w:hAnsi="Courier New" w:cs="Courier New" w:hint="default"/>
      </w:rPr>
    </w:lvl>
    <w:lvl w:ilvl="5" w:tplc="04180005" w:tentative="1">
      <w:start w:val="1"/>
      <w:numFmt w:val="bullet"/>
      <w:lvlText w:val=""/>
      <w:lvlJc w:val="left"/>
      <w:pPr>
        <w:ind w:left="4668" w:hanging="360"/>
      </w:pPr>
      <w:rPr>
        <w:rFonts w:ascii="Wingdings" w:hAnsi="Wingdings" w:hint="default"/>
      </w:rPr>
    </w:lvl>
    <w:lvl w:ilvl="6" w:tplc="04180001" w:tentative="1">
      <w:start w:val="1"/>
      <w:numFmt w:val="bullet"/>
      <w:lvlText w:val=""/>
      <w:lvlJc w:val="left"/>
      <w:pPr>
        <w:ind w:left="5388" w:hanging="360"/>
      </w:pPr>
      <w:rPr>
        <w:rFonts w:ascii="Symbol" w:hAnsi="Symbol" w:hint="default"/>
      </w:rPr>
    </w:lvl>
    <w:lvl w:ilvl="7" w:tplc="04180003" w:tentative="1">
      <w:start w:val="1"/>
      <w:numFmt w:val="bullet"/>
      <w:lvlText w:val="o"/>
      <w:lvlJc w:val="left"/>
      <w:pPr>
        <w:ind w:left="6108" w:hanging="360"/>
      </w:pPr>
      <w:rPr>
        <w:rFonts w:ascii="Courier New" w:hAnsi="Courier New" w:cs="Courier New" w:hint="default"/>
      </w:rPr>
    </w:lvl>
    <w:lvl w:ilvl="8" w:tplc="04180005" w:tentative="1">
      <w:start w:val="1"/>
      <w:numFmt w:val="bullet"/>
      <w:lvlText w:val=""/>
      <w:lvlJc w:val="left"/>
      <w:pPr>
        <w:ind w:left="6828" w:hanging="360"/>
      </w:pPr>
      <w:rPr>
        <w:rFonts w:ascii="Wingdings" w:hAnsi="Wingdings" w:hint="default"/>
      </w:rPr>
    </w:lvl>
  </w:abstractNum>
  <w:abstractNum w:abstractNumId="89">
    <w:nsid w:val="7FF3510D"/>
    <w:multiLevelType w:val="hybridMultilevel"/>
    <w:tmpl w:val="544422E6"/>
    <w:lvl w:ilvl="0" w:tplc="04180001">
      <w:start w:val="1"/>
      <w:numFmt w:val="bullet"/>
      <w:lvlText w:val=""/>
      <w:lvlJc w:val="left"/>
      <w:pPr>
        <w:ind w:left="720" w:hanging="360"/>
      </w:pPr>
      <w:rPr>
        <w:rFonts w:ascii="Wingdings" w:hAnsi="Wingdings" w:hint="default"/>
      </w:rPr>
    </w:lvl>
    <w:lvl w:ilvl="1" w:tplc="04180003" w:tentative="1">
      <w:start w:val="1"/>
      <w:numFmt w:val="bullet"/>
      <w:lvlText w:val="o"/>
      <w:lvlJc w:val="left"/>
      <w:pPr>
        <w:ind w:left="1440" w:hanging="360"/>
      </w:pPr>
      <w:rPr>
        <w:rFonts w:ascii="Courier New" w:hAnsi="Courier New" w:cs="Courier New" w:hint="default"/>
      </w:rPr>
    </w:lvl>
    <w:lvl w:ilvl="2" w:tplc="04180005" w:tentative="1">
      <w:start w:val="1"/>
      <w:numFmt w:val="bullet"/>
      <w:lvlText w:val=""/>
      <w:lvlJc w:val="left"/>
      <w:pPr>
        <w:ind w:left="2160" w:hanging="360"/>
      </w:pPr>
      <w:rPr>
        <w:rFonts w:ascii="Wingdings" w:hAnsi="Wingdings" w:hint="default"/>
      </w:rPr>
    </w:lvl>
    <w:lvl w:ilvl="3" w:tplc="04180001" w:tentative="1">
      <w:start w:val="1"/>
      <w:numFmt w:val="bullet"/>
      <w:lvlText w:val=""/>
      <w:lvlJc w:val="left"/>
      <w:pPr>
        <w:ind w:left="2880" w:hanging="360"/>
      </w:pPr>
      <w:rPr>
        <w:rFonts w:ascii="Symbol" w:hAnsi="Symbol" w:hint="default"/>
      </w:rPr>
    </w:lvl>
    <w:lvl w:ilvl="4" w:tplc="04180003" w:tentative="1">
      <w:start w:val="1"/>
      <w:numFmt w:val="bullet"/>
      <w:lvlText w:val="o"/>
      <w:lvlJc w:val="left"/>
      <w:pPr>
        <w:ind w:left="3600" w:hanging="360"/>
      </w:pPr>
      <w:rPr>
        <w:rFonts w:ascii="Courier New" w:hAnsi="Courier New" w:cs="Courier New" w:hint="default"/>
      </w:rPr>
    </w:lvl>
    <w:lvl w:ilvl="5" w:tplc="04180005" w:tentative="1">
      <w:start w:val="1"/>
      <w:numFmt w:val="bullet"/>
      <w:lvlText w:val=""/>
      <w:lvlJc w:val="left"/>
      <w:pPr>
        <w:ind w:left="4320" w:hanging="360"/>
      </w:pPr>
      <w:rPr>
        <w:rFonts w:ascii="Wingdings" w:hAnsi="Wingdings" w:hint="default"/>
      </w:rPr>
    </w:lvl>
    <w:lvl w:ilvl="6" w:tplc="04180001" w:tentative="1">
      <w:start w:val="1"/>
      <w:numFmt w:val="bullet"/>
      <w:lvlText w:val=""/>
      <w:lvlJc w:val="left"/>
      <w:pPr>
        <w:ind w:left="5040" w:hanging="360"/>
      </w:pPr>
      <w:rPr>
        <w:rFonts w:ascii="Symbol" w:hAnsi="Symbol" w:hint="default"/>
      </w:rPr>
    </w:lvl>
    <w:lvl w:ilvl="7" w:tplc="04180003" w:tentative="1">
      <w:start w:val="1"/>
      <w:numFmt w:val="bullet"/>
      <w:lvlText w:val="o"/>
      <w:lvlJc w:val="left"/>
      <w:pPr>
        <w:ind w:left="5760" w:hanging="360"/>
      </w:pPr>
      <w:rPr>
        <w:rFonts w:ascii="Courier New" w:hAnsi="Courier New" w:cs="Courier New" w:hint="default"/>
      </w:rPr>
    </w:lvl>
    <w:lvl w:ilvl="8" w:tplc="04180005" w:tentative="1">
      <w:start w:val="1"/>
      <w:numFmt w:val="bullet"/>
      <w:lvlText w:val=""/>
      <w:lvlJc w:val="left"/>
      <w:pPr>
        <w:ind w:left="6480" w:hanging="360"/>
      </w:pPr>
      <w:rPr>
        <w:rFonts w:ascii="Wingdings" w:hAnsi="Wingdings" w:hint="default"/>
      </w:rPr>
    </w:lvl>
  </w:abstractNum>
  <w:num w:numId="1">
    <w:abstractNumId w:val="73"/>
  </w:num>
  <w:num w:numId="2">
    <w:abstractNumId w:val="63"/>
  </w:num>
  <w:num w:numId="3">
    <w:abstractNumId w:val="52"/>
  </w:num>
  <w:num w:numId="4">
    <w:abstractNumId w:val="78"/>
  </w:num>
  <w:num w:numId="5">
    <w:abstractNumId w:val="34"/>
  </w:num>
  <w:num w:numId="6">
    <w:abstractNumId w:val="48"/>
  </w:num>
  <w:num w:numId="7">
    <w:abstractNumId w:val="87"/>
  </w:num>
  <w:num w:numId="8">
    <w:abstractNumId w:val="8"/>
  </w:num>
  <w:num w:numId="9">
    <w:abstractNumId w:val="0"/>
  </w:num>
  <w:num w:numId="10">
    <w:abstractNumId w:val="1"/>
  </w:num>
  <w:num w:numId="11">
    <w:abstractNumId w:val="60"/>
  </w:num>
  <w:num w:numId="12">
    <w:abstractNumId w:val="80"/>
  </w:num>
  <w:num w:numId="13">
    <w:abstractNumId w:val="6"/>
  </w:num>
  <w:num w:numId="14">
    <w:abstractNumId w:val="9"/>
  </w:num>
  <w:num w:numId="15">
    <w:abstractNumId w:val="86"/>
  </w:num>
  <w:num w:numId="16">
    <w:abstractNumId w:val="38"/>
  </w:num>
  <w:num w:numId="17">
    <w:abstractNumId w:val="2"/>
  </w:num>
  <w:num w:numId="18">
    <w:abstractNumId w:val="7"/>
  </w:num>
  <w:num w:numId="19">
    <w:abstractNumId w:val="11"/>
  </w:num>
  <w:num w:numId="20">
    <w:abstractNumId w:val="5"/>
  </w:num>
  <w:num w:numId="21">
    <w:abstractNumId w:val="3"/>
  </w:num>
  <w:num w:numId="22">
    <w:abstractNumId w:val="4"/>
  </w:num>
  <w:num w:numId="23">
    <w:abstractNumId w:val="51"/>
  </w:num>
  <w:num w:numId="24">
    <w:abstractNumId w:val="47"/>
  </w:num>
  <w:num w:numId="25">
    <w:abstractNumId w:val="33"/>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6">
    <w:abstractNumId w:val="45"/>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7">
    <w:abstractNumId w:val="22"/>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9">
    <w:abstractNumId w:val="46"/>
  </w:num>
  <w:num w:numId="30">
    <w:abstractNumId w:val="36"/>
  </w:num>
  <w:num w:numId="31">
    <w:abstractNumId w:val="66"/>
  </w:num>
  <w:num w:numId="32">
    <w:abstractNumId w:val="83"/>
  </w:num>
  <w:num w:numId="33">
    <w:abstractNumId w:val="3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4">
    <w:abstractNumId w:val="50"/>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5">
    <w:abstractNumId w:val="2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6">
    <w:abstractNumId w:val="4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37">
    <w:abstractNumId w:val="32"/>
  </w:num>
  <w:num w:numId="38">
    <w:abstractNumId w:val="23"/>
  </w:num>
  <w:num w:numId="39">
    <w:abstractNumId w:val="69"/>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0">
    <w:abstractNumId w:val="18"/>
  </w:num>
  <w:num w:numId="41">
    <w:abstractNumId w:val="19"/>
  </w:num>
  <w:num w:numId="42">
    <w:abstractNumId w:val="62"/>
  </w:num>
  <w:num w:numId="43">
    <w:abstractNumId w:val="77"/>
  </w:num>
  <w:num w:numId="44">
    <w:abstractNumId w:val="67"/>
  </w:num>
  <w:num w:numId="45">
    <w:abstractNumId w:val="25"/>
  </w:num>
  <w:num w:numId="46">
    <w:abstractNumId w:val="17"/>
  </w:num>
  <w:num w:numId="47">
    <w:abstractNumId w:val="89"/>
  </w:num>
  <w:num w:numId="48">
    <w:abstractNumId w:val="15"/>
  </w:num>
  <w:num w:numId="49">
    <w:abstractNumId w:val="72"/>
  </w:num>
  <w:num w:numId="50">
    <w:abstractNumId w:val="82"/>
  </w:num>
  <w:num w:numId="51">
    <w:abstractNumId w:val="28"/>
  </w:num>
  <w:num w:numId="52">
    <w:abstractNumId w:val="79"/>
  </w:num>
  <w:num w:numId="53">
    <w:abstractNumId w:val="55"/>
  </w:num>
  <w:num w:numId="54">
    <w:abstractNumId w:val="53"/>
  </w:num>
  <w:num w:numId="55">
    <w:abstractNumId w:val="75"/>
  </w:num>
  <w:num w:numId="56">
    <w:abstractNumId w:val="88"/>
  </w:num>
  <w:num w:numId="57">
    <w:abstractNumId w:val="10"/>
  </w:num>
  <w:num w:numId="58">
    <w:abstractNumId w:val="42"/>
  </w:num>
  <w:num w:numId="59">
    <w:abstractNumId w:val="64"/>
  </w:num>
  <w:num w:numId="60">
    <w:abstractNumId w:val="27"/>
  </w:num>
  <w:num w:numId="61">
    <w:abstractNumId w:val="29"/>
  </w:num>
  <w:num w:numId="62">
    <w:abstractNumId w:val="68"/>
    <w:lvlOverride w:ilvl="0">
      <w:startOverride w:val="1"/>
    </w:lvlOverride>
    <w:lvlOverride w:ilvl="1">
      <w:startOverride w:val="5"/>
    </w:lvlOverride>
    <w:lvlOverride w:ilvl="2">
      <w:startOverride w:val="6"/>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3">
    <w:abstractNumId w:val="16"/>
  </w:num>
  <w:num w:numId="64">
    <w:abstractNumId w:val="58"/>
  </w:num>
  <w:num w:numId="65">
    <w:abstractNumId w:val="57"/>
  </w:num>
  <w:num w:numId="66">
    <w:abstractNumId w:val="43"/>
  </w:num>
  <w:num w:numId="67">
    <w:abstractNumId w:val="39"/>
  </w:num>
  <w:num w:numId="68">
    <w:abstractNumId w:val="56"/>
  </w:num>
  <w:num w:numId="69">
    <w:abstractNumId w:val="85"/>
  </w:num>
  <w:num w:numId="70">
    <w:abstractNumId w:val="74"/>
  </w:num>
  <w:num w:numId="71">
    <w:abstractNumId w:val="84"/>
  </w:num>
  <w:num w:numId="72">
    <w:abstractNumId w:val="20"/>
  </w:num>
  <w:num w:numId="73">
    <w:abstractNumId w:val="76"/>
  </w:num>
  <w:num w:numId="74">
    <w:abstractNumId w:val="24"/>
  </w:num>
  <w:num w:numId="75">
    <w:abstractNumId w:val="40"/>
  </w:num>
  <w:num w:numId="76">
    <w:abstractNumId w:val="37"/>
  </w:num>
  <w:num w:numId="77">
    <w:abstractNumId w:val="81"/>
  </w:num>
  <w:num w:numId="78">
    <w:abstractNumId w:val="65"/>
  </w:num>
  <w:num w:numId="79">
    <w:abstractNumId w:val="49"/>
  </w:num>
  <w:num w:numId="80">
    <w:abstractNumId w:val="61"/>
  </w:num>
  <w:num w:numId="81">
    <w:abstractNumId w:val="21"/>
  </w:num>
  <w:num w:numId="82">
    <w:abstractNumId w:val="54"/>
  </w:num>
  <w:num w:numId="83">
    <w:abstractNumId w:val="71"/>
  </w:num>
  <w:num w:numId="84">
    <w:abstractNumId w:val="59"/>
  </w:num>
  <w:num w:numId="85">
    <w:abstractNumId w:val="70"/>
  </w:num>
  <w:num w:numId="86">
    <w:abstractNumId w:val="14"/>
  </w:num>
  <w:num w:numId="87">
    <w:abstractNumId w:val="35"/>
  </w:num>
  <w:num w:numId="88">
    <w:abstractNumId w:val="30"/>
  </w:num>
  <w:numIdMacAtCleanup w:val="87"/>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00"/>
  <w:hideSpellingErrors/>
  <w:hideGrammaticalErrors/>
  <w:stylePaneFormatFilter w:val="3F01"/>
  <w:defaultTabStop w:val="737"/>
  <w:hyphenationZone w:val="425"/>
  <w:drawingGridHorizontalSpacing w:val="120"/>
  <w:displayHorizontalDrawingGridEvery w:val="2"/>
  <w:characterSpacingControl w:val="doNotCompress"/>
  <w:footnotePr>
    <w:footnote w:id="-1"/>
    <w:footnote w:id="0"/>
  </w:footnotePr>
  <w:endnotePr>
    <w:endnote w:id="-1"/>
    <w:endnote w:id="0"/>
  </w:endnotePr>
  <w:compat/>
  <w:rsids>
    <w:rsidRoot w:val="00B6401A"/>
    <w:rsid w:val="0000040D"/>
    <w:rsid w:val="00000F1B"/>
    <w:rsid w:val="00001DCD"/>
    <w:rsid w:val="000028EF"/>
    <w:rsid w:val="00003DDF"/>
    <w:rsid w:val="0000517A"/>
    <w:rsid w:val="00006606"/>
    <w:rsid w:val="00007332"/>
    <w:rsid w:val="00007722"/>
    <w:rsid w:val="00007D8F"/>
    <w:rsid w:val="0001093E"/>
    <w:rsid w:val="00010F6C"/>
    <w:rsid w:val="000110B8"/>
    <w:rsid w:val="000120AA"/>
    <w:rsid w:val="00012F90"/>
    <w:rsid w:val="00013567"/>
    <w:rsid w:val="00017464"/>
    <w:rsid w:val="000176F1"/>
    <w:rsid w:val="000210E3"/>
    <w:rsid w:val="0002351E"/>
    <w:rsid w:val="00023629"/>
    <w:rsid w:val="000256ED"/>
    <w:rsid w:val="000259D8"/>
    <w:rsid w:val="00025BBC"/>
    <w:rsid w:val="00026A8B"/>
    <w:rsid w:val="00026D3C"/>
    <w:rsid w:val="00040997"/>
    <w:rsid w:val="00043583"/>
    <w:rsid w:val="000440DE"/>
    <w:rsid w:val="00044376"/>
    <w:rsid w:val="000456A4"/>
    <w:rsid w:val="00052576"/>
    <w:rsid w:val="00053789"/>
    <w:rsid w:val="0005468F"/>
    <w:rsid w:val="000625CE"/>
    <w:rsid w:val="00062BE9"/>
    <w:rsid w:val="000630AE"/>
    <w:rsid w:val="00063872"/>
    <w:rsid w:val="000711C5"/>
    <w:rsid w:val="00073121"/>
    <w:rsid w:val="0007453E"/>
    <w:rsid w:val="00076FA8"/>
    <w:rsid w:val="0008092D"/>
    <w:rsid w:val="00081290"/>
    <w:rsid w:val="00081FD5"/>
    <w:rsid w:val="000827C5"/>
    <w:rsid w:val="00083833"/>
    <w:rsid w:val="00084DEF"/>
    <w:rsid w:val="00084FB5"/>
    <w:rsid w:val="00091690"/>
    <w:rsid w:val="00092C9E"/>
    <w:rsid w:val="000A3178"/>
    <w:rsid w:val="000A497C"/>
    <w:rsid w:val="000A4C56"/>
    <w:rsid w:val="000B1E50"/>
    <w:rsid w:val="000B5E2E"/>
    <w:rsid w:val="000C06BC"/>
    <w:rsid w:val="000C10C9"/>
    <w:rsid w:val="000C1F63"/>
    <w:rsid w:val="000C2360"/>
    <w:rsid w:val="000C32BF"/>
    <w:rsid w:val="000C451E"/>
    <w:rsid w:val="000D2874"/>
    <w:rsid w:val="000D37F3"/>
    <w:rsid w:val="000E20AB"/>
    <w:rsid w:val="000E3D2C"/>
    <w:rsid w:val="000E656D"/>
    <w:rsid w:val="000F2DBE"/>
    <w:rsid w:val="000F4CE8"/>
    <w:rsid w:val="000F4FEA"/>
    <w:rsid w:val="000F7D0B"/>
    <w:rsid w:val="00100535"/>
    <w:rsid w:val="0010093C"/>
    <w:rsid w:val="00102E60"/>
    <w:rsid w:val="00103622"/>
    <w:rsid w:val="00104C18"/>
    <w:rsid w:val="0010535B"/>
    <w:rsid w:val="001056DA"/>
    <w:rsid w:val="0010606C"/>
    <w:rsid w:val="00106638"/>
    <w:rsid w:val="00110014"/>
    <w:rsid w:val="0011147A"/>
    <w:rsid w:val="0011551C"/>
    <w:rsid w:val="001228E1"/>
    <w:rsid w:val="001250F5"/>
    <w:rsid w:val="001254A8"/>
    <w:rsid w:val="00125AB3"/>
    <w:rsid w:val="001265DC"/>
    <w:rsid w:val="001329F8"/>
    <w:rsid w:val="0013314A"/>
    <w:rsid w:val="0013390F"/>
    <w:rsid w:val="00135413"/>
    <w:rsid w:val="00147408"/>
    <w:rsid w:val="00153BF3"/>
    <w:rsid w:val="00157FD6"/>
    <w:rsid w:val="001601E9"/>
    <w:rsid w:val="0016090A"/>
    <w:rsid w:val="00163EA0"/>
    <w:rsid w:val="0016586D"/>
    <w:rsid w:val="001679BA"/>
    <w:rsid w:val="00170197"/>
    <w:rsid w:val="001764BB"/>
    <w:rsid w:val="00176A02"/>
    <w:rsid w:val="00177EE5"/>
    <w:rsid w:val="0018403C"/>
    <w:rsid w:val="00184646"/>
    <w:rsid w:val="00185FEC"/>
    <w:rsid w:val="00190EDE"/>
    <w:rsid w:val="00191E0E"/>
    <w:rsid w:val="00194BB7"/>
    <w:rsid w:val="00195628"/>
    <w:rsid w:val="001A0971"/>
    <w:rsid w:val="001A226A"/>
    <w:rsid w:val="001A471E"/>
    <w:rsid w:val="001A5EAE"/>
    <w:rsid w:val="001B2507"/>
    <w:rsid w:val="001B2672"/>
    <w:rsid w:val="001B2CF0"/>
    <w:rsid w:val="001B3C8D"/>
    <w:rsid w:val="001B4A6A"/>
    <w:rsid w:val="001B6B64"/>
    <w:rsid w:val="001B6DC0"/>
    <w:rsid w:val="001C12EF"/>
    <w:rsid w:val="001C1D53"/>
    <w:rsid w:val="001C50BD"/>
    <w:rsid w:val="001D7426"/>
    <w:rsid w:val="001E0B65"/>
    <w:rsid w:val="001E1B0F"/>
    <w:rsid w:val="001E4698"/>
    <w:rsid w:val="001E4705"/>
    <w:rsid w:val="001E703E"/>
    <w:rsid w:val="001E78F2"/>
    <w:rsid w:val="001E7D52"/>
    <w:rsid w:val="001F09C5"/>
    <w:rsid w:val="001F1C17"/>
    <w:rsid w:val="001F6C27"/>
    <w:rsid w:val="0020047A"/>
    <w:rsid w:val="00201BC0"/>
    <w:rsid w:val="002031F4"/>
    <w:rsid w:val="0020345C"/>
    <w:rsid w:val="00204009"/>
    <w:rsid w:val="00205360"/>
    <w:rsid w:val="00212438"/>
    <w:rsid w:val="00212E4E"/>
    <w:rsid w:val="0022017F"/>
    <w:rsid w:val="002223BB"/>
    <w:rsid w:val="002230F4"/>
    <w:rsid w:val="002250BA"/>
    <w:rsid w:val="00225428"/>
    <w:rsid w:val="00225B54"/>
    <w:rsid w:val="00230C1E"/>
    <w:rsid w:val="002313F6"/>
    <w:rsid w:val="002314E8"/>
    <w:rsid w:val="00232245"/>
    <w:rsid w:val="002331D8"/>
    <w:rsid w:val="00240D19"/>
    <w:rsid w:val="0024156F"/>
    <w:rsid w:val="00243B1D"/>
    <w:rsid w:val="0024783F"/>
    <w:rsid w:val="00256655"/>
    <w:rsid w:val="00260939"/>
    <w:rsid w:val="00260E83"/>
    <w:rsid w:val="00261E9E"/>
    <w:rsid w:val="002708A6"/>
    <w:rsid w:val="00271A39"/>
    <w:rsid w:val="0027251A"/>
    <w:rsid w:val="0027254D"/>
    <w:rsid w:val="0027418E"/>
    <w:rsid w:val="00274959"/>
    <w:rsid w:val="00276F46"/>
    <w:rsid w:val="00286083"/>
    <w:rsid w:val="002878DB"/>
    <w:rsid w:val="00290ED9"/>
    <w:rsid w:val="00293B17"/>
    <w:rsid w:val="002946DA"/>
    <w:rsid w:val="002974C2"/>
    <w:rsid w:val="002974F6"/>
    <w:rsid w:val="00297B5D"/>
    <w:rsid w:val="002A2080"/>
    <w:rsid w:val="002A2141"/>
    <w:rsid w:val="002A3718"/>
    <w:rsid w:val="002A5085"/>
    <w:rsid w:val="002A53B4"/>
    <w:rsid w:val="002B21FC"/>
    <w:rsid w:val="002B3ED3"/>
    <w:rsid w:val="002C0229"/>
    <w:rsid w:val="002C1231"/>
    <w:rsid w:val="002C1E85"/>
    <w:rsid w:val="002C453F"/>
    <w:rsid w:val="002C65D0"/>
    <w:rsid w:val="002C7A3E"/>
    <w:rsid w:val="002D44A6"/>
    <w:rsid w:val="002D604D"/>
    <w:rsid w:val="002E2A4D"/>
    <w:rsid w:val="002E6F51"/>
    <w:rsid w:val="0030095E"/>
    <w:rsid w:val="0030175E"/>
    <w:rsid w:val="00303CF2"/>
    <w:rsid w:val="0031058F"/>
    <w:rsid w:val="00311682"/>
    <w:rsid w:val="00311902"/>
    <w:rsid w:val="00320D00"/>
    <w:rsid w:val="00322D01"/>
    <w:rsid w:val="00327A5A"/>
    <w:rsid w:val="00327C2C"/>
    <w:rsid w:val="003311B6"/>
    <w:rsid w:val="00331447"/>
    <w:rsid w:val="0033258E"/>
    <w:rsid w:val="00332C1B"/>
    <w:rsid w:val="00332C2F"/>
    <w:rsid w:val="0033515A"/>
    <w:rsid w:val="00344018"/>
    <w:rsid w:val="0034553C"/>
    <w:rsid w:val="0034763E"/>
    <w:rsid w:val="00350677"/>
    <w:rsid w:val="0035173E"/>
    <w:rsid w:val="00352BD2"/>
    <w:rsid w:val="003554B0"/>
    <w:rsid w:val="003576A7"/>
    <w:rsid w:val="00361787"/>
    <w:rsid w:val="00362704"/>
    <w:rsid w:val="00362C65"/>
    <w:rsid w:val="00363D05"/>
    <w:rsid w:val="00364AA0"/>
    <w:rsid w:val="00364F26"/>
    <w:rsid w:val="003721B6"/>
    <w:rsid w:val="00377973"/>
    <w:rsid w:val="003817B7"/>
    <w:rsid w:val="0038278D"/>
    <w:rsid w:val="0038323E"/>
    <w:rsid w:val="00385B8E"/>
    <w:rsid w:val="00386FE5"/>
    <w:rsid w:val="00387256"/>
    <w:rsid w:val="00387834"/>
    <w:rsid w:val="00391784"/>
    <w:rsid w:val="0039294D"/>
    <w:rsid w:val="00393CE1"/>
    <w:rsid w:val="003955E7"/>
    <w:rsid w:val="00396B05"/>
    <w:rsid w:val="003A2992"/>
    <w:rsid w:val="003A72B1"/>
    <w:rsid w:val="003B04DB"/>
    <w:rsid w:val="003B3CC5"/>
    <w:rsid w:val="003B4A73"/>
    <w:rsid w:val="003B6DE3"/>
    <w:rsid w:val="003C28F9"/>
    <w:rsid w:val="003C389F"/>
    <w:rsid w:val="003C4E24"/>
    <w:rsid w:val="003D2819"/>
    <w:rsid w:val="003D5E25"/>
    <w:rsid w:val="003D64EC"/>
    <w:rsid w:val="003E1FAB"/>
    <w:rsid w:val="003E28F9"/>
    <w:rsid w:val="003E79E9"/>
    <w:rsid w:val="003F191B"/>
    <w:rsid w:val="003F3C6C"/>
    <w:rsid w:val="003F451C"/>
    <w:rsid w:val="00401BFC"/>
    <w:rsid w:val="00402698"/>
    <w:rsid w:val="00403CF7"/>
    <w:rsid w:val="00405824"/>
    <w:rsid w:val="00406336"/>
    <w:rsid w:val="004071D9"/>
    <w:rsid w:val="004114AF"/>
    <w:rsid w:val="00412D0E"/>
    <w:rsid w:val="004158A2"/>
    <w:rsid w:val="00417368"/>
    <w:rsid w:val="00422169"/>
    <w:rsid w:val="00422767"/>
    <w:rsid w:val="004236BA"/>
    <w:rsid w:val="0043244B"/>
    <w:rsid w:val="004324CE"/>
    <w:rsid w:val="004349FF"/>
    <w:rsid w:val="00434A63"/>
    <w:rsid w:val="0044042B"/>
    <w:rsid w:val="00454F72"/>
    <w:rsid w:val="00455550"/>
    <w:rsid w:val="0045733F"/>
    <w:rsid w:val="00461BB3"/>
    <w:rsid w:val="00462485"/>
    <w:rsid w:val="00462EDB"/>
    <w:rsid w:val="004648E4"/>
    <w:rsid w:val="004657E5"/>
    <w:rsid w:val="00466FF6"/>
    <w:rsid w:val="00467F9A"/>
    <w:rsid w:val="0047011B"/>
    <w:rsid w:val="00483328"/>
    <w:rsid w:val="00491A2D"/>
    <w:rsid w:val="00493436"/>
    <w:rsid w:val="004A32C8"/>
    <w:rsid w:val="004A37A3"/>
    <w:rsid w:val="004A5EFE"/>
    <w:rsid w:val="004A6DEE"/>
    <w:rsid w:val="004B0D8E"/>
    <w:rsid w:val="004B1BC2"/>
    <w:rsid w:val="004B2F47"/>
    <w:rsid w:val="004B6AFC"/>
    <w:rsid w:val="004B6F92"/>
    <w:rsid w:val="004C0362"/>
    <w:rsid w:val="004C3926"/>
    <w:rsid w:val="004C6F23"/>
    <w:rsid w:val="004C7352"/>
    <w:rsid w:val="004D1AF3"/>
    <w:rsid w:val="004D2BBB"/>
    <w:rsid w:val="004D409E"/>
    <w:rsid w:val="004D50BB"/>
    <w:rsid w:val="004E32BD"/>
    <w:rsid w:val="004E35FB"/>
    <w:rsid w:val="004E468C"/>
    <w:rsid w:val="004E501A"/>
    <w:rsid w:val="004F02EA"/>
    <w:rsid w:val="004F4BD9"/>
    <w:rsid w:val="005043BE"/>
    <w:rsid w:val="00504ED5"/>
    <w:rsid w:val="005133FF"/>
    <w:rsid w:val="00513820"/>
    <w:rsid w:val="0051388F"/>
    <w:rsid w:val="00517882"/>
    <w:rsid w:val="005208DA"/>
    <w:rsid w:val="00524E5C"/>
    <w:rsid w:val="0053220B"/>
    <w:rsid w:val="00535C43"/>
    <w:rsid w:val="00536A16"/>
    <w:rsid w:val="0054635E"/>
    <w:rsid w:val="00546767"/>
    <w:rsid w:val="005516D4"/>
    <w:rsid w:val="00553CB1"/>
    <w:rsid w:val="00555E92"/>
    <w:rsid w:val="005569A2"/>
    <w:rsid w:val="005615F1"/>
    <w:rsid w:val="005629B0"/>
    <w:rsid w:val="005638C3"/>
    <w:rsid w:val="005644F1"/>
    <w:rsid w:val="00565011"/>
    <w:rsid w:val="005701B2"/>
    <w:rsid w:val="00571C01"/>
    <w:rsid w:val="005727F2"/>
    <w:rsid w:val="005801C0"/>
    <w:rsid w:val="005828F3"/>
    <w:rsid w:val="00582F8E"/>
    <w:rsid w:val="00585274"/>
    <w:rsid w:val="0058548F"/>
    <w:rsid w:val="0058574F"/>
    <w:rsid w:val="00586FE2"/>
    <w:rsid w:val="00590C19"/>
    <w:rsid w:val="00591AB9"/>
    <w:rsid w:val="005931F5"/>
    <w:rsid w:val="005953AC"/>
    <w:rsid w:val="00595866"/>
    <w:rsid w:val="005A0BDD"/>
    <w:rsid w:val="005A2C6B"/>
    <w:rsid w:val="005A2E26"/>
    <w:rsid w:val="005B17E2"/>
    <w:rsid w:val="005B61F4"/>
    <w:rsid w:val="005C01DE"/>
    <w:rsid w:val="005C3C5B"/>
    <w:rsid w:val="005C462A"/>
    <w:rsid w:val="005C4682"/>
    <w:rsid w:val="005C4F94"/>
    <w:rsid w:val="005C61AC"/>
    <w:rsid w:val="005C783C"/>
    <w:rsid w:val="005D189B"/>
    <w:rsid w:val="005D7F97"/>
    <w:rsid w:val="005E2E34"/>
    <w:rsid w:val="005E302C"/>
    <w:rsid w:val="005E6B2E"/>
    <w:rsid w:val="005E6C53"/>
    <w:rsid w:val="005E6D58"/>
    <w:rsid w:val="005E7AE5"/>
    <w:rsid w:val="005F170E"/>
    <w:rsid w:val="005F45D0"/>
    <w:rsid w:val="00603685"/>
    <w:rsid w:val="006044F4"/>
    <w:rsid w:val="00604A8F"/>
    <w:rsid w:val="006119C9"/>
    <w:rsid w:val="006124E0"/>
    <w:rsid w:val="00612740"/>
    <w:rsid w:val="006133FB"/>
    <w:rsid w:val="00614AB9"/>
    <w:rsid w:val="006155CF"/>
    <w:rsid w:val="006209E4"/>
    <w:rsid w:val="00622ABA"/>
    <w:rsid w:val="0063042C"/>
    <w:rsid w:val="00633419"/>
    <w:rsid w:val="006336DA"/>
    <w:rsid w:val="006344C3"/>
    <w:rsid w:val="00635ACB"/>
    <w:rsid w:val="00637C47"/>
    <w:rsid w:val="00640809"/>
    <w:rsid w:val="006420DA"/>
    <w:rsid w:val="0064516C"/>
    <w:rsid w:val="00646751"/>
    <w:rsid w:val="00652DB5"/>
    <w:rsid w:val="006606E0"/>
    <w:rsid w:val="00660C09"/>
    <w:rsid w:val="006613C7"/>
    <w:rsid w:val="0066177F"/>
    <w:rsid w:val="006623C5"/>
    <w:rsid w:val="00663000"/>
    <w:rsid w:val="00663AEE"/>
    <w:rsid w:val="006642CE"/>
    <w:rsid w:val="00667334"/>
    <w:rsid w:val="006721F8"/>
    <w:rsid w:val="00675CFC"/>
    <w:rsid w:val="00676273"/>
    <w:rsid w:val="006768C9"/>
    <w:rsid w:val="00676AE6"/>
    <w:rsid w:val="00676E7B"/>
    <w:rsid w:val="006808F3"/>
    <w:rsid w:val="0068297E"/>
    <w:rsid w:val="00682FC7"/>
    <w:rsid w:val="00683E11"/>
    <w:rsid w:val="006878B2"/>
    <w:rsid w:val="00691934"/>
    <w:rsid w:val="00693F15"/>
    <w:rsid w:val="006941F5"/>
    <w:rsid w:val="0069566A"/>
    <w:rsid w:val="006958F0"/>
    <w:rsid w:val="006A04A8"/>
    <w:rsid w:val="006A2CF6"/>
    <w:rsid w:val="006A5C27"/>
    <w:rsid w:val="006A7BB0"/>
    <w:rsid w:val="006B2B5D"/>
    <w:rsid w:val="006B3904"/>
    <w:rsid w:val="006B392C"/>
    <w:rsid w:val="006B4D11"/>
    <w:rsid w:val="006B5920"/>
    <w:rsid w:val="006B7C04"/>
    <w:rsid w:val="006C1F4F"/>
    <w:rsid w:val="006C376B"/>
    <w:rsid w:val="006C3824"/>
    <w:rsid w:val="006C3CE6"/>
    <w:rsid w:val="006C6BC9"/>
    <w:rsid w:val="006D0CCA"/>
    <w:rsid w:val="006D0FF5"/>
    <w:rsid w:val="006D54EE"/>
    <w:rsid w:val="006D7C7F"/>
    <w:rsid w:val="006E4A7D"/>
    <w:rsid w:val="006E4DB8"/>
    <w:rsid w:val="006E5BEC"/>
    <w:rsid w:val="006E62E6"/>
    <w:rsid w:val="006E7DA7"/>
    <w:rsid w:val="006F1503"/>
    <w:rsid w:val="006F3E90"/>
    <w:rsid w:val="006F43EA"/>
    <w:rsid w:val="006F5E0F"/>
    <w:rsid w:val="006F63E7"/>
    <w:rsid w:val="006F7062"/>
    <w:rsid w:val="00700CB7"/>
    <w:rsid w:val="00704346"/>
    <w:rsid w:val="00712B00"/>
    <w:rsid w:val="0071364C"/>
    <w:rsid w:val="00715349"/>
    <w:rsid w:val="0072555E"/>
    <w:rsid w:val="007272AA"/>
    <w:rsid w:val="00730C15"/>
    <w:rsid w:val="00731287"/>
    <w:rsid w:val="0074570E"/>
    <w:rsid w:val="0074651D"/>
    <w:rsid w:val="0074721E"/>
    <w:rsid w:val="00753E7E"/>
    <w:rsid w:val="00755C4A"/>
    <w:rsid w:val="00757CB6"/>
    <w:rsid w:val="00764912"/>
    <w:rsid w:val="007671FE"/>
    <w:rsid w:val="007676A2"/>
    <w:rsid w:val="00770D43"/>
    <w:rsid w:val="00772381"/>
    <w:rsid w:val="00772D31"/>
    <w:rsid w:val="007749C5"/>
    <w:rsid w:val="00774E01"/>
    <w:rsid w:val="0078024D"/>
    <w:rsid w:val="00781576"/>
    <w:rsid w:val="007852CF"/>
    <w:rsid w:val="00785EBA"/>
    <w:rsid w:val="00791725"/>
    <w:rsid w:val="00791BC4"/>
    <w:rsid w:val="00795759"/>
    <w:rsid w:val="00796396"/>
    <w:rsid w:val="007A5866"/>
    <w:rsid w:val="007B1812"/>
    <w:rsid w:val="007B25F6"/>
    <w:rsid w:val="007B4B1D"/>
    <w:rsid w:val="007C2AE3"/>
    <w:rsid w:val="007C5B73"/>
    <w:rsid w:val="007C6D64"/>
    <w:rsid w:val="007D016B"/>
    <w:rsid w:val="007D4585"/>
    <w:rsid w:val="007D47D2"/>
    <w:rsid w:val="007D5DF5"/>
    <w:rsid w:val="007E0583"/>
    <w:rsid w:val="007E245A"/>
    <w:rsid w:val="007E35AA"/>
    <w:rsid w:val="007F0613"/>
    <w:rsid w:val="007F4756"/>
    <w:rsid w:val="007F57DB"/>
    <w:rsid w:val="007F5D46"/>
    <w:rsid w:val="007F6FA5"/>
    <w:rsid w:val="008003DD"/>
    <w:rsid w:val="008011C7"/>
    <w:rsid w:val="008020AE"/>
    <w:rsid w:val="00805366"/>
    <w:rsid w:val="00805482"/>
    <w:rsid w:val="00805701"/>
    <w:rsid w:val="008123BF"/>
    <w:rsid w:val="00812BC5"/>
    <w:rsid w:val="008216B7"/>
    <w:rsid w:val="00821C45"/>
    <w:rsid w:val="00824A45"/>
    <w:rsid w:val="008250F7"/>
    <w:rsid w:val="00826659"/>
    <w:rsid w:val="00827BC1"/>
    <w:rsid w:val="00830B4C"/>
    <w:rsid w:val="0083157E"/>
    <w:rsid w:val="00842D12"/>
    <w:rsid w:val="00850698"/>
    <w:rsid w:val="0085133C"/>
    <w:rsid w:val="00851EE2"/>
    <w:rsid w:val="0085459D"/>
    <w:rsid w:val="008576A1"/>
    <w:rsid w:val="0085793A"/>
    <w:rsid w:val="00860BC1"/>
    <w:rsid w:val="008647F6"/>
    <w:rsid w:val="00865F76"/>
    <w:rsid w:val="0086774B"/>
    <w:rsid w:val="0087098A"/>
    <w:rsid w:val="00872F20"/>
    <w:rsid w:val="008737F4"/>
    <w:rsid w:val="008776EA"/>
    <w:rsid w:val="008811F1"/>
    <w:rsid w:val="00881252"/>
    <w:rsid w:val="00882FB1"/>
    <w:rsid w:val="00885C8D"/>
    <w:rsid w:val="008873B3"/>
    <w:rsid w:val="00887FF8"/>
    <w:rsid w:val="00890359"/>
    <w:rsid w:val="00891443"/>
    <w:rsid w:val="00891FBD"/>
    <w:rsid w:val="00893F7E"/>
    <w:rsid w:val="008953DA"/>
    <w:rsid w:val="008960A4"/>
    <w:rsid w:val="00896327"/>
    <w:rsid w:val="008A12F2"/>
    <w:rsid w:val="008A365D"/>
    <w:rsid w:val="008A3D35"/>
    <w:rsid w:val="008A5C7D"/>
    <w:rsid w:val="008A7233"/>
    <w:rsid w:val="008A7C53"/>
    <w:rsid w:val="008B1ACC"/>
    <w:rsid w:val="008B2641"/>
    <w:rsid w:val="008C1788"/>
    <w:rsid w:val="008C2A69"/>
    <w:rsid w:val="008C4428"/>
    <w:rsid w:val="008C68C3"/>
    <w:rsid w:val="008C79B4"/>
    <w:rsid w:val="008C7D62"/>
    <w:rsid w:val="008D05E0"/>
    <w:rsid w:val="008D3BE6"/>
    <w:rsid w:val="008D3CCD"/>
    <w:rsid w:val="008D44D4"/>
    <w:rsid w:val="008D7374"/>
    <w:rsid w:val="008E14FC"/>
    <w:rsid w:val="008E2714"/>
    <w:rsid w:val="008E5B57"/>
    <w:rsid w:val="008E647B"/>
    <w:rsid w:val="008F1FC0"/>
    <w:rsid w:val="008F2C42"/>
    <w:rsid w:val="009020EB"/>
    <w:rsid w:val="00903EC8"/>
    <w:rsid w:val="00904BDC"/>
    <w:rsid w:val="009162A6"/>
    <w:rsid w:val="009167CE"/>
    <w:rsid w:val="0091765C"/>
    <w:rsid w:val="00917F14"/>
    <w:rsid w:val="009202BD"/>
    <w:rsid w:val="0092384D"/>
    <w:rsid w:val="009277BD"/>
    <w:rsid w:val="009320F6"/>
    <w:rsid w:val="00932B5B"/>
    <w:rsid w:val="009349C7"/>
    <w:rsid w:val="00936A88"/>
    <w:rsid w:val="00943A44"/>
    <w:rsid w:val="00943DB9"/>
    <w:rsid w:val="00943E06"/>
    <w:rsid w:val="00944850"/>
    <w:rsid w:val="00950070"/>
    <w:rsid w:val="00950B9D"/>
    <w:rsid w:val="0095275C"/>
    <w:rsid w:val="0096021C"/>
    <w:rsid w:val="00961614"/>
    <w:rsid w:val="00964D94"/>
    <w:rsid w:val="0096535D"/>
    <w:rsid w:val="00966E3E"/>
    <w:rsid w:val="00971687"/>
    <w:rsid w:val="009717FC"/>
    <w:rsid w:val="00972338"/>
    <w:rsid w:val="00974556"/>
    <w:rsid w:val="00977724"/>
    <w:rsid w:val="009800B7"/>
    <w:rsid w:val="0098133D"/>
    <w:rsid w:val="00982F66"/>
    <w:rsid w:val="00984A74"/>
    <w:rsid w:val="00985F7D"/>
    <w:rsid w:val="009861F2"/>
    <w:rsid w:val="00987243"/>
    <w:rsid w:val="00993AF2"/>
    <w:rsid w:val="00997265"/>
    <w:rsid w:val="00997F2C"/>
    <w:rsid w:val="009A2E65"/>
    <w:rsid w:val="009B378C"/>
    <w:rsid w:val="009B6085"/>
    <w:rsid w:val="009B7005"/>
    <w:rsid w:val="009B7D52"/>
    <w:rsid w:val="009C3C19"/>
    <w:rsid w:val="009C5E48"/>
    <w:rsid w:val="009C6A6E"/>
    <w:rsid w:val="009C75CC"/>
    <w:rsid w:val="009D10D6"/>
    <w:rsid w:val="009D22EE"/>
    <w:rsid w:val="009D7706"/>
    <w:rsid w:val="009E0F62"/>
    <w:rsid w:val="009E1E52"/>
    <w:rsid w:val="009E3C9A"/>
    <w:rsid w:val="009E47C2"/>
    <w:rsid w:val="009E4C37"/>
    <w:rsid w:val="009F016F"/>
    <w:rsid w:val="009F1239"/>
    <w:rsid w:val="009F625C"/>
    <w:rsid w:val="009F7F22"/>
    <w:rsid w:val="00A01352"/>
    <w:rsid w:val="00A029B6"/>
    <w:rsid w:val="00A029DE"/>
    <w:rsid w:val="00A045F7"/>
    <w:rsid w:val="00A04613"/>
    <w:rsid w:val="00A04D49"/>
    <w:rsid w:val="00A06337"/>
    <w:rsid w:val="00A107ED"/>
    <w:rsid w:val="00A10C58"/>
    <w:rsid w:val="00A1104F"/>
    <w:rsid w:val="00A116FE"/>
    <w:rsid w:val="00A12D2B"/>
    <w:rsid w:val="00A15695"/>
    <w:rsid w:val="00A15D46"/>
    <w:rsid w:val="00A1769D"/>
    <w:rsid w:val="00A24D05"/>
    <w:rsid w:val="00A260AB"/>
    <w:rsid w:val="00A31108"/>
    <w:rsid w:val="00A31BD5"/>
    <w:rsid w:val="00A35454"/>
    <w:rsid w:val="00A36DE7"/>
    <w:rsid w:val="00A4274D"/>
    <w:rsid w:val="00A436B1"/>
    <w:rsid w:val="00A465F5"/>
    <w:rsid w:val="00A474DF"/>
    <w:rsid w:val="00A50B64"/>
    <w:rsid w:val="00A542D6"/>
    <w:rsid w:val="00A55F8B"/>
    <w:rsid w:val="00A56C0A"/>
    <w:rsid w:val="00A572A6"/>
    <w:rsid w:val="00A57F77"/>
    <w:rsid w:val="00A57FBF"/>
    <w:rsid w:val="00A60072"/>
    <w:rsid w:val="00A61ACF"/>
    <w:rsid w:val="00A62255"/>
    <w:rsid w:val="00A62B48"/>
    <w:rsid w:val="00A6376B"/>
    <w:rsid w:val="00A67015"/>
    <w:rsid w:val="00A6723E"/>
    <w:rsid w:val="00A67ACC"/>
    <w:rsid w:val="00A711A5"/>
    <w:rsid w:val="00A739A1"/>
    <w:rsid w:val="00A747E6"/>
    <w:rsid w:val="00A8073B"/>
    <w:rsid w:val="00A82C9F"/>
    <w:rsid w:val="00A86945"/>
    <w:rsid w:val="00A86DE5"/>
    <w:rsid w:val="00A94F96"/>
    <w:rsid w:val="00A974C1"/>
    <w:rsid w:val="00AA01FF"/>
    <w:rsid w:val="00AA141B"/>
    <w:rsid w:val="00AA2104"/>
    <w:rsid w:val="00AA54F6"/>
    <w:rsid w:val="00AA5EF5"/>
    <w:rsid w:val="00AA687B"/>
    <w:rsid w:val="00AB13B2"/>
    <w:rsid w:val="00AB1555"/>
    <w:rsid w:val="00AB4B13"/>
    <w:rsid w:val="00AB6240"/>
    <w:rsid w:val="00AB6247"/>
    <w:rsid w:val="00AB6C25"/>
    <w:rsid w:val="00AC218B"/>
    <w:rsid w:val="00AC2EB8"/>
    <w:rsid w:val="00AC3AF4"/>
    <w:rsid w:val="00AC3E36"/>
    <w:rsid w:val="00AC427F"/>
    <w:rsid w:val="00AC4E8F"/>
    <w:rsid w:val="00AC4FCF"/>
    <w:rsid w:val="00AC6BDF"/>
    <w:rsid w:val="00AC6DA6"/>
    <w:rsid w:val="00AD0E49"/>
    <w:rsid w:val="00AD11C1"/>
    <w:rsid w:val="00AD3A5E"/>
    <w:rsid w:val="00AD3BC1"/>
    <w:rsid w:val="00AD5A7F"/>
    <w:rsid w:val="00AF0C6F"/>
    <w:rsid w:val="00AF0FB7"/>
    <w:rsid w:val="00AF1460"/>
    <w:rsid w:val="00AF190C"/>
    <w:rsid w:val="00AF6B08"/>
    <w:rsid w:val="00B0120E"/>
    <w:rsid w:val="00B0475E"/>
    <w:rsid w:val="00B0520C"/>
    <w:rsid w:val="00B06161"/>
    <w:rsid w:val="00B13C14"/>
    <w:rsid w:val="00B169E1"/>
    <w:rsid w:val="00B17590"/>
    <w:rsid w:val="00B209F4"/>
    <w:rsid w:val="00B20D77"/>
    <w:rsid w:val="00B21A72"/>
    <w:rsid w:val="00B22040"/>
    <w:rsid w:val="00B270F5"/>
    <w:rsid w:val="00B313DE"/>
    <w:rsid w:val="00B3162E"/>
    <w:rsid w:val="00B34A36"/>
    <w:rsid w:val="00B36AEE"/>
    <w:rsid w:val="00B377A5"/>
    <w:rsid w:val="00B40BA7"/>
    <w:rsid w:val="00B41645"/>
    <w:rsid w:val="00B417A3"/>
    <w:rsid w:val="00B4181D"/>
    <w:rsid w:val="00B419BF"/>
    <w:rsid w:val="00B42306"/>
    <w:rsid w:val="00B4387E"/>
    <w:rsid w:val="00B44C00"/>
    <w:rsid w:val="00B45949"/>
    <w:rsid w:val="00B54C50"/>
    <w:rsid w:val="00B56C13"/>
    <w:rsid w:val="00B6401A"/>
    <w:rsid w:val="00B65654"/>
    <w:rsid w:val="00B66643"/>
    <w:rsid w:val="00B71F3A"/>
    <w:rsid w:val="00B74BFD"/>
    <w:rsid w:val="00B800AD"/>
    <w:rsid w:val="00B8214D"/>
    <w:rsid w:val="00B83E45"/>
    <w:rsid w:val="00B840AD"/>
    <w:rsid w:val="00B8434B"/>
    <w:rsid w:val="00B85AEC"/>
    <w:rsid w:val="00B867DE"/>
    <w:rsid w:val="00BA242B"/>
    <w:rsid w:val="00BA280B"/>
    <w:rsid w:val="00BA3D3E"/>
    <w:rsid w:val="00BA5B30"/>
    <w:rsid w:val="00BA5EDA"/>
    <w:rsid w:val="00BA6215"/>
    <w:rsid w:val="00BA6575"/>
    <w:rsid w:val="00BA6D22"/>
    <w:rsid w:val="00BA70D0"/>
    <w:rsid w:val="00BB091F"/>
    <w:rsid w:val="00BB2AE9"/>
    <w:rsid w:val="00BB3FFB"/>
    <w:rsid w:val="00BB433A"/>
    <w:rsid w:val="00BB47D6"/>
    <w:rsid w:val="00BB5EEC"/>
    <w:rsid w:val="00BB709A"/>
    <w:rsid w:val="00BC2327"/>
    <w:rsid w:val="00BC48B2"/>
    <w:rsid w:val="00BC4F4F"/>
    <w:rsid w:val="00BC54F8"/>
    <w:rsid w:val="00BD03C4"/>
    <w:rsid w:val="00BD2B2C"/>
    <w:rsid w:val="00BD5AFE"/>
    <w:rsid w:val="00BE1D68"/>
    <w:rsid w:val="00BE3FD3"/>
    <w:rsid w:val="00BE758F"/>
    <w:rsid w:val="00BE7DA0"/>
    <w:rsid w:val="00BF20E8"/>
    <w:rsid w:val="00BF5DD6"/>
    <w:rsid w:val="00C01E41"/>
    <w:rsid w:val="00C0240E"/>
    <w:rsid w:val="00C06CAE"/>
    <w:rsid w:val="00C14EA1"/>
    <w:rsid w:val="00C15905"/>
    <w:rsid w:val="00C15FCE"/>
    <w:rsid w:val="00C20239"/>
    <w:rsid w:val="00C20F8D"/>
    <w:rsid w:val="00C22EC7"/>
    <w:rsid w:val="00C240CB"/>
    <w:rsid w:val="00C24933"/>
    <w:rsid w:val="00C31547"/>
    <w:rsid w:val="00C32065"/>
    <w:rsid w:val="00C3253B"/>
    <w:rsid w:val="00C42C77"/>
    <w:rsid w:val="00C51004"/>
    <w:rsid w:val="00C52DA8"/>
    <w:rsid w:val="00C56A48"/>
    <w:rsid w:val="00C643CC"/>
    <w:rsid w:val="00C64BB5"/>
    <w:rsid w:val="00C66EC8"/>
    <w:rsid w:val="00C71C6A"/>
    <w:rsid w:val="00C72E45"/>
    <w:rsid w:val="00C75040"/>
    <w:rsid w:val="00C8009A"/>
    <w:rsid w:val="00C817BE"/>
    <w:rsid w:val="00C81C34"/>
    <w:rsid w:val="00C827F0"/>
    <w:rsid w:val="00C86D5A"/>
    <w:rsid w:val="00C938CA"/>
    <w:rsid w:val="00CA2E54"/>
    <w:rsid w:val="00CA6593"/>
    <w:rsid w:val="00CB0715"/>
    <w:rsid w:val="00CB21B0"/>
    <w:rsid w:val="00CB42CD"/>
    <w:rsid w:val="00CB79A3"/>
    <w:rsid w:val="00CC061E"/>
    <w:rsid w:val="00CC1415"/>
    <w:rsid w:val="00CD0BF7"/>
    <w:rsid w:val="00CD1B41"/>
    <w:rsid w:val="00CD2A39"/>
    <w:rsid w:val="00CD2D14"/>
    <w:rsid w:val="00CD4473"/>
    <w:rsid w:val="00CD4876"/>
    <w:rsid w:val="00CD5D76"/>
    <w:rsid w:val="00CD6629"/>
    <w:rsid w:val="00CD76D9"/>
    <w:rsid w:val="00CD7BF7"/>
    <w:rsid w:val="00CE5ACE"/>
    <w:rsid w:val="00CE70F2"/>
    <w:rsid w:val="00CE7DF6"/>
    <w:rsid w:val="00CF0827"/>
    <w:rsid w:val="00CF1663"/>
    <w:rsid w:val="00CF22C1"/>
    <w:rsid w:val="00CF45BC"/>
    <w:rsid w:val="00D00AD8"/>
    <w:rsid w:val="00D0386E"/>
    <w:rsid w:val="00D0559E"/>
    <w:rsid w:val="00D06069"/>
    <w:rsid w:val="00D07F84"/>
    <w:rsid w:val="00D17B10"/>
    <w:rsid w:val="00D203CA"/>
    <w:rsid w:val="00D2331A"/>
    <w:rsid w:val="00D2472B"/>
    <w:rsid w:val="00D3090E"/>
    <w:rsid w:val="00D3134C"/>
    <w:rsid w:val="00D320BB"/>
    <w:rsid w:val="00D327D7"/>
    <w:rsid w:val="00D36A7D"/>
    <w:rsid w:val="00D37219"/>
    <w:rsid w:val="00D40A69"/>
    <w:rsid w:val="00D438E3"/>
    <w:rsid w:val="00D43F49"/>
    <w:rsid w:val="00D44336"/>
    <w:rsid w:val="00D46FEA"/>
    <w:rsid w:val="00D47D7A"/>
    <w:rsid w:val="00D51858"/>
    <w:rsid w:val="00D51D45"/>
    <w:rsid w:val="00D5242D"/>
    <w:rsid w:val="00D53FFE"/>
    <w:rsid w:val="00D60FE2"/>
    <w:rsid w:val="00D63DF9"/>
    <w:rsid w:val="00D643F8"/>
    <w:rsid w:val="00D657B9"/>
    <w:rsid w:val="00D65E69"/>
    <w:rsid w:val="00D67DE6"/>
    <w:rsid w:val="00D70215"/>
    <w:rsid w:val="00D72335"/>
    <w:rsid w:val="00D7301D"/>
    <w:rsid w:val="00D7408E"/>
    <w:rsid w:val="00D85EB7"/>
    <w:rsid w:val="00D8602C"/>
    <w:rsid w:val="00D919F0"/>
    <w:rsid w:val="00D93008"/>
    <w:rsid w:val="00D93B07"/>
    <w:rsid w:val="00D93C2D"/>
    <w:rsid w:val="00D9505E"/>
    <w:rsid w:val="00D9545A"/>
    <w:rsid w:val="00D96758"/>
    <w:rsid w:val="00DA046B"/>
    <w:rsid w:val="00DA0B9F"/>
    <w:rsid w:val="00DA1A27"/>
    <w:rsid w:val="00DA1FC4"/>
    <w:rsid w:val="00DA2347"/>
    <w:rsid w:val="00DA6B17"/>
    <w:rsid w:val="00DA7682"/>
    <w:rsid w:val="00DA7FCB"/>
    <w:rsid w:val="00DB030B"/>
    <w:rsid w:val="00DB0A8D"/>
    <w:rsid w:val="00DB4774"/>
    <w:rsid w:val="00DB5A37"/>
    <w:rsid w:val="00DB626E"/>
    <w:rsid w:val="00DB7CF1"/>
    <w:rsid w:val="00DC215A"/>
    <w:rsid w:val="00DC2953"/>
    <w:rsid w:val="00DC3D17"/>
    <w:rsid w:val="00DC4449"/>
    <w:rsid w:val="00DD2713"/>
    <w:rsid w:val="00DD4838"/>
    <w:rsid w:val="00DE339A"/>
    <w:rsid w:val="00DE3CDE"/>
    <w:rsid w:val="00DE649D"/>
    <w:rsid w:val="00DF010E"/>
    <w:rsid w:val="00DF1BB4"/>
    <w:rsid w:val="00DF3B32"/>
    <w:rsid w:val="00DF405C"/>
    <w:rsid w:val="00E00912"/>
    <w:rsid w:val="00E0113A"/>
    <w:rsid w:val="00E019F1"/>
    <w:rsid w:val="00E01E3D"/>
    <w:rsid w:val="00E11BF9"/>
    <w:rsid w:val="00E12EEB"/>
    <w:rsid w:val="00E13411"/>
    <w:rsid w:val="00E13B0F"/>
    <w:rsid w:val="00E144A7"/>
    <w:rsid w:val="00E23155"/>
    <w:rsid w:val="00E24AF9"/>
    <w:rsid w:val="00E32E37"/>
    <w:rsid w:val="00E34A22"/>
    <w:rsid w:val="00E37943"/>
    <w:rsid w:val="00E40388"/>
    <w:rsid w:val="00E42A89"/>
    <w:rsid w:val="00E433F7"/>
    <w:rsid w:val="00E4513A"/>
    <w:rsid w:val="00E46D0F"/>
    <w:rsid w:val="00E47D72"/>
    <w:rsid w:val="00E51FEA"/>
    <w:rsid w:val="00E57967"/>
    <w:rsid w:val="00E61919"/>
    <w:rsid w:val="00E62143"/>
    <w:rsid w:val="00E6264C"/>
    <w:rsid w:val="00E63E39"/>
    <w:rsid w:val="00E65C5C"/>
    <w:rsid w:val="00E66D53"/>
    <w:rsid w:val="00E700CB"/>
    <w:rsid w:val="00E712D9"/>
    <w:rsid w:val="00E71D14"/>
    <w:rsid w:val="00E731E8"/>
    <w:rsid w:val="00E7500C"/>
    <w:rsid w:val="00E76398"/>
    <w:rsid w:val="00E84E3D"/>
    <w:rsid w:val="00E86CC9"/>
    <w:rsid w:val="00E926E3"/>
    <w:rsid w:val="00E937BC"/>
    <w:rsid w:val="00E97C63"/>
    <w:rsid w:val="00EA033C"/>
    <w:rsid w:val="00EA2438"/>
    <w:rsid w:val="00EA7B1F"/>
    <w:rsid w:val="00EA7DEB"/>
    <w:rsid w:val="00EB0523"/>
    <w:rsid w:val="00EB22EA"/>
    <w:rsid w:val="00EB31BB"/>
    <w:rsid w:val="00EB62FE"/>
    <w:rsid w:val="00EC1084"/>
    <w:rsid w:val="00EC2AB1"/>
    <w:rsid w:val="00EC2E50"/>
    <w:rsid w:val="00EC4182"/>
    <w:rsid w:val="00EC52CD"/>
    <w:rsid w:val="00EC7749"/>
    <w:rsid w:val="00ED208D"/>
    <w:rsid w:val="00ED58FA"/>
    <w:rsid w:val="00EE300B"/>
    <w:rsid w:val="00EE4B7F"/>
    <w:rsid w:val="00EE6F03"/>
    <w:rsid w:val="00EF0727"/>
    <w:rsid w:val="00EF4612"/>
    <w:rsid w:val="00EF6E2A"/>
    <w:rsid w:val="00EF7C19"/>
    <w:rsid w:val="00F010A1"/>
    <w:rsid w:val="00F0496F"/>
    <w:rsid w:val="00F07472"/>
    <w:rsid w:val="00F07F86"/>
    <w:rsid w:val="00F10AE9"/>
    <w:rsid w:val="00F10C16"/>
    <w:rsid w:val="00F129BE"/>
    <w:rsid w:val="00F16676"/>
    <w:rsid w:val="00F1733F"/>
    <w:rsid w:val="00F20348"/>
    <w:rsid w:val="00F27E68"/>
    <w:rsid w:val="00F305C5"/>
    <w:rsid w:val="00F30DB4"/>
    <w:rsid w:val="00F3704B"/>
    <w:rsid w:val="00F4181F"/>
    <w:rsid w:val="00F42258"/>
    <w:rsid w:val="00F4370A"/>
    <w:rsid w:val="00F44741"/>
    <w:rsid w:val="00F44DBF"/>
    <w:rsid w:val="00F467BF"/>
    <w:rsid w:val="00F47D56"/>
    <w:rsid w:val="00F50BCC"/>
    <w:rsid w:val="00F518B8"/>
    <w:rsid w:val="00F52DE5"/>
    <w:rsid w:val="00F559EE"/>
    <w:rsid w:val="00F63A49"/>
    <w:rsid w:val="00F63B82"/>
    <w:rsid w:val="00F63F12"/>
    <w:rsid w:val="00F66182"/>
    <w:rsid w:val="00F70E7D"/>
    <w:rsid w:val="00F7428B"/>
    <w:rsid w:val="00F75744"/>
    <w:rsid w:val="00F80923"/>
    <w:rsid w:val="00F81E4C"/>
    <w:rsid w:val="00F87699"/>
    <w:rsid w:val="00F902BD"/>
    <w:rsid w:val="00F92AE5"/>
    <w:rsid w:val="00F92C0A"/>
    <w:rsid w:val="00F92C43"/>
    <w:rsid w:val="00F9685D"/>
    <w:rsid w:val="00F969BC"/>
    <w:rsid w:val="00FA0632"/>
    <w:rsid w:val="00FA1356"/>
    <w:rsid w:val="00FA206E"/>
    <w:rsid w:val="00FA3052"/>
    <w:rsid w:val="00FA5B30"/>
    <w:rsid w:val="00FA61B8"/>
    <w:rsid w:val="00FB0AE3"/>
    <w:rsid w:val="00FB0C0D"/>
    <w:rsid w:val="00FB1FF1"/>
    <w:rsid w:val="00FB7BDB"/>
    <w:rsid w:val="00FC04A2"/>
    <w:rsid w:val="00FC335D"/>
    <w:rsid w:val="00FC7148"/>
    <w:rsid w:val="00FC7C29"/>
    <w:rsid w:val="00FD10BE"/>
    <w:rsid w:val="00FD443D"/>
    <w:rsid w:val="00FD4EF3"/>
    <w:rsid w:val="00FE1234"/>
    <w:rsid w:val="00FE1B54"/>
    <w:rsid w:val="00FE3935"/>
    <w:rsid w:val="00FE3F51"/>
    <w:rsid w:val="00FF132C"/>
    <w:rsid w:val="00FF59E0"/>
  </w:rsids>
  <m:mathPr>
    <m:mathFont m:val="Cambria Math"/>
    <m:brkBin m:val="before"/>
    <m:brkBinSub m:val="--"/>
    <m:smallFrac m:val="off"/>
    <m:dispDef/>
    <m:lMargin m:val="0"/>
    <m:rMargin m:val="0"/>
    <m:defJc m:val="centerGroup"/>
    <m:wrapIndent m:val="1440"/>
    <m:intLim m:val="subSup"/>
    <m:naryLim m:val="undOvr"/>
  </m:mathPr>
  <w:themeFontLang w:val="ro-RO"/>
  <w:clrSchemeMapping w:bg1="light1" w:t1="dark1" w:bg2="light2" w:t2="dark2" w:accent1="accent1" w:accent2="accent2" w:accent3="accent3" w:accent4="accent4" w:accent5="accent5" w:accent6="accent6" w:hyperlink="hyperlink" w:followedHyperlink="followedHyperlink"/>
  <w:doNotIncludeSubdocsInStats/>
  <w:smartTagType w:namespaceuri="urn:schemas-microsoft-com:office:smarttags" w:name="metricconverter"/>
  <w:shapeDefaults>
    <o:shapedefaults v:ext="edit" spidmax="7170"/>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imes New Roman" w:eastAsia="Times New Roman" w:hAnsi="Times New Roman" w:cs="Times New Roman"/>
        <w:lang w:val="ro-RO" w:eastAsia="ro-RO" w:bidi="ar-SA"/>
      </w:rPr>
    </w:rPrDefault>
    <w:pPrDefault/>
  </w:docDefaults>
  <w:latentStyles w:defLockedState="0" w:defUIPriority="0" w:defSemiHidden="0" w:defUnhideWhenUsed="0" w:defQFormat="0" w:count="267">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iPriority="9"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header" w:uiPriority="99"/>
    <w:lsdException w:name="caption" w:semiHidden="1" w:unhideWhenUsed="1" w:qFormat="1"/>
    <w:lsdException w:name="footnote reference" w:uiPriority="99"/>
    <w:lsdException w:name="Title" w:qFormat="1"/>
    <w:lsdException w:name="Subtitle" w:qFormat="1"/>
    <w:lsdException w:name="Strong" w:uiPriority="22" w:qFormat="1"/>
    <w:lsdException w:name="Emphasis" w:qFormat="1"/>
    <w:lsdException w:name="No List" w:uiPriority="99"/>
    <w:lsdException w:name="Table Grid" w:uiPriority="59"/>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99"/>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atentStyles>
  <w:style w:type="paragraph" w:default="1" w:styleId="Normal">
    <w:name w:val="Normal"/>
    <w:qFormat/>
    <w:rsid w:val="00B6401A"/>
    <w:rPr>
      <w:rFonts w:eastAsia="SimSun"/>
      <w:sz w:val="24"/>
      <w:szCs w:val="24"/>
      <w:lang w:val="en-GB" w:eastAsia="en-US"/>
    </w:rPr>
  </w:style>
  <w:style w:type="paragraph" w:styleId="Heading1">
    <w:name w:val="heading 1"/>
    <w:basedOn w:val="Normal"/>
    <w:next w:val="Normal"/>
    <w:link w:val="Heading1Char"/>
    <w:qFormat/>
    <w:rsid w:val="00434A63"/>
    <w:pPr>
      <w:keepNext/>
      <w:spacing w:before="240" w:after="60"/>
      <w:outlineLvl w:val="0"/>
    </w:pPr>
    <w:rPr>
      <w:rFonts w:ascii="Arial" w:hAnsi="Arial" w:cs="Arial"/>
      <w:b/>
      <w:bCs/>
      <w:kern w:val="32"/>
      <w:sz w:val="32"/>
      <w:szCs w:val="32"/>
    </w:rPr>
  </w:style>
  <w:style w:type="paragraph" w:styleId="Heading2">
    <w:name w:val="heading 2"/>
    <w:basedOn w:val="Normal"/>
    <w:next w:val="Normal"/>
    <w:link w:val="Heading2Char"/>
    <w:unhideWhenUsed/>
    <w:qFormat/>
    <w:rsid w:val="004A6DEE"/>
    <w:pPr>
      <w:keepNext/>
      <w:spacing w:before="240" w:after="60"/>
      <w:outlineLvl w:val="1"/>
    </w:pPr>
    <w:rPr>
      <w:rFonts w:ascii="Cambria" w:eastAsia="Times New Roman" w:hAnsi="Cambria"/>
      <w:b/>
      <w:bCs/>
      <w:i/>
      <w:iCs/>
      <w:sz w:val="28"/>
      <w:szCs w:val="28"/>
    </w:rPr>
  </w:style>
  <w:style w:type="paragraph" w:styleId="Heading3">
    <w:name w:val="heading 3"/>
    <w:basedOn w:val="Normal"/>
    <w:next w:val="Normal"/>
    <w:link w:val="Heading3Char"/>
    <w:unhideWhenUsed/>
    <w:qFormat/>
    <w:rsid w:val="004A6DEE"/>
    <w:pPr>
      <w:keepNext/>
      <w:spacing w:before="240" w:after="60"/>
      <w:outlineLvl w:val="2"/>
    </w:pPr>
    <w:rPr>
      <w:rFonts w:ascii="Cambria" w:eastAsia="Times New Roman" w:hAnsi="Cambria"/>
      <w:b/>
      <w:bCs/>
      <w:sz w:val="26"/>
      <w:szCs w:val="26"/>
    </w:rPr>
  </w:style>
  <w:style w:type="paragraph" w:styleId="Heading4">
    <w:name w:val="heading 4"/>
    <w:basedOn w:val="Normal"/>
    <w:next w:val="Normal"/>
    <w:link w:val="Heading4Char"/>
    <w:unhideWhenUsed/>
    <w:qFormat/>
    <w:rsid w:val="00F42258"/>
    <w:pPr>
      <w:keepNext/>
      <w:spacing w:before="240" w:after="60"/>
      <w:outlineLvl w:val="3"/>
    </w:pPr>
    <w:rPr>
      <w:rFonts w:ascii="Calibri" w:eastAsia="Times New Roman" w:hAnsi="Calibri"/>
      <w:b/>
      <w:bCs/>
      <w:sz w:val="28"/>
      <w:szCs w:val="28"/>
    </w:rPr>
  </w:style>
  <w:style w:type="paragraph" w:styleId="Heading5">
    <w:name w:val="heading 5"/>
    <w:basedOn w:val="Normal"/>
    <w:next w:val="Normal"/>
    <w:link w:val="Heading5Char"/>
    <w:uiPriority w:val="9"/>
    <w:qFormat/>
    <w:rsid w:val="000F4FEA"/>
    <w:pPr>
      <w:spacing w:before="240" w:after="60"/>
      <w:outlineLvl w:val="4"/>
    </w:pPr>
    <w:rPr>
      <w:rFonts w:eastAsia="Times New Roman"/>
      <w:b/>
      <w:bCs/>
      <w:i/>
      <w:iCs/>
      <w:sz w:val="26"/>
      <w:szCs w:val="26"/>
      <w:lang w:val="ro-RO"/>
    </w:rPr>
  </w:style>
  <w:style w:type="paragraph" w:styleId="Heading7">
    <w:name w:val="heading 7"/>
    <w:basedOn w:val="Normal"/>
    <w:next w:val="Normal"/>
    <w:link w:val="Heading7Char"/>
    <w:qFormat/>
    <w:rsid w:val="00826659"/>
    <w:pPr>
      <w:spacing w:before="240" w:after="60"/>
      <w:outlineLvl w:val="6"/>
    </w:pPr>
    <w:rPr>
      <w:rFonts w:eastAsia="Times New Roman"/>
      <w:lang w:val="ro-RO"/>
    </w:rPr>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Strong">
    <w:name w:val="Strong"/>
    <w:basedOn w:val="DefaultParagraphFont"/>
    <w:uiPriority w:val="22"/>
    <w:qFormat/>
    <w:rsid w:val="00B6401A"/>
    <w:rPr>
      <w:b/>
      <w:bCs/>
    </w:rPr>
  </w:style>
  <w:style w:type="paragraph" w:styleId="Header">
    <w:name w:val="header"/>
    <w:basedOn w:val="Normal"/>
    <w:link w:val="HeaderChar"/>
    <w:uiPriority w:val="99"/>
    <w:unhideWhenUsed/>
    <w:rsid w:val="00585274"/>
    <w:pPr>
      <w:tabs>
        <w:tab w:val="center" w:pos="4680"/>
        <w:tab w:val="right" w:pos="9360"/>
      </w:tabs>
    </w:pPr>
    <w:rPr>
      <w:rFonts w:ascii="Calibri" w:eastAsia="Calibri" w:hAnsi="Calibri"/>
      <w:sz w:val="22"/>
      <w:szCs w:val="22"/>
      <w:lang w:val="en-US"/>
    </w:rPr>
  </w:style>
  <w:style w:type="character" w:customStyle="1" w:styleId="HeaderChar">
    <w:name w:val="Header Char"/>
    <w:basedOn w:val="DefaultParagraphFont"/>
    <w:link w:val="Header"/>
    <w:uiPriority w:val="99"/>
    <w:rsid w:val="00585274"/>
    <w:rPr>
      <w:rFonts w:ascii="Calibri" w:eastAsia="Calibri" w:hAnsi="Calibri"/>
      <w:sz w:val="22"/>
      <w:szCs w:val="22"/>
      <w:lang w:val="en-US" w:eastAsia="en-US" w:bidi="ar-SA"/>
    </w:rPr>
  </w:style>
  <w:style w:type="character" w:customStyle="1" w:styleId="Heading1Char">
    <w:name w:val="Heading 1 Char"/>
    <w:basedOn w:val="DefaultParagraphFont"/>
    <w:link w:val="Heading1"/>
    <w:rsid w:val="00434A63"/>
    <w:rPr>
      <w:rFonts w:ascii="Arial" w:eastAsia="SimSun" w:hAnsi="Arial" w:cs="Arial"/>
      <w:b/>
      <w:bCs/>
      <w:kern w:val="32"/>
      <w:sz w:val="32"/>
      <w:szCs w:val="32"/>
      <w:lang w:val="en-GB" w:eastAsia="en-US" w:bidi="ar-SA"/>
    </w:rPr>
  </w:style>
  <w:style w:type="paragraph" w:customStyle="1" w:styleId="Listparagraf1">
    <w:name w:val="Listă paragraf1"/>
    <w:basedOn w:val="Normal"/>
    <w:link w:val="ListparagrafCaracter"/>
    <w:qFormat/>
    <w:rsid w:val="00434A63"/>
    <w:pPr>
      <w:spacing w:after="200" w:line="276" w:lineRule="auto"/>
      <w:ind w:left="720"/>
      <w:contextualSpacing/>
    </w:pPr>
    <w:rPr>
      <w:rFonts w:ascii="Calibri" w:eastAsia="Calibri" w:hAnsi="Calibri"/>
      <w:sz w:val="22"/>
      <w:szCs w:val="22"/>
      <w:lang w:val="ro-RO"/>
    </w:rPr>
  </w:style>
  <w:style w:type="character" w:customStyle="1" w:styleId="ListparagrafCaracter">
    <w:name w:val="Listă paragraf Caracter"/>
    <w:basedOn w:val="DefaultParagraphFont"/>
    <w:link w:val="Listparagraf1"/>
    <w:rsid w:val="00434A63"/>
    <w:rPr>
      <w:rFonts w:ascii="Calibri" w:eastAsia="Calibri" w:hAnsi="Calibri"/>
      <w:sz w:val="22"/>
      <w:szCs w:val="22"/>
      <w:lang w:val="ro-RO" w:eastAsia="en-US" w:bidi="ar-SA"/>
    </w:rPr>
  </w:style>
  <w:style w:type="paragraph" w:styleId="BalloonText">
    <w:name w:val="Balloon Text"/>
    <w:basedOn w:val="Normal"/>
    <w:link w:val="BalloonTextChar"/>
    <w:semiHidden/>
    <w:rsid w:val="00B0120E"/>
    <w:rPr>
      <w:rFonts w:ascii="Tahoma" w:hAnsi="Tahoma" w:cs="Tahoma"/>
      <w:sz w:val="16"/>
      <w:szCs w:val="16"/>
    </w:rPr>
  </w:style>
  <w:style w:type="paragraph" w:styleId="BodyTextIndent">
    <w:name w:val="Body Text Indent"/>
    <w:basedOn w:val="Normal"/>
    <w:link w:val="BodyTextIndentChar"/>
    <w:rsid w:val="005701B2"/>
    <w:pPr>
      <w:spacing w:after="120" w:line="276" w:lineRule="auto"/>
      <w:ind w:left="283"/>
    </w:pPr>
    <w:rPr>
      <w:rFonts w:ascii="Calibri" w:eastAsia="Times New Roman" w:hAnsi="Calibri"/>
      <w:sz w:val="22"/>
      <w:szCs w:val="22"/>
      <w:lang w:val="en-US"/>
    </w:rPr>
  </w:style>
  <w:style w:type="character" w:customStyle="1" w:styleId="BodyTextIndentChar">
    <w:name w:val="Body Text Indent Char"/>
    <w:basedOn w:val="DefaultParagraphFont"/>
    <w:link w:val="BodyTextIndent"/>
    <w:rsid w:val="005701B2"/>
    <w:rPr>
      <w:rFonts w:ascii="Calibri" w:hAnsi="Calibri"/>
      <w:sz w:val="22"/>
      <w:szCs w:val="22"/>
      <w:lang w:val="en-US" w:eastAsia="en-US"/>
    </w:rPr>
  </w:style>
  <w:style w:type="paragraph" w:styleId="BodyText">
    <w:name w:val="Body Text"/>
    <w:aliases w:val=" Caracter,Caracter"/>
    <w:basedOn w:val="Normal"/>
    <w:link w:val="BodyTextChar"/>
    <w:rsid w:val="005701B2"/>
    <w:pPr>
      <w:spacing w:after="120" w:line="276" w:lineRule="auto"/>
    </w:pPr>
    <w:rPr>
      <w:rFonts w:ascii="Calibri" w:eastAsia="Times New Roman" w:hAnsi="Calibri"/>
      <w:sz w:val="22"/>
      <w:szCs w:val="22"/>
      <w:lang w:val="en-US"/>
    </w:rPr>
  </w:style>
  <w:style w:type="character" w:customStyle="1" w:styleId="BodyTextChar">
    <w:name w:val="Body Text Char"/>
    <w:aliases w:val=" Caracter Char1,Caracter Char1"/>
    <w:basedOn w:val="DefaultParagraphFont"/>
    <w:link w:val="BodyText"/>
    <w:rsid w:val="005701B2"/>
    <w:rPr>
      <w:rFonts w:ascii="Calibri" w:hAnsi="Calibri"/>
      <w:sz w:val="22"/>
      <w:szCs w:val="22"/>
      <w:lang w:val="en-US" w:eastAsia="en-US"/>
    </w:rPr>
  </w:style>
  <w:style w:type="paragraph" w:styleId="Footer">
    <w:name w:val="footer"/>
    <w:basedOn w:val="Normal"/>
    <w:link w:val="FooterChar"/>
    <w:rsid w:val="005701B2"/>
    <w:pPr>
      <w:tabs>
        <w:tab w:val="center" w:pos="4680"/>
        <w:tab w:val="right" w:pos="9360"/>
      </w:tabs>
    </w:pPr>
    <w:rPr>
      <w:rFonts w:ascii="Calibri" w:eastAsia="Times New Roman" w:hAnsi="Calibri"/>
      <w:sz w:val="22"/>
      <w:szCs w:val="22"/>
      <w:lang w:val="en-US"/>
    </w:rPr>
  </w:style>
  <w:style w:type="character" w:customStyle="1" w:styleId="FooterChar">
    <w:name w:val="Footer Char"/>
    <w:basedOn w:val="DefaultParagraphFont"/>
    <w:link w:val="Footer"/>
    <w:rsid w:val="005701B2"/>
    <w:rPr>
      <w:rFonts w:ascii="Calibri" w:hAnsi="Calibri"/>
      <w:sz w:val="22"/>
      <w:szCs w:val="22"/>
      <w:lang w:val="en-US" w:eastAsia="en-US"/>
    </w:rPr>
  </w:style>
  <w:style w:type="paragraph" w:customStyle="1" w:styleId="Indentcorptext21">
    <w:name w:val="Indent corp text 21"/>
    <w:basedOn w:val="Normal"/>
    <w:rsid w:val="005701B2"/>
    <w:pPr>
      <w:suppressAutoHyphens/>
      <w:ind w:firstLine="720"/>
      <w:jc w:val="both"/>
    </w:pPr>
    <w:rPr>
      <w:rFonts w:eastAsia="Times New Roman"/>
      <w:sz w:val="22"/>
      <w:szCs w:val="20"/>
      <w:lang w:val="ro-RO" w:eastAsia="ar-SA"/>
    </w:rPr>
  </w:style>
  <w:style w:type="paragraph" w:styleId="NormalWeb">
    <w:name w:val="Normal (Web)"/>
    <w:basedOn w:val="Normal"/>
    <w:link w:val="NormalWebChar"/>
    <w:rsid w:val="006B3904"/>
    <w:pPr>
      <w:spacing w:before="100" w:beforeAutospacing="1"/>
      <w:jc w:val="both"/>
    </w:pPr>
    <w:rPr>
      <w:rFonts w:eastAsia="Times New Roman"/>
      <w:color w:val="000000"/>
      <w:lang w:val="ro-RO"/>
    </w:rPr>
  </w:style>
  <w:style w:type="character" w:customStyle="1" w:styleId="NormalWebChar">
    <w:name w:val="Normal (Web) Char"/>
    <w:basedOn w:val="DefaultParagraphFont"/>
    <w:link w:val="NormalWeb"/>
    <w:rsid w:val="006B3904"/>
    <w:rPr>
      <w:color w:val="000000"/>
      <w:sz w:val="24"/>
      <w:szCs w:val="24"/>
      <w:lang w:eastAsia="en-US"/>
    </w:rPr>
  </w:style>
  <w:style w:type="table" w:styleId="TableGrid">
    <w:name w:val="Table Grid"/>
    <w:basedOn w:val="TableNormal"/>
    <w:uiPriority w:val="59"/>
    <w:rsid w:val="006B3904"/>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customStyle="1" w:styleId="TableContents">
    <w:name w:val="Table Contents"/>
    <w:basedOn w:val="Normal"/>
    <w:rsid w:val="00646751"/>
    <w:pPr>
      <w:widowControl w:val="0"/>
      <w:suppressLineNumbers/>
      <w:suppressAutoHyphens/>
    </w:pPr>
    <w:rPr>
      <w:rFonts w:cs="Mangal"/>
      <w:kern w:val="1"/>
      <w:lang w:val="ro-RO" w:eastAsia="hi-IN" w:bidi="hi-IN"/>
    </w:rPr>
  </w:style>
  <w:style w:type="paragraph" w:styleId="Title">
    <w:name w:val="Title"/>
    <w:basedOn w:val="Normal"/>
    <w:link w:val="TitleChar"/>
    <w:qFormat/>
    <w:rsid w:val="006958F0"/>
    <w:pPr>
      <w:jc w:val="center"/>
    </w:pPr>
    <w:rPr>
      <w:rFonts w:eastAsia="Times New Roman"/>
      <w:b/>
      <w:bCs/>
      <w:lang w:val="ro-RO"/>
    </w:rPr>
  </w:style>
  <w:style w:type="character" w:customStyle="1" w:styleId="TitleChar">
    <w:name w:val="Title Char"/>
    <w:basedOn w:val="DefaultParagraphFont"/>
    <w:link w:val="Title"/>
    <w:rsid w:val="006958F0"/>
    <w:rPr>
      <w:b/>
      <w:bCs/>
      <w:sz w:val="24"/>
      <w:szCs w:val="24"/>
      <w:lang w:eastAsia="en-US"/>
    </w:rPr>
  </w:style>
  <w:style w:type="paragraph" w:styleId="ListParagraph">
    <w:name w:val="List Paragraph"/>
    <w:basedOn w:val="Normal"/>
    <w:link w:val="ListParagraphChar"/>
    <w:uiPriority w:val="34"/>
    <w:qFormat/>
    <w:rsid w:val="00201BC0"/>
    <w:pPr>
      <w:ind w:left="720"/>
      <w:contextualSpacing/>
    </w:pPr>
    <w:rPr>
      <w:rFonts w:eastAsia="Times New Roman"/>
      <w:lang w:val="ro-RO" w:eastAsia="ro-RO"/>
    </w:rPr>
  </w:style>
  <w:style w:type="paragraph" w:customStyle="1" w:styleId="BodyText21">
    <w:name w:val="Body Text 21"/>
    <w:basedOn w:val="Normal"/>
    <w:rsid w:val="00201BC0"/>
    <w:pPr>
      <w:widowControl w:val="0"/>
      <w:jc w:val="both"/>
    </w:pPr>
    <w:rPr>
      <w:rFonts w:eastAsia="Times New Roman"/>
      <w:snapToGrid w:val="0"/>
      <w:lang w:val="en-US"/>
    </w:rPr>
  </w:style>
  <w:style w:type="paragraph" w:customStyle="1" w:styleId="CaracterCaracterCharCharCaracterCaracterCharCharCaracterCaracter">
    <w:name w:val="Caracter Caracter Char Char Caracter Caracter Char Char Caracter Caracter"/>
    <w:basedOn w:val="Normal"/>
    <w:rsid w:val="00201BC0"/>
    <w:rPr>
      <w:rFonts w:eastAsia="Times New Roman"/>
      <w:lang w:val="pl-PL" w:eastAsia="pl-PL"/>
    </w:rPr>
  </w:style>
  <w:style w:type="paragraph" w:styleId="BodyText3">
    <w:name w:val="Body Text 3"/>
    <w:basedOn w:val="Normal"/>
    <w:link w:val="BodyText3Char"/>
    <w:rsid w:val="009E3C9A"/>
    <w:pPr>
      <w:spacing w:after="120"/>
    </w:pPr>
    <w:rPr>
      <w:rFonts w:eastAsia="Times New Roman"/>
      <w:sz w:val="16"/>
      <w:szCs w:val="16"/>
      <w:lang w:val="en-AU"/>
    </w:rPr>
  </w:style>
  <w:style w:type="character" w:customStyle="1" w:styleId="BodyText3Char">
    <w:name w:val="Body Text 3 Char"/>
    <w:basedOn w:val="DefaultParagraphFont"/>
    <w:link w:val="BodyText3"/>
    <w:rsid w:val="009E3C9A"/>
    <w:rPr>
      <w:sz w:val="16"/>
      <w:szCs w:val="16"/>
      <w:lang w:val="en-AU" w:eastAsia="en-US"/>
    </w:rPr>
  </w:style>
  <w:style w:type="paragraph" w:styleId="BodyTextIndent2">
    <w:name w:val="Body Text Indent 2"/>
    <w:aliases w:val="Body Text Indent 2 Char Char Char"/>
    <w:basedOn w:val="Normal"/>
    <w:link w:val="BodyTextIndent2Char"/>
    <w:rsid w:val="00BA5EDA"/>
    <w:pPr>
      <w:spacing w:after="120" w:line="480" w:lineRule="auto"/>
      <w:ind w:left="283"/>
    </w:pPr>
  </w:style>
  <w:style w:type="character" w:customStyle="1" w:styleId="BodyTextIndent2Char">
    <w:name w:val="Body Text Indent 2 Char"/>
    <w:aliases w:val="Body Text Indent 2 Char Char Char Char1"/>
    <w:basedOn w:val="DefaultParagraphFont"/>
    <w:link w:val="BodyTextIndent2"/>
    <w:rsid w:val="00BA5EDA"/>
    <w:rPr>
      <w:rFonts w:eastAsia="SimSun"/>
      <w:sz w:val="24"/>
      <w:szCs w:val="24"/>
      <w:lang w:val="en-GB" w:eastAsia="en-US"/>
    </w:rPr>
  </w:style>
  <w:style w:type="paragraph" w:styleId="BodyText2">
    <w:name w:val="Body Text 2"/>
    <w:aliases w:val="Body Text Numbered"/>
    <w:basedOn w:val="Normal"/>
    <w:link w:val="BodyText2Char"/>
    <w:rsid w:val="00BA5EDA"/>
    <w:pPr>
      <w:spacing w:after="120" w:line="480" w:lineRule="auto"/>
    </w:pPr>
  </w:style>
  <w:style w:type="character" w:customStyle="1" w:styleId="BodyText2Char">
    <w:name w:val="Body Text 2 Char"/>
    <w:aliases w:val="Body Text Numbered Char"/>
    <w:basedOn w:val="DefaultParagraphFont"/>
    <w:link w:val="BodyText2"/>
    <w:rsid w:val="00BA5EDA"/>
    <w:rPr>
      <w:rFonts w:eastAsia="SimSun"/>
      <w:sz w:val="24"/>
      <w:szCs w:val="24"/>
      <w:lang w:val="en-GB" w:eastAsia="en-US"/>
    </w:rPr>
  </w:style>
  <w:style w:type="character" w:customStyle="1" w:styleId="content">
    <w:name w:val="content"/>
    <w:basedOn w:val="DefaultParagraphFont"/>
    <w:rsid w:val="00BA5EDA"/>
  </w:style>
  <w:style w:type="paragraph" w:customStyle="1" w:styleId="Level1">
    <w:name w:val="Level 1"/>
    <w:basedOn w:val="Normal"/>
    <w:rsid w:val="00BA5EDA"/>
    <w:pPr>
      <w:widowControl w:val="0"/>
    </w:pPr>
    <w:rPr>
      <w:rFonts w:eastAsia="Times New Roman"/>
      <w:snapToGrid w:val="0"/>
      <w:szCs w:val="20"/>
      <w:lang w:val="en-US"/>
    </w:rPr>
  </w:style>
  <w:style w:type="character" w:customStyle="1" w:styleId="tpt1">
    <w:name w:val="tpt1"/>
    <w:basedOn w:val="DefaultParagraphFont"/>
    <w:rsid w:val="00BA5EDA"/>
  </w:style>
  <w:style w:type="character" w:customStyle="1" w:styleId="do1">
    <w:name w:val="do1"/>
    <w:basedOn w:val="DefaultParagraphFont"/>
    <w:rsid w:val="00BA5EDA"/>
    <w:rPr>
      <w:b/>
      <w:bCs/>
      <w:sz w:val="26"/>
      <w:szCs w:val="26"/>
    </w:rPr>
  </w:style>
  <w:style w:type="character" w:customStyle="1" w:styleId="tli1">
    <w:name w:val="tli1"/>
    <w:basedOn w:val="DefaultParagraphFont"/>
    <w:rsid w:val="00BA5EDA"/>
  </w:style>
  <w:style w:type="character" w:customStyle="1" w:styleId="li1">
    <w:name w:val="li1"/>
    <w:basedOn w:val="DefaultParagraphFont"/>
    <w:rsid w:val="00BA5EDA"/>
    <w:rPr>
      <w:b/>
      <w:bCs/>
      <w:color w:val="8F0000"/>
    </w:rPr>
  </w:style>
  <w:style w:type="paragraph" w:customStyle="1" w:styleId="Default">
    <w:name w:val="Default"/>
    <w:rsid w:val="00BA5EDA"/>
    <w:pPr>
      <w:autoSpaceDE w:val="0"/>
      <w:autoSpaceDN w:val="0"/>
      <w:adjustRightInd w:val="0"/>
    </w:pPr>
    <w:rPr>
      <w:color w:val="000000"/>
      <w:sz w:val="24"/>
      <w:szCs w:val="24"/>
      <w:lang w:val="en-US" w:eastAsia="en-US"/>
    </w:rPr>
  </w:style>
  <w:style w:type="character" w:customStyle="1" w:styleId="tal1">
    <w:name w:val="tal1"/>
    <w:basedOn w:val="DefaultParagraphFont"/>
    <w:rsid w:val="00BA5EDA"/>
  </w:style>
  <w:style w:type="character" w:styleId="Hyperlink">
    <w:name w:val="Hyperlink"/>
    <w:basedOn w:val="DefaultParagraphFont"/>
    <w:rsid w:val="004A6DEE"/>
    <w:rPr>
      <w:color w:val="0000FF"/>
      <w:u w:val="single"/>
    </w:rPr>
  </w:style>
  <w:style w:type="character" w:customStyle="1" w:styleId="Heading2Char">
    <w:name w:val="Heading 2 Char"/>
    <w:basedOn w:val="DefaultParagraphFont"/>
    <w:link w:val="Heading2"/>
    <w:rsid w:val="004A6DEE"/>
    <w:rPr>
      <w:rFonts w:ascii="Cambria" w:eastAsia="Times New Roman" w:hAnsi="Cambria" w:cs="Times New Roman"/>
      <w:b/>
      <w:bCs/>
      <w:i/>
      <w:iCs/>
      <w:sz w:val="28"/>
      <w:szCs w:val="28"/>
      <w:lang w:val="en-GB" w:eastAsia="en-US"/>
    </w:rPr>
  </w:style>
  <w:style w:type="character" w:customStyle="1" w:styleId="Heading3Char">
    <w:name w:val="Heading 3 Char"/>
    <w:basedOn w:val="DefaultParagraphFont"/>
    <w:link w:val="Heading3"/>
    <w:rsid w:val="004A6DEE"/>
    <w:rPr>
      <w:rFonts w:ascii="Cambria" w:eastAsia="Times New Roman" w:hAnsi="Cambria" w:cs="Times New Roman"/>
      <w:b/>
      <w:bCs/>
      <w:sz w:val="26"/>
      <w:szCs w:val="26"/>
      <w:lang w:val="en-GB" w:eastAsia="en-US"/>
    </w:rPr>
  </w:style>
  <w:style w:type="character" w:customStyle="1" w:styleId="tpa1">
    <w:name w:val="tpa1"/>
    <w:basedOn w:val="DefaultParagraphFont"/>
    <w:rsid w:val="004A6DEE"/>
  </w:style>
  <w:style w:type="character" w:styleId="HTMLTypewriter">
    <w:name w:val="HTML Typewriter"/>
    <w:basedOn w:val="DefaultParagraphFont"/>
    <w:rsid w:val="00D60FE2"/>
    <w:rPr>
      <w:rFonts w:ascii="Courier New" w:eastAsia="Times New Roman" w:hAnsi="Courier New" w:cs="Wingdings" w:hint="default"/>
      <w:sz w:val="20"/>
      <w:szCs w:val="20"/>
    </w:rPr>
  </w:style>
  <w:style w:type="paragraph" w:customStyle="1" w:styleId="BodyTextIndent2BodyTextIndent2Char">
    <w:name w:val="Body Text Indent 2.Body Text Indent 2 Char"/>
    <w:basedOn w:val="Normal"/>
    <w:rsid w:val="003F3C6C"/>
    <w:pPr>
      <w:ind w:left="1843"/>
      <w:jc w:val="both"/>
    </w:pPr>
    <w:rPr>
      <w:rFonts w:eastAsia="Times New Roman"/>
      <w:sz w:val="20"/>
      <w:szCs w:val="20"/>
      <w:lang w:val="ro-RO"/>
    </w:rPr>
  </w:style>
  <w:style w:type="character" w:customStyle="1" w:styleId="Heading4Char">
    <w:name w:val="Heading 4 Char"/>
    <w:basedOn w:val="DefaultParagraphFont"/>
    <w:link w:val="Heading4"/>
    <w:rsid w:val="00F42258"/>
    <w:rPr>
      <w:rFonts w:ascii="Calibri" w:eastAsia="Times New Roman" w:hAnsi="Calibri" w:cs="Times New Roman"/>
      <w:b/>
      <w:bCs/>
      <w:sz w:val="28"/>
      <w:szCs w:val="28"/>
      <w:lang w:val="en-GB" w:eastAsia="en-US"/>
    </w:rPr>
  </w:style>
  <w:style w:type="paragraph" w:customStyle="1" w:styleId="CharCaracterCaracterChar">
    <w:name w:val="Char Caracter Caracter Char"/>
    <w:basedOn w:val="Normal"/>
    <w:rsid w:val="00826659"/>
    <w:rPr>
      <w:rFonts w:eastAsia="Times New Roman"/>
      <w:lang w:val="pl-PL" w:eastAsia="pl-PL"/>
    </w:rPr>
  </w:style>
  <w:style w:type="character" w:customStyle="1" w:styleId="Heading7Char">
    <w:name w:val="Heading 7 Char"/>
    <w:basedOn w:val="DefaultParagraphFont"/>
    <w:link w:val="Heading7"/>
    <w:rsid w:val="00826659"/>
    <w:rPr>
      <w:sz w:val="24"/>
      <w:szCs w:val="24"/>
      <w:lang w:eastAsia="en-US"/>
    </w:rPr>
  </w:style>
  <w:style w:type="paragraph" w:styleId="Caption">
    <w:name w:val="caption"/>
    <w:basedOn w:val="Normal"/>
    <w:next w:val="Normal"/>
    <w:unhideWhenUsed/>
    <w:qFormat/>
    <w:rsid w:val="00BE3FD3"/>
    <w:rPr>
      <w:b/>
      <w:bCs/>
      <w:sz w:val="20"/>
      <w:szCs w:val="20"/>
    </w:rPr>
  </w:style>
  <w:style w:type="paragraph" w:customStyle="1" w:styleId="CharChar1">
    <w:name w:val="Char Char1"/>
    <w:basedOn w:val="Normal"/>
    <w:rsid w:val="001C12EF"/>
    <w:rPr>
      <w:rFonts w:eastAsia="Times New Roman"/>
      <w:lang w:val="pl-PL" w:eastAsia="pl-PL"/>
    </w:rPr>
  </w:style>
  <w:style w:type="paragraph" w:customStyle="1" w:styleId="Pa4">
    <w:name w:val="Pa4"/>
    <w:basedOn w:val="Normal"/>
    <w:next w:val="Normal"/>
    <w:rsid w:val="00C3253B"/>
    <w:pPr>
      <w:autoSpaceDE w:val="0"/>
      <w:autoSpaceDN w:val="0"/>
      <w:adjustRightInd w:val="0"/>
      <w:spacing w:line="201" w:lineRule="atLeast"/>
    </w:pPr>
    <w:rPr>
      <w:rFonts w:eastAsia="Times New Roman"/>
      <w:lang w:val="en-US"/>
    </w:rPr>
  </w:style>
  <w:style w:type="character" w:customStyle="1" w:styleId="text1">
    <w:name w:val="text1"/>
    <w:basedOn w:val="DefaultParagraphFont"/>
    <w:rsid w:val="0033258E"/>
    <w:rPr>
      <w:rFonts w:ascii="Verdana" w:hAnsi="Verdana" w:hint="default"/>
      <w:sz w:val="18"/>
      <w:szCs w:val="18"/>
    </w:rPr>
  </w:style>
  <w:style w:type="paragraph" w:customStyle="1" w:styleId="Char">
    <w:name w:val="Char"/>
    <w:basedOn w:val="Normal"/>
    <w:rsid w:val="00EF7C19"/>
    <w:rPr>
      <w:rFonts w:eastAsia="Times New Roman"/>
      <w:lang w:val="pl-PL" w:eastAsia="pl-PL"/>
    </w:rPr>
  </w:style>
  <w:style w:type="paragraph" w:customStyle="1" w:styleId="NormalWeb3">
    <w:name w:val="Normal (Web)3"/>
    <w:basedOn w:val="Default"/>
    <w:next w:val="Default"/>
    <w:rsid w:val="00EF7C19"/>
    <w:pPr>
      <w:spacing w:before="100" w:after="100"/>
    </w:pPr>
    <w:rPr>
      <w:rFonts w:ascii="Arial" w:hAnsi="Arial"/>
      <w:color w:val="auto"/>
    </w:rPr>
  </w:style>
  <w:style w:type="paragraph" w:styleId="DocumentMap">
    <w:name w:val="Document Map"/>
    <w:basedOn w:val="Normal"/>
    <w:link w:val="DocumentMapChar"/>
    <w:rsid w:val="00EF7C19"/>
    <w:pPr>
      <w:shd w:val="clear" w:color="auto" w:fill="000080"/>
    </w:pPr>
    <w:rPr>
      <w:rFonts w:ascii="Tahoma" w:eastAsia="Times New Roman" w:hAnsi="Tahoma" w:cs="Tahoma"/>
      <w:sz w:val="20"/>
      <w:szCs w:val="20"/>
      <w:lang w:val="en-US"/>
    </w:rPr>
  </w:style>
  <w:style w:type="character" w:customStyle="1" w:styleId="DocumentMapChar">
    <w:name w:val="Document Map Char"/>
    <w:basedOn w:val="DefaultParagraphFont"/>
    <w:link w:val="DocumentMap"/>
    <w:rsid w:val="00EF7C19"/>
    <w:rPr>
      <w:rFonts w:ascii="Tahoma" w:hAnsi="Tahoma" w:cs="Tahoma"/>
      <w:shd w:val="clear" w:color="auto" w:fill="000080"/>
      <w:lang w:val="en-US" w:eastAsia="en-US"/>
    </w:rPr>
  </w:style>
  <w:style w:type="character" w:customStyle="1" w:styleId="articlenormal1">
    <w:name w:val="articlenormal1"/>
    <w:basedOn w:val="DefaultParagraphFont"/>
    <w:rsid w:val="00EF7C19"/>
    <w:rPr>
      <w:color w:val="000000"/>
      <w:sz w:val="19"/>
      <w:szCs w:val="19"/>
      <w:shd w:val="clear" w:color="auto" w:fill="auto"/>
    </w:rPr>
  </w:style>
  <w:style w:type="character" w:customStyle="1" w:styleId="BodyTextChar1">
    <w:name w:val="Body Text Char1"/>
    <w:aliases w:val="Body Text Char Char, Caracter Char,Caracter Char"/>
    <w:basedOn w:val="DefaultParagraphFont"/>
    <w:rsid w:val="00EF7C19"/>
    <w:rPr>
      <w:sz w:val="24"/>
      <w:szCs w:val="24"/>
      <w:lang w:val="ro-RO" w:eastAsia="en-US" w:bidi="ar-SA"/>
    </w:rPr>
  </w:style>
  <w:style w:type="character" w:customStyle="1" w:styleId="a">
    <w:name w:val="a"/>
    <w:basedOn w:val="DefaultParagraphFont"/>
    <w:rsid w:val="00EF7C19"/>
  </w:style>
  <w:style w:type="paragraph" w:styleId="BodyTextIndent3">
    <w:name w:val="Body Text Indent 3"/>
    <w:basedOn w:val="Normal"/>
    <w:link w:val="BodyTextIndent3Char"/>
    <w:rsid w:val="00A572A6"/>
    <w:pPr>
      <w:spacing w:after="120"/>
      <w:ind w:left="283"/>
    </w:pPr>
    <w:rPr>
      <w:sz w:val="16"/>
      <w:szCs w:val="16"/>
    </w:rPr>
  </w:style>
  <w:style w:type="character" w:customStyle="1" w:styleId="BodyTextIndent3Char">
    <w:name w:val="Body Text Indent 3 Char"/>
    <w:basedOn w:val="DefaultParagraphFont"/>
    <w:link w:val="BodyTextIndent3"/>
    <w:rsid w:val="00A572A6"/>
    <w:rPr>
      <w:rFonts w:eastAsia="SimSun"/>
      <w:sz w:val="16"/>
      <w:szCs w:val="16"/>
      <w:lang w:val="en-GB" w:eastAsia="en-US"/>
    </w:rPr>
  </w:style>
  <w:style w:type="paragraph" w:customStyle="1" w:styleId="CharCaracterCharCharCharCaracter">
    <w:name w:val="Char Caracter Char Char Char Caracter"/>
    <w:basedOn w:val="Normal"/>
    <w:rsid w:val="00A572A6"/>
    <w:rPr>
      <w:rFonts w:eastAsia="Times New Roman"/>
      <w:lang w:val="pl-PL" w:eastAsia="pl-PL"/>
    </w:rPr>
  </w:style>
  <w:style w:type="paragraph" w:customStyle="1" w:styleId="char0">
    <w:name w:val="char"/>
    <w:basedOn w:val="Normal"/>
    <w:rsid w:val="005638C3"/>
    <w:rPr>
      <w:rFonts w:eastAsia="Times New Roman"/>
      <w:lang w:val="en-US"/>
    </w:rPr>
  </w:style>
  <w:style w:type="character" w:styleId="PageNumber">
    <w:name w:val="page number"/>
    <w:basedOn w:val="DefaultParagraphFont"/>
    <w:rsid w:val="00D438E3"/>
  </w:style>
  <w:style w:type="character" w:customStyle="1" w:styleId="ar1">
    <w:name w:val="ar1"/>
    <w:basedOn w:val="DefaultParagraphFont"/>
    <w:rsid w:val="00D438E3"/>
    <w:rPr>
      <w:b/>
      <w:bCs/>
      <w:color w:val="0000AF"/>
      <w:sz w:val="22"/>
      <w:szCs w:val="22"/>
    </w:rPr>
  </w:style>
  <w:style w:type="character" w:customStyle="1" w:styleId="BalloonTextChar">
    <w:name w:val="Balloon Text Char"/>
    <w:basedOn w:val="DefaultParagraphFont"/>
    <w:link w:val="BalloonText"/>
    <w:semiHidden/>
    <w:rsid w:val="006606E0"/>
    <w:rPr>
      <w:rFonts w:ascii="Tahoma" w:eastAsia="SimSun" w:hAnsi="Tahoma" w:cs="Tahoma"/>
      <w:sz w:val="16"/>
      <w:szCs w:val="16"/>
      <w:lang w:val="en-GB" w:eastAsia="en-US"/>
    </w:rPr>
  </w:style>
  <w:style w:type="character" w:customStyle="1" w:styleId="CharChar15">
    <w:name w:val="Char Char15"/>
    <w:basedOn w:val="DefaultParagraphFont"/>
    <w:rsid w:val="00185FEC"/>
    <w:rPr>
      <w:rFonts w:ascii="Arial" w:eastAsia="SimSun" w:hAnsi="Arial" w:cs="Arial"/>
      <w:b/>
      <w:bCs/>
      <w:kern w:val="32"/>
      <w:sz w:val="32"/>
      <w:szCs w:val="32"/>
      <w:lang w:val="en-GB" w:eastAsia="en-US" w:bidi="ar-SA"/>
    </w:rPr>
  </w:style>
  <w:style w:type="character" w:customStyle="1" w:styleId="CharChar7">
    <w:name w:val="Char Char7"/>
    <w:basedOn w:val="DefaultParagraphFont"/>
    <w:rsid w:val="00185FEC"/>
    <w:rPr>
      <w:rFonts w:ascii="Calibri" w:hAnsi="Calibri"/>
      <w:sz w:val="22"/>
      <w:szCs w:val="22"/>
      <w:lang w:val="en-US" w:eastAsia="en-US"/>
    </w:rPr>
  </w:style>
  <w:style w:type="character" w:customStyle="1" w:styleId="BodyTextIndent2Char1">
    <w:name w:val="Body Text Indent 2 Char1"/>
    <w:aliases w:val="Body Text Indent 2 Char Char Char Char,Body Text Indent 2 Char Char"/>
    <w:basedOn w:val="DefaultParagraphFont"/>
    <w:rsid w:val="00185FEC"/>
    <w:rPr>
      <w:rFonts w:eastAsia="SimSun"/>
      <w:sz w:val="24"/>
      <w:szCs w:val="24"/>
      <w:lang w:val="en-GB" w:eastAsia="en-US" w:bidi="ar-SA"/>
    </w:rPr>
  </w:style>
  <w:style w:type="table" w:styleId="TableGrid8">
    <w:name w:val="Table Grid 8"/>
    <w:basedOn w:val="TableNormal"/>
    <w:rsid w:val="00185FEC"/>
    <w:tblPr>
      <w:tblInd w:w="0" w:type="dxa"/>
      <w:tblBorders>
        <w:top w:val="single" w:sz="6" w:space="0" w:color="000080"/>
        <w:left w:val="single" w:sz="6" w:space="0" w:color="000080"/>
        <w:bottom w:val="single" w:sz="6" w:space="0" w:color="000080"/>
        <w:right w:val="single" w:sz="6" w:space="0" w:color="000080"/>
        <w:insideH w:val="single" w:sz="6" w:space="0" w:color="000080"/>
        <w:insideV w:val="single" w:sz="6" w:space="0" w:color="000080"/>
      </w:tblBorders>
      <w:tblCellMar>
        <w:top w:w="0" w:type="dxa"/>
        <w:left w:w="108" w:type="dxa"/>
        <w:bottom w:w="0" w:type="dxa"/>
        <w:right w:w="108" w:type="dxa"/>
      </w:tblCellMar>
    </w:tblPr>
    <w:tcPr>
      <w:shd w:val="clear" w:color="auto" w:fill="auto"/>
    </w:tcPr>
    <w:tblStylePr w:type="firstRow">
      <w:rPr>
        <w:b/>
        <w:bCs/>
        <w:color w:val="FFFFFF"/>
      </w:rPr>
      <w:tblPr/>
      <w:tcPr>
        <w:tcBorders>
          <w:tl2br w:val="none" w:sz="0" w:space="0" w:color="auto"/>
          <w:tr2bl w:val="none" w:sz="0" w:space="0" w:color="auto"/>
        </w:tcBorders>
        <w:shd w:val="solid" w:color="000080" w:fill="FFFFFF"/>
      </w:tcPr>
    </w:tblStylePr>
    <w:tblStylePr w:type="lastRow">
      <w:rPr>
        <w:b/>
        <w:bCs/>
        <w:color w:val="auto"/>
      </w:rPr>
      <w:tblPr/>
      <w:tcPr>
        <w:tcBorders>
          <w:tl2br w:val="none" w:sz="0" w:space="0" w:color="auto"/>
          <w:tr2bl w:val="none" w:sz="0" w:space="0" w:color="auto"/>
        </w:tcBorders>
      </w:tcPr>
    </w:tblStylePr>
    <w:tblStylePr w:type="lastCol">
      <w:rPr>
        <w:b/>
        <w:bCs/>
        <w:color w:val="auto"/>
      </w:rPr>
      <w:tblPr/>
      <w:tcPr>
        <w:tcBorders>
          <w:tl2br w:val="none" w:sz="0" w:space="0" w:color="auto"/>
          <w:tr2bl w:val="none" w:sz="0" w:space="0" w:color="auto"/>
        </w:tcBorders>
      </w:tcPr>
    </w:tblStylePr>
  </w:style>
  <w:style w:type="character" w:customStyle="1" w:styleId="al1">
    <w:name w:val="al1"/>
    <w:basedOn w:val="DefaultParagraphFont"/>
    <w:rsid w:val="00185FEC"/>
    <w:rPr>
      <w:b/>
      <w:bCs/>
      <w:color w:val="008F00"/>
    </w:rPr>
  </w:style>
  <w:style w:type="character" w:customStyle="1" w:styleId="pt1">
    <w:name w:val="pt1"/>
    <w:basedOn w:val="DefaultParagraphFont"/>
    <w:rsid w:val="00185FEC"/>
    <w:rPr>
      <w:b/>
      <w:bCs/>
      <w:color w:val="8F0000"/>
    </w:rPr>
  </w:style>
  <w:style w:type="paragraph" w:customStyle="1" w:styleId="CaracterCaracterCaracterCharCharCaracterCharCharCaracterCharCharCaracterCarCarCharCharCaracterCharChar">
    <w:name w:val="Caracter Caracter Caracter Char Char Caracter Char Char Caracter Char Char Caracter Car Car Char Char Caracter Char Char"/>
    <w:basedOn w:val="Normal"/>
    <w:uiPriority w:val="99"/>
    <w:rsid w:val="00185FEC"/>
    <w:rPr>
      <w:rFonts w:eastAsia="Times New Roman"/>
      <w:lang w:val="pl-PL" w:eastAsia="pl-PL"/>
    </w:rPr>
  </w:style>
  <w:style w:type="character" w:styleId="FollowedHyperlink">
    <w:name w:val="FollowedHyperlink"/>
    <w:basedOn w:val="DefaultParagraphFont"/>
    <w:rsid w:val="00185FEC"/>
    <w:rPr>
      <w:color w:val="800080"/>
      <w:u w:val="single"/>
    </w:rPr>
  </w:style>
  <w:style w:type="character" w:styleId="Emphasis">
    <w:name w:val="Emphasis"/>
    <w:basedOn w:val="DefaultParagraphFont"/>
    <w:qFormat/>
    <w:rsid w:val="0027418E"/>
    <w:rPr>
      <w:i/>
      <w:iCs/>
    </w:rPr>
  </w:style>
  <w:style w:type="paragraph" w:customStyle="1" w:styleId="Implicit">
    <w:name w:val="Implicit"/>
    <w:rsid w:val="002974F6"/>
    <w:pPr>
      <w:tabs>
        <w:tab w:val="left" w:pos="720"/>
      </w:tabs>
      <w:suppressAutoHyphens/>
      <w:spacing w:after="200" w:line="276" w:lineRule="auto"/>
    </w:pPr>
    <w:rPr>
      <w:color w:val="00000A"/>
      <w:sz w:val="24"/>
      <w:szCs w:val="24"/>
      <w:lang w:val="en-US" w:eastAsia="en-US"/>
    </w:rPr>
  </w:style>
  <w:style w:type="paragraph" w:customStyle="1" w:styleId="Char1CharChar1Char">
    <w:name w:val="Char1 Char Char1 Char"/>
    <w:basedOn w:val="Normal"/>
    <w:uiPriority w:val="99"/>
    <w:rsid w:val="00691934"/>
    <w:pPr>
      <w:tabs>
        <w:tab w:val="left" w:pos="709"/>
      </w:tabs>
      <w:overflowPunct w:val="0"/>
      <w:autoSpaceDE w:val="0"/>
      <w:autoSpaceDN w:val="0"/>
      <w:adjustRightInd w:val="0"/>
      <w:spacing w:line="264" w:lineRule="auto"/>
      <w:textAlignment w:val="baseline"/>
    </w:pPr>
    <w:rPr>
      <w:rFonts w:ascii="Tahoma" w:eastAsia="Times New Roman" w:hAnsi="Tahoma" w:cs="Tahoma"/>
      <w:sz w:val="22"/>
      <w:szCs w:val="22"/>
      <w:lang w:val="pl-PL" w:eastAsia="pl-PL"/>
    </w:rPr>
  </w:style>
  <w:style w:type="paragraph" w:customStyle="1" w:styleId="externalclass684e6937532b40bc957069edaade015e">
    <w:name w:val="externalclass684e6937532b40bc957069edaade015e"/>
    <w:basedOn w:val="Normal"/>
    <w:uiPriority w:val="99"/>
    <w:rsid w:val="00691934"/>
    <w:pPr>
      <w:spacing w:before="100" w:beforeAutospacing="1" w:after="100" w:afterAutospacing="1"/>
    </w:pPr>
    <w:rPr>
      <w:rFonts w:ascii="Calibri" w:eastAsia="Times New Roman" w:hAnsi="Calibri"/>
      <w:lang w:val="en-US"/>
    </w:rPr>
  </w:style>
  <w:style w:type="paragraph" w:customStyle="1" w:styleId="span-24column">
    <w:name w:val="span-24  column"/>
    <w:basedOn w:val="Normal"/>
    <w:uiPriority w:val="99"/>
    <w:rsid w:val="00691934"/>
    <w:pPr>
      <w:spacing w:before="100" w:beforeAutospacing="1" w:after="100" w:afterAutospacing="1"/>
    </w:pPr>
    <w:rPr>
      <w:rFonts w:ascii="Calibri" w:eastAsia="Times New Roman" w:hAnsi="Calibri"/>
      <w:lang w:val="en-US"/>
    </w:rPr>
  </w:style>
  <w:style w:type="paragraph" w:customStyle="1" w:styleId="span-24column0">
    <w:name w:val="span-24 column"/>
    <w:basedOn w:val="Normal"/>
    <w:uiPriority w:val="99"/>
    <w:rsid w:val="00691934"/>
    <w:pPr>
      <w:spacing w:before="100" w:beforeAutospacing="1" w:after="100" w:afterAutospacing="1"/>
    </w:pPr>
    <w:rPr>
      <w:rFonts w:ascii="Calibri" w:eastAsia="Times New Roman" w:hAnsi="Calibri"/>
      <w:lang w:val="en-US"/>
    </w:rPr>
  </w:style>
  <w:style w:type="character" w:customStyle="1" w:styleId="stire">
    <w:name w:val="stire"/>
    <w:basedOn w:val="DefaultParagraphFont"/>
    <w:uiPriority w:val="99"/>
    <w:rsid w:val="00691934"/>
  </w:style>
  <w:style w:type="table" w:styleId="LightShading-Accent5">
    <w:name w:val="Light Shading Accent 5"/>
    <w:basedOn w:val="TableNormal"/>
    <w:uiPriority w:val="99"/>
    <w:rsid w:val="00691934"/>
    <w:rPr>
      <w:rFonts w:ascii="Calibri" w:hAnsi="Calibri" w:cs="Calibri"/>
      <w:color w:val="31849B"/>
      <w:lang w:val="en-US" w:eastAsia="en-US"/>
    </w:rPr>
    <w:tblPr>
      <w:tblStyleRowBandSize w:val="1"/>
      <w:tblStyleColBandSize w:val="1"/>
      <w:tblInd w:w="0" w:type="dxa"/>
      <w:tblBorders>
        <w:top w:val="single" w:sz="8" w:space="0" w:color="4BACC6"/>
        <w:bottom w:val="single" w:sz="8" w:space="0" w:color="4BACC6"/>
      </w:tblBorders>
      <w:tblCellMar>
        <w:top w:w="0" w:type="dxa"/>
        <w:left w:w="108" w:type="dxa"/>
        <w:bottom w:w="0" w:type="dxa"/>
        <w:right w:w="108" w:type="dxa"/>
      </w:tblCellMar>
    </w:tblPr>
    <w:tblStylePr w:type="fir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lastRow">
      <w:pPr>
        <w:spacing w:before="0" w:after="0"/>
      </w:pPr>
      <w:rPr>
        <w:b/>
        <w:bCs/>
      </w:rPr>
      <w:tblPr/>
      <w:tcPr>
        <w:tcBorders>
          <w:top w:val="single" w:sz="8" w:space="0" w:color="4BACC6"/>
          <w:left w:val="nil"/>
          <w:bottom w:val="single" w:sz="8" w:space="0" w:color="4BACC6"/>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2EAF1"/>
      </w:tcPr>
    </w:tblStylePr>
    <w:tblStylePr w:type="band1Horz">
      <w:tblPr/>
      <w:tcPr>
        <w:tcBorders>
          <w:left w:val="nil"/>
          <w:right w:val="nil"/>
          <w:insideH w:val="nil"/>
          <w:insideV w:val="nil"/>
        </w:tcBorders>
        <w:shd w:val="clear" w:color="auto" w:fill="D2EAF1"/>
      </w:tcPr>
    </w:tblStylePr>
  </w:style>
  <w:style w:type="table" w:customStyle="1" w:styleId="LightShading1">
    <w:name w:val="Light Shading1"/>
    <w:uiPriority w:val="99"/>
    <w:rsid w:val="00691934"/>
    <w:rPr>
      <w:rFonts w:ascii="Calibri" w:hAnsi="Calibri" w:cs="Calibri"/>
      <w:color w:val="000000"/>
      <w:lang w:val="en-US" w:eastAsia="en-US"/>
    </w:rPr>
    <w:tblPr>
      <w:tblStyleRowBandSize w:val="1"/>
      <w:tblStyleColBandSize w:val="1"/>
      <w:tblBorders>
        <w:top w:val="single" w:sz="8" w:space="0" w:color="000000"/>
        <w:bottom w:val="single" w:sz="8" w:space="0" w:color="000000"/>
      </w:tblBorders>
      <w:tblCellMar>
        <w:top w:w="0" w:type="dxa"/>
        <w:left w:w="108" w:type="dxa"/>
        <w:bottom w:w="0" w:type="dxa"/>
        <w:right w:w="108" w:type="dxa"/>
      </w:tblCellMar>
    </w:tblPr>
  </w:style>
  <w:style w:type="paragraph" w:customStyle="1" w:styleId="Style8">
    <w:name w:val="Style8"/>
    <w:basedOn w:val="Normal"/>
    <w:rsid w:val="00691934"/>
    <w:pPr>
      <w:widowControl w:val="0"/>
      <w:autoSpaceDE w:val="0"/>
      <w:autoSpaceDN w:val="0"/>
      <w:adjustRightInd w:val="0"/>
      <w:spacing w:line="300" w:lineRule="exact"/>
      <w:ind w:firstLine="706"/>
      <w:jc w:val="both"/>
    </w:pPr>
    <w:rPr>
      <w:rFonts w:eastAsia="Times New Roman"/>
      <w:lang w:val="en-US"/>
    </w:rPr>
  </w:style>
  <w:style w:type="character" w:customStyle="1" w:styleId="FontStyle22">
    <w:name w:val="Font Style22"/>
    <w:basedOn w:val="DefaultParagraphFont"/>
    <w:rsid w:val="00691934"/>
    <w:rPr>
      <w:rFonts w:ascii="Times New Roman" w:hAnsi="Times New Roman" w:cs="Times New Roman"/>
      <w:sz w:val="24"/>
      <w:szCs w:val="24"/>
    </w:rPr>
  </w:style>
  <w:style w:type="paragraph" w:customStyle="1" w:styleId="x95">
    <w:name w:val="x95"/>
    <w:basedOn w:val="Normal"/>
    <w:rsid w:val="00691934"/>
    <w:pPr>
      <w:spacing w:before="100" w:beforeAutospacing="1" w:after="100" w:afterAutospacing="1"/>
    </w:pPr>
    <w:rPr>
      <w:rFonts w:eastAsia="Times New Roman"/>
      <w:lang w:val="ro-RO" w:eastAsia="ro-RO"/>
    </w:rPr>
  </w:style>
  <w:style w:type="paragraph" w:customStyle="1" w:styleId="Listparagraf">
    <w:name w:val="Listă paragraf"/>
    <w:basedOn w:val="Normal"/>
    <w:qFormat/>
    <w:rsid w:val="00D07F84"/>
    <w:pPr>
      <w:spacing w:after="200" w:line="276" w:lineRule="auto"/>
      <w:ind w:left="720"/>
      <w:contextualSpacing/>
    </w:pPr>
    <w:rPr>
      <w:rFonts w:ascii="Calibri" w:eastAsia="Calibri" w:hAnsi="Calibri"/>
      <w:sz w:val="22"/>
      <w:szCs w:val="22"/>
      <w:lang w:val="ro-RO"/>
    </w:rPr>
  </w:style>
  <w:style w:type="paragraph" w:styleId="FootnoteText">
    <w:name w:val="footnote text"/>
    <w:basedOn w:val="Normal"/>
    <w:link w:val="FootnoteTextChar"/>
    <w:uiPriority w:val="99"/>
    <w:rsid w:val="00D07F84"/>
    <w:rPr>
      <w:rFonts w:ascii="Univers Cd (WE)" w:eastAsia="Univers Cd (WE)" w:hAnsi="Univers Cd (WE)"/>
      <w:kern w:val="16"/>
      <w:sz w:val="20"/>
      <w:szCs w:val="20"/>
      <w:lang w:val="en-US"/>
    </w:rPr>
  </w:style>
  <w:style w:type="character" w:customStyle="1" w:styleId="FootnoteTextChar">
    <w:name w:val="Footnote Text Char"/>
    <w:basedOn w:val="DefaultParagraphFont"/>
    <w:link w:val="FootnoteText"/>
    <w:uiPriority w:val="99"/>
    <w:rsid w:val="00D07F84"/>
    <w:rPr>
      <w:rFonts w:ascii="Univers Cd (WE)" w:eastAsia="Univers Cd (WE)" w:hAnsi="Univers Cd (WE)"/>
      <w:kern w:val="16"/>
      <w:lang w:val="en-US" w:eastAsia="en-US"/>
    </w:rPr>
  </w:style>
  <w:style w:type="character" w:styleId="FootnoteReference">
    <w:name w:val="footnote reference"/>
    <w:basedOn w:val="DefaultParagraphFont"/>
    <w:uiPriority w:val="99"/>
    <w:rsid w:val="00D07F84"/>
    <w:rPr>
      <w:vertAlign w:val="superscript"/>
    </w:rPr>
  </w:style>
  <w:style w:type="character" w:customStyle="1" w:styleId="partttl">
    <w:name w:val="p_art_ttl"/>
    <w:basedOn w:val="DefaultParagraphFont"/>
    <w:rsid w:val="00D07F84"/>
    <w:rPr>
      <w:b/>
      <w:bCs/>
      <w:vanish w:val="0"/>
      <w:webHidden w:val="0"/>
      <w:sz w:val="16"/>
      <w:szCs w:val="16"/>
      <w:specVanish w:val="0"/>
    </w:rPr>
  </w:style>
  <w:style w:type="character" w:customStyle="1" w:styleId="part">
    <w:name w:val="p_art"/>
    <w:basedOn w:val="DefaultParagraphFont"/>
    <w:rsid w:val="00D07F84"/>
    <w:rPr>
      <w:vanish w:val="0"/>
      <w:webHidden w:val="0"/>
      <w:specVanish w:val="0"/>
    </w:rPr>
  </w:style>
  <w:style w:type="character" w:customStyle="1" w:styleId="sttlitera">
    <w:name w:val="st_tlitera"/>
    <w:basedOn w:val="DefaultParagraphFont"/>
    <w:rsid w:val="00D07F84"/>
  </w:style>
  <w:style w:type="paragraph" w:customStyle="1" w:styleId="CM4">
    <w:name w:val="CM4"/>
    <w:basedOn w:val="Default"/>
    <w:next w:val="Default"/>
    <w:uiPriority w:val="99"/>
    <w:rsid w:val="00D07F84"/>
    <w:pPr>
      <w:spacing w:before="60" w:after="60"/>
    </w:pPr>
    <w:rPr>
      <w:rFonts w:ascii="EU Albertina" w:hAnsi="EU Albertina"/>
      <w:color w:val="auto"/>
      <w:lang w:val="ro-RO" w:eastAsia="ro-RO"/>
    </w:rPr>
  </w:style>
  <w:style w:type="paragraph" w:customStyle="1" w:styleId="CM1">
    <w:name w:val="CM1"/>
    <w:basedOn w:val="Default"/>
    <w:next w:val="Default"/>
    <w:uiPriority w:val="99"/>
    <w:rsid w:val="00D07F84"/>
    <w:pPr>
      <w:spacing w:before="200" w:after="200"/>
    </w:pPr>
    <w:rPr>
      <w:rFonts w:ascii="EU Albertina" w:hAnsi="EU Albertina"/>
      <w:color w:val="auto"/>
      <w:lang w:val="ro-RO" w:eastAsia="ro-RO"/>
    </w:rPr>
  </w:style>
  <w:style w:type="paragraph" w:customStyle="1" w:styleId="titlu">
    <w:name w:val="titlu"/>
    <w:basedOn w:val="Normal"/>
    <w:rsid w:val="00D07F84"/>
    <w:pPr>
      <w:spacing w:line="360" w:lineRule="atLeast"/>
      <w:jc w:val="both"/>
    </w:pPr>
    <w:rPr>
      <w:rFonts w:ascii="Tahoma" w:eastAsia="Times New Roman" w:hAnsi="Tahoma" w:cs="Tahoma"/>
      <w:b/>
      <w:bCs/>
      <w:color w:val="0099CC"/>
      <w:sz w:val="21"/>
      <w:szCs w:val="21"/>
      <w:lang w:val="ro-RO" w:eastAsia="ro-RO"/>
    </w:rPr>
  </w:style>
  <w:style w:type="paragraph" w:customStyle="1" w:styleId="CM3">
    <w:name w:val="CM3"/>
    <w:basedOn w:val="Default"/>
    <w:next w:val="Default"/>
    <w:uiPriority w:val="99"/>
    <w:rsid w:val="00D07F84"/>
    <w:rPr>
      <w:rFonts w:ascii="EUAlbertina" w:hAnsi="EUAlbertina"/>
      <w:color w:val="auto"/>
      <w:lang w:val="ro-RO" w:eastAsia="ro-RO"/>
    </w:rPr>
  </w:style>
  <w:style w:type="paragraph" w:styleId="NoSpacing">
    <w:name w:val="No Spacing"/>
    <w:uiPriority w:val="1"/>
    <w:qFormat/>
    <w:rsid w:val="00D07F84"/>
    <w:rPr>
      <w:rFonts w:ascii="Calibri" w:eastAsia="Calibri" w:hAnsi="Calibri"/>
      <w:sz w:val="22"/>
      <w:szCs w:val="22"/>
      <w:lang w:eastAsia="en-US"/>
    </w:rPr>
  </w:style>
  <w:style w:type="paragraph" w:customStyle="1" w:styleId="Corptext">
    <w:name w:val="Corp text"/>
    <w:basedOn w:val="Implicit"/>
    <w:rsid w:val="00D07F84"/>
    <w:pPr>
      <w:tabs>
        <w:tab w:val="left" w:pos="1677"/>
      </w:tabs>
      <w:spacing w:after="120" w:line="360" w:lineRule="auto"/>
      <w:jc w:val="both"/>
    </w:pPr>
    <w:rPr>
      <w:rFonts w:ascii="Arial" w:hAnsi="Arial" w:cs="Arial"/>
      <w:sz w:val="20"/>
      <w:szCs w:val="20"/>
      <w:lang w:val="it-IT"/>
    </w:rPr>
  </w:style>
  <w:style w:type="character" w:customStyle="1" w:styleId="Heading5Char">
    <w:name w:val="Heading 5 Char"/>
    <w:basedOn w:val="DefaultParagraphFont"/>
    <w:link w:val="Heading5"/>
    <w:uiPriority w:val="9"/>
    <w:rsid w:val="000F4FEA"/>
    <w:rPr>
      <w:b/>
      <w:bCs/>
      <w:i/>
      <w:iCs/>
      <w:sz w:val="26"/>
      <w:szCs w:val="26"/>
      <w:lang w:eastAsia="en-US"/>
    </w:rPr>
  </w:style>
  <w:style w:type="character" w:customStyle="1" w:styleId="ListParagraphChar">
    <w:name w:val="List Paragraph Char"/>
    <w:link w:val="ListParagraph"/>
    <w:rsid w:val="000F4FEA"/>
    <w:rPr>
      <w:sz w:val="24"/>
      <w:szCs w:val="24"/>
    </w:rPr>
  </w:style>
  <w:style w:type="numbering" w:styleId="111111">
    <w:name w:val="Outline List 2"/>
    <w:basedOn w:val="NoList"/>
    <w:rsid w:val="000F4FEA"/>
    <w:pPr>
      <w:numPr>
        <w:numId w:val="31"/>
      </w:numPr>
    </w:pPr>
  </w:style>
  <w:style w:type="numbering" w:customStyle="1" w:styleId="Listacurent1">
    <w:name w:val="Lista curentă1"/>
    <w:rsid w:val="000F4FEA"/>
    <w:pPr>
      <w:numPr>
        <w:numId w:val="32"/>
      </w:numPr>
    </w:pPr>
  </w:style>
  <w:style w:type="paragraph" w:styleId="TOCHeading">
    <w:name w:val="TOC Heading"/>
    <w:basedOn w:val="Heading1"/>
    <w:next w:val="Normal"/>
    <w:uiPriority w:val="39"/>
    <w:semiHidden/>
    <w:unhideWhenUsed/>
    <w:qFormat/>
    <w:rsid w:val="000F4FEA"/>
    <w:pPr>
      <w:keepLines/>
      <w:spacing w:before="480" w:after="0" w:line="276" w:lineRule="auto"/>
      <w:outlineLvl w:val="9"/>
    </w:pPr>
    <w:rPr>
      <w:rFonts w:ascii="Cambria" w:eastAsia="Times New Roman" w:hAnsi="Cambria" w:cs="Times New Roman"/>
      <w:color w:val="365F91"/>
      <w:kern w:val="0"/>
      <w:sz w:val="28"/>
      <w:szCs w:val="28"/>
      <w:lang w:val="ro-RO" w:eastAsia="ro-RO"/>
    </w:rPr>
  </w:style>
  <w:style w:type="paragraph" w:customStyle="1" w:styleId="Paragraf">
    <w:name w:val="Paragraf"/>
    <w:basedOn w:val="Normal"/>
    <w:rsid w:val="000F4FEA"/>
    <w:pPr>
      <w:tabs>
        <w:tab w:val="left" w:pos="851"/>
        <w:tab w:val="left" w:pos="1418"/>
        <w:tab w:val="num" w:pos="2160"/>
      </w:tabs>
      <w:spacing w:before="40" w:after="40"/>
      <w:ind w:left="2160" w:hanging="180"/>
      <w:jc w:val="both"/>
    </w:pPr>
    <w:rPr>
      <w:rFonts w:ascii="Arial" w:eastAsia="Times New Roman" w:hAnsi="Arial"/>
      <w:szCs w:val="20"/>
      <w:lang w:val="ro-RO"/>
    </w:rPr>
  </w:style>
  <w:style w:type="paragraph" w:styleId="TOC1">
    <w:name w:val="toc 1"/>
    <w:basedOn w:val="Normal"/>
    <w:next w:val="Normal"/>
    <w:autoRedefine/>
    <w:rsid w:val="000F4FEA"/>
    <w:pPr>
      <w:spacing w:after="100"/>
    </w:pPr>
  </w:style>
  <w:style w:type="paragraph" w:styleId="TOC2">
    <w:name w:val="toc 2"/>
    <w:basedOn w:val="Normal"/>
    <w:next w:val="Normal"/>
    <w:autoRedefine/>
    <w:rsid w:val="000F4FEA"/>
    <w:pPr>
      <w:spacing w:after="100"/>
      <w:ind w:left="240"/>
    </w:pPr>
  </w:style>
  <w:style w:type="paragraph" w:styleId="TOC3">
    <w:name w:val="toc 3"/>
    <w:basedOn w:val="Normal"/>
    <w:next w:val="Normal"/>
    <w:autoRedefine/>
    <w:rsid w:val="000F4FEA"/>
    <w:pPr>
      <w:spacing w:after="100"/>
      <w:ind w:left="480"/>
    </w:pPr>
  </w:style>
  <w:style w:type="paragraph" w:styleId="TOC4">
    <w:name w:val="toc 4"/>
    <w:basedOn w:val="Normal"/>
    <w:next w:val="Normal"/>
    <w:autoRedefine/>
    <w:rsid w:val="000F4FEA"/>
    <w:pPr>
      <w:spacing w:after="100"/>
      <w:ind w:left="720"/>
    </w:pPr>
  </w:style>
  <w:style w:type="paragraph" w:styleId="TOC5">
    <w:name w:val="toc 5"/>
    <w:basedOn w:val="Normal"/>
    <w:next w:val="Normal"/>
    <w:autoRedefine/>
    <w:rsid w:val="000F4FEA"/>
    <w:pPr>
      <w:spacing w:after="100"/>
      <w:ind w:left="960"/>
    </w:pPr>
  </w:style>
  <w:style w:type="paragraph" w:styleId="TOC6">
    <w:name w:val="toc 6"/>
    <w:basedOn w:val="Normal"/>
    <w:next w:val="Normal"/>
    <w:autoRedefine/>
    <w:rsid w:val="000F4FEA"/>
    <w:pPr>
      <w:spacing w:after="100"/>
      <w:ind w:left="1200"/>
    </w:pPr>
  </w:style>
  <w:style w:type="paragraph" w:styleId="TOC7">
    <w:name w:val="toc 7"/>
    <w:basedOn w:val="Normal"/>
    <w:next w:val="Normal"/>
    <w:autoRedefine/>
    <w:rsid w:val="000F4FEA"/>
    <w:pPr>
      <w:spacing w:after="100"/>
      <w:ind w:left="1440"/>
    </w:pPr>
  </w:style>
  <w:style w:type="character" w:customStyle="1" w:styleId="apple-converted-space">
    <w:name w:val="apple-converted-space"/>
    <w:basedOn w:val="DefaultParagraphFont"/>
    <w:rsid w:val="000F4FEA"/>
  </w:style>
  <w:style w:type="character" w:customStyle="1" w:styleId="sttart">
    <w:name w:val="st_tart"/>
    <w:basedOn w:val="DefaultParagraphFont"/>
    <w:rsid w:val="000F4FEA"/>
  </w:style>
  <w:style w:type="paragraph" w:customStyle="1" w:styleId="meta">
    <w:name w:val="meta"/>
    <w:basedOn w:val="Normal"/>
    <w:rsid w:val="000F4FEA"/>
    <w:pPr>
      <w:spacing w:before="100" w:beforeAutospacing="1" w:after="100" w:afterAutospacing="1"/>
    </w:pPr>
    <w:rPr>
      <w:rFonts w:eastAsia="Times New Roman"/>
      <w:lang w:val="en-US"/>
    </w:rPr>
  </w:style>
  <w:style w:type="paragraph" w:customStyle="1" w:styleId="CharChar1CaracterCaracter">
    <w:name w:val="Char Char1 Caracter Caracter"/>
    <w:basedOn w:val="Normal"/>
    <w:rsid w:val="000F4FEA"/>
    <w:rPr>
      <w:rFonts w:eastAsia="Times New Roman"/>
      <w:lang w:val="pl-PL" w:eastAsia="pl-PL"/>
    </w:rPr>
  </w:style>
  <w:style w:type="paragraph" w:styleId="BlockText">
    <w:name w:val="Block Text"/>
    <w:basedOn w:val="Normal"/>
    <w:rsid w:val="00012F90"/>
    <w:pPr>
      <w:ind w:left="-851" w:right="-1283" w:firstLine="851"/>
      <w:jc w:val="both"/>
    </w:pPr>
    <w:rPr>
      <w:rFonts w:ascii="Ro Times New Roman" w:eastAsia="Times New Roman" w:hAnsi="Ro Times New Roman"/>
      <w:sz w:val="28"/>
      <w:szCs w:val="20"/>
      <w:lang w:val="en-US"/>
    </w:rPr>
  </w:style>
  <w:style w:type="paragraph" w:customStyle="1" w:styleId="1">
    <w:name w:val="1"/>
    <w:basedOn w:val="Normal"/>
    <w:rsid w:val="003F451C"/>
    <w:pPr>
      <w:spacing w:after="160" w:line="240" w:lineRule="exact"/>
    </w:pPr>
    <w:rPr>
      <w:rFonts w:ascii="Verdana" w:eastAsia="Times New Roman" w:hAnsi="Verdana"/>
      <w:sz w:val="20"/>
      <w:szCs w:val="20"/>
      <w:lang w:val="ro-RO"/>
    </w:rPr>
  </w:style>
  <w:style w:type="paragraph" w:customStyle="1" w:styleId="Textdetabel">
    <w:name w:val="Text de tabel"/>
    <w:basedOn w:val="Normal"/>
    <w:rsid w:val="003F451C"/>
    <w:pPr>
      <w:jc w:val="center"/>
    </w:pPr>
    <w:rPr>
      <w:rFonts w:eastAsia="Times New Roman"/>
      <w:sz w:val="18"/>
      <w:szCs w:val="20"/>
      <w:lang w:val="ro-RO"/>
    </w:rPr>
  </w:style>
</w:styles>
</file>

<file path=word/webSettings.xml><?xml version="1.0" encoding="utf-8"?>
<w:webSettings xmlns:r="http://schemas.openxmlformats.org/officeDocument/2006/relationships" xmlns:w="http://schemas.openxmlformats.org/wordprocessingml/2006/main">
  <w:divs>
    <w:div w:id="101187865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chart" Target="charts/chart19.xml"/><Relationship Id="rId117" Type="http://schemas.openxmlformats.org/officeDocument/2006/relationships/hyperlink" Target="file:///C:\Documents%20and%20Settings\Administrator\Sintact%202.0\cache\Legislatie\temp\00144158.HTM" TargetMode="External"/><Relationship Id="rId21" Type="http://schemas.openxmlformats.org/officeDocument/2006/relationships/chart" Target="charts/chart14.xml"/><Relationship Id="rId42" Type="http://schemas.openxmlformats.org/officeDocument/2006/relationships/chart" Target="charts/chart35.xml"/><Relationship Id="rId47" Type="http://schemas.openxmlformats.org/officeDocument/2006/relationships/chart" Target="charts/chart40.xml"/><Relationship Id="rId63" Type="http://schemas.openxmlformats.org/officeDocument/2006/relationships/chart" Target="charts/chart56.xml"/><Relationship Id="rId68" Type="http://schemas.openxmlformats.org/officeDocument/2006/relationships/chart" Target="charts/chart61.xml"/><Relationship Id="rId84" Type="http://schemas.openxmlformats.org/officeDocument/2006/relationships/chart" Target="charts/chart77.xml"/><Relationship Id="rId89" Type="http://schemas.openxmlformats.org/officeDocument/2006/relationships/hyperlink" Target="http://www.europe-aliens.org/" TargetMode="External"/><Relationship Id="rId112" Type="http://schemas.openxmlformats.org/officeDocument/2006/relationships/chart" Target="charts/chart100.xml"/><Relationship Id="rId133" Type="http://schemas.openxmlformats.org/officeDocument/2006/relationships/chart" Target="charts/chart116.xml"/><Relationship Id="rId138" Type="http://schemas.openxmlformats.org/officeDocument/2006/relationships/chart" Target="charts/chart121.xml"/><Relationship Id="rId16" Type="http://schemas.openxmlformats.org/officeDocument/2006/relationships/chart" Target="charts/chart9.xml"/><Relationship Id="rId107" Type="http://schemas.openxmlformats.org/officeDocument/2006/relationships/chart" Target="charts/chart96.xml"/><Relationship Id="rId11" Type="http://schemas.openxmlformats.org/officeDocument/2006/relationships/chart" Target="charts/chart4.xml"/><Relationship Id="rId32" Type="http://schemas.openxmlformats.org/officeDocument/2006/relationships/chart" Target="charts/chart25.xml"/><Relationship Id="rId37" Type="http://schemas.openxmlformats.org/officeDocument/2006/relationships/chart" Target="charts/chart30.xml"/><Relationship Id="rId53" Type="http://schemas.openxmlformats.org/officeDocument/2006/relationships/chart" Target="charts/chart46.xml"/><Relationship Id="rId58" Type="http://schemas.openxmlformats.org/officeDocument/2006/relationships/chart" Target="charts/chart51.xml"/><Relationship Id="rId74" Type="http://schemas.openxmlformats.org/officeDocument/2006/relationships/chart" Target="charts/chart67.xml"/><Relationship Id="rId79" Type="http://schemas.openxmlformats.org/officeDocument/2006/relationships/chart" Target="charts/chart72.xml"/><Relationship Id="rId102" Type="http://schemas.openxmlformats.org/officeDocument/2006/relationships/chart" Target="charts/chart91.xml"/><Relationship Id="rId123" Type="http://schemas.openxmlformats.org/officeDocument/2006/relationships/chart" Target="charts/chart106.xml"/><Relationship Id="rId128" Type="http://schemas.openxmlformats.org/officeDocument/2006/relationships/chart" Target="charts/chart111.xml"/><Relationship Id="rId144" Type="http://schemas.openxmlformats.org/officeDocument/2006/relationships/fontTable" Target="fontTable.xml"/><Relationship Id="rId5" Type="http://schemas.openxmlformats.org/officeDocument/2006/relationships/webSettings" Target="webSettings.xml"/><Relationship Id="rId90" Type="http://schemas.openxmlformats.org/officeDocument/2006/relationships/chart" Target="charts/chart81.xml"/><Relationship Id="rId95" Type="http://schemas.openxmlformats.org/officeDocument/2006/relationships/chart" Target="charts/chart84.xml"/><Relationship Id="rId22" Type="http://schemas.openxmlformats.org/officeDocument/2006/relationships/chart" Target="charts/chart15.xml"/><Relationship Id="rId27" Type="http://schemas.openxmlformats.org/officeDocument/2006/relationships/chart" Target="charts/chart20.xml"/><Relationship Id="rId43" Type="http://schemas.openxmlformats.org/officeDocument/2006/relationships/chart" Target="charts/chart36.xml"/><Relationship Id="rId48" Type="http://schemas.openxmlformats.org/officeDocument/2006/relationships/chart" Target="charts/chart41.xml"/><Relationship Id="rId64" Type="http://schemas.openxmlformats.org/officeDocument/2006/relationships/chart" Target="charts/chart57.xml"/><Relationship Id="rId69" Type="http://schemas.openxmlformats.org/officeDocument/2006/relationships/chart" Target="charts/chart62.xml"/><Relationship Id="rId113" Type="http://schemas.openxmlformats.org/officeDocument/2006/relationships/hyperlink" Target="file:///C:\Documents%20and%20Settings\Administrator\Sintact%202.0\cache\Legislatie\temp\00144158.HTM" TargetMode="External"/><Relationship Id="rId118" Type="http://schemas.openxmlformats.org/officeDocument/2006/relationships/chart" Target="charts/chart101.xml"/><Relationship Id="rId134" Type="http://schemas.openxmlformats.org/officeDocument/2006/relationships/chart" Target="charts/chart117.xml"/><Relationship Id="rId139" Type="http://schemas.openxmlformats.org/officeDocument/2006/relationships/chart" Target="charts/chart122.xml"/><Relationship Id="rId80" Type="http://schemas.openxmlformats.org/officeDocument/2006/relationships/chart" Target="charts/chart73.xml"/><Relationship Id="rId85" Type="http://schemas.openxmlformats.org/officeDocument/2006/relationships/chart" Target="charts/chart78.xml"/><Relationship Id="rId3" Type="http://schemas.openxmlformats.org/officeDocument/2006/relationships/styles" Target="styles.xml"/><Relationship Id="rId12" Type="http://schemas.openxmlformats.org/officeDocument/2006/relationships/chart" Target="charts/chart5.xml"/><Relationship Id="rId17" Type="http://schemas.openxmlformats.org/officeDocument/2006/relationships/chart" Target="charts/chart10.xml"/><Relationship Id="rId25" Type="http://schemas.openxmlformats.org/officeDocument/2006/relationships/chart" Target="charts/chart18.xml"/><Relationship Id="rId33" Type="http://schemas.openxmlformats.org/officeDocument/2006/relationships/chart" Target="charts/chart26.xml"/><Relationship Id="rId38" Type="http://schemas.openxmlformats.org/officeDocument/2006/relationships/chart" Target="charts/chart31.xml"/><Relationship Id="rId46" Type="http://schemas.openxmlformats.org/officeDocument/2006/relationships/chart" Target="charts/chart39.xml"/><Relationship Id="rId59" Type="http://schemas.openxmlformats.org/officeDocument/2006/relationships/chart" Target="charts/chart52.xml"/><Relationship Id="rId67" Type="http://schemas.openxmlformats.org/officeDocument/2006/relationships/chart" Target="charts/chart60.xml"/><Relationship Id="rId103" Type="http://schemas.openxmlformats.org/officeDocument/2006/relationships/chart" Target="charts/chart92.xml"/><Relationship Id="rId108" Type="http://schemas.openxmlformats.org/officeDocument/2006/relationships/chart" Target="charts/chart97.xml"/><Relationship Id="rId116" Type="http://schemas.openxmlformats.org/officeDocument/2006/relationships/hyperlink" Target="file:///C:\Documents%20and%20Settings\Administrator\Sintact%202.0\cache\Legislatie\temp\00144158.HTM" TargetMode="External"/><Relationship Id="rId124" Type="http://schemas.openxmlformats.org/officeDocument/2006/relationships/chart" Target="charts/chart107.xml"/><Relationship Id="rId129" Type="http://schemas.openxmlformats.org/officeDocument/2006/relationships/chart" Target="charts/chart112.xml"/><Relationship Id="rId137" Type="http://schemas.openxmlformats.org/officeDocument/2006/relationships/chart" Target="charts/chart120.xml"/><Relationship Id="rId20" Type="http://schemas.openxmlformats.org/officeDocument/2006/relationships/chart" Target="charts/chart13.xml"/><Relationship Id="rId41" Type="http://schemas.openxmlformats.org/officeDocument/2006/relationships/chart" Target="charts/chart34.xml"/><Relationship Id="rId54" Type="http://schemas.openxmlformats.org/officeDocument/2006/relationships/chart" Target="charts/chart47.xml"/><Relationship Id="rId62" Type="http://schemas.openxmlformats.org/officeDocument/2006/relationships/chart" Target="charts/chart55.xml"/><Relationship Id="rId70" Type="http://schemas.openxmlformats.org/officeDocument/2006/relationships/chart" Target="charts/chart63.xml"/><Relationship Id="rId75" Type="http://schemas.openxmlformats.org/officeDocument/2006/relationships/chart" Target="charts/chart68.xml"/><Relationship Id="rId83" Type="http://schemas.openxmlformats.org/officeDocument/2006/relationships/chart" Target="charts/chart76.xml"/><Relationship Id="rId88" Type="http://schemas.openxmlformats.org/officeDocument/2006/relationships/image" Target="media/image1.emf"/><Relationship Id="rId91" Type="http://schemas.openxmlformats.org/officeDocument/2006/relationships/chart" Target="charts/chart82.xml"/><Relationship Id="rId96" Type="http://schemas.openxmlformats.org/officeDocument/2006/relationships/chart" Target="charts/chart85.xml"/><Relationship Id="rId111" Type="http://schemas.openxmlformats.org/officeDocument/2006/relationships/chart" Target="charts/chart99.xml"/><Relationship Id="rId132" Type="http://schemas.openxmlformats.org/officeDocument/2006/relationships/chart" Target="charts/chart115.xml"/><Relationship Id="rId140" Type="http://schemas.openxmlformats.org/officeDocument/2006/relationships/chart" Target="charts/chart123.xml"/><Relationship Id="rId145"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chart" Target="charts/chart8.xml"/><Relationship Id="rId23" Type="http://schemas.openxmlformats.org/officeDocument/2006/relationships/chart" Target="charts/chart16.xml"/><Relationship Id="rId28" Type="http://schemas.openxmlformats.org/officeDocument/2006/relationships/chart" Target="charts/chart21.xml"/><Relationship Id="rId36" Type="http://schemas.openxmlformats.org/officeDocument/2006/relationships/chart" Target="charts/chart29.xml"/><Relationship Id="rId49" Type="http://schemas.openxmlformats.org/officeDocument/2006/relationships/chart" Target="charts/chart42.xml"/><Relationship Id="rId57" Type="http://schemas.openxmlformats.org/officeDocument/2006/relationships/chart" Target="charts/chart50.xml"/><Relationship Id="rId106" Type="http://schemas.openxmlformats.org/officeDocument/2006/relationships/chart" Target="charts/chart95.xml"/><Relationship Id="rId114" Type="http://schemas.openxmlformats.org/officeDocument/2006/relationships/hyperlink" Target="file:///C:\Documents%20and%20Settings\Administrator\Sintact%202.0\cache\Legislatie\temp\00144158.HTM" TargetMode="External"/><Relationship Id="rId119" Type="http://schemas.openxmlformats.org/officeDocument/2006/relationships/chart" Target="charts/chart102.xml"/><Relationship Id="rId127" Type="http://schemas.openxmlformats.org/officeDocument/2006/relationships/chart" Target="charts/chart110.xml"/><Relationship Id="rId10" Type="http://schemas.openxmlformats.org/officeDocument/2006/relationships/chart" Target="charts/chart3.xml"/><Relationship Id="rId31" Type="http://schemas.openxmlformats.org/officeDocument/2006/relationships/chart" Target="charts/chart24.xml"/><Relationship Id="rId44" Type="http://schemas.openxmlformats.org/officeDocument/2006/relationships/chart" Target="charts/chart37.xml"/><Relationship Id="rId52" Type="http://schemas.openxmlformats.org/officeDocument/2006/relationships/chart" Target="charts/chart45.xml"/><Relationship Id="rId60" Type="http://schemas.openxmlformats.org/officeDocument/2006/relationships/chart" Target="charts/chart53.xml"/><Relationship Id="rId65" Type="http://schemas.openxmlformats.org/officeDocument/2006/relationships/chart" Target="charts/chart58.xml"/><Relationship Id="rId73" Type="http://schemas.openxmlformats.org/officeDocument/2006/relationships/chart" Target="charts/chart66.xml"/><Relationship Id="rId78" Type="http://schemas.openxmlformats.org/officeDocument/2006/relationships/chart" Target="charts/chart71.xml"/><Relationship Id="rId81" Type="http://schemas.openxmlformats.org/officeDocument/2006/relationships/chart" Target="charts/chart74.xml"/><Relationship Id="rId86" Type="http://schemas.openxmlformats.org/officeDocument/2006/relationships/chart" Target="charts/chart79.xml"/><Relationship Id="rId94" Type="http://schemas.openxmlformats.org/officeDocument/2006/relationships/chart" Target="charts/chart83.xml"/><Relationship Id="rId99" Type="http://schemas.openxmlformats.org/officeDocument/2006/relationships/chart" Target="charts/chart88.xml"/><Relationship Id="rId101" Type="http://schemas.openxmlformats.org/officeDocument/2006/relationships/chart" Target="charts/chart90.xml"/><Relationship Id="rId122" Type="http://schemas.openxmlformats.org/officeDocument/2006/relationships/chart" Target="charts/chart105.xml"/><Relationship Id="rId130" Type="http://schemas.openxmlformats.org/officeDocument/2006/relationships/chart" Target="charts/chart113.xml"/><Relationship Id="rId135" Type="http://schemas.openxmlformats.org/officeDocument/2006/relationships/chart" Target="charts/chart118.xml"/><Relationship Id="rId143" Type="http://schemas.openxmlformats.org/officeDocument/2006/relationships/footer" Target="footer2.xml"/><Relationship Id="rId4" Type="http://schemas.openxmlformats.org/officeDocument/2006/relationships/settings" Target="settings.xml"/><Relationship Id="rId9" Type="http://schemas.openxmlformats.org/officeDocument/2006/relationships/chart" Target="charts/chart2.xml"/><Relationship Id="rId13" Type="http://schemas.openxmlformats.org/officeDocument/2006/relationships/chart" Target="charts/chart6.xml"/><Relationship Id="rId18" Type="http://schemas.openxmlformats.org/officeDocument/2006/relationships/chart" Target="charts/chart11.xml"/><Relationship Id="rId39" Type="http://schemas.openxmlformats.org/officeDocument/2006/relationships/chart" Target="charts/chart32.xml"/><Relationship Id="rId109" Type="http://schemas.openxmlformats.org/officeDocument/2006/relationships/chart" Target="charts/chart98.xml"/><Relationship Id="rId34" Type="http://schemas.openxmlformats.org/officeDocument/2006/relationships/chart" Target="charts/chart27.xml"/><Relationship Id="rId50" Type="http://schemas.openxmlformats.org/officeDocument/2006/relationships/chart" Target="charts/chart43.xml"/><Relationship Id="rId55" Type="http://schemas.openxmlformats.org/officeDocument/2006/relationships/chart" Target="charts/chart48.xml"/><Relationship Id="rId76" Type="http://schemas.openxmlformats.org/officeDocument/2006/relationships/chart" Target="charts/chart69.xml"/><Relationship Id="rId97" Type="http://schemas.openxmlformats.org/officeDocument/2006/relationships/chart" Target="charts/chart86.xml"/><Relationship Id="rId104" Type="http://schemas.openxmlformats.org/officeDocument/2006/relationships/chart" Target="charts/chart93.xml"/><Relationship Id="rId120" Type="http://schemas.openxmlformats.org/officeDocument/2006/relationships/chart" Target="charts/chart103.xml"/><Relationship Id="rId125" Type="http://schemas.openxmlformats.org/officeDocument/2006/relationships/chart" Target="charts/chart108.xml"/><Relationship Id="rId141" Type="http://schemas.openxmlformats.org/officeDocument/2006/relationships/chart" Target="charts/chart124.xml"/><Relationship Id="rId7" Type="http://schemas.openxmlformats.org/officeDocument/2006/relationships/endnotes" Target="endnotes.xml"/><Relationship Id="rId71" Type="http://schemas.openxmlformats.org/officeDocument/2006/relationships/chart" Target="charts/chart64.xml"/><Relationship Id="rId92" Type="http://schemas.openxmlformats.org/officeDocument/2006/relationships/hyperlink" Target="file:///C:\Documents%20and%20Settings\Administrator\sintact%203.0\cache\Legislatie\temp13108442\00157254.htm" TargetMode="External"/><Relationship Id="rId2" Type="http://schemas.openxmlformats.org/officeDocument/2006/relationships/numbering" Target="numbering.xml"/><Relationship Id="rId29" Type="http://schemas.openxmlformats.org/officeDocument/2006/relationships/chart" Target="charts/chart22.xml"/><Relationship Id="rId24" Type="http://schemas.openxmlformats.org/officeDocument/2006/relationships/chart" Target="charts/chart17.xml"/><Relationship Id="rId40" Type="http://schemas.openxmlformats.org/officeDocument/2006/relationships/chart" Target="charts/chart33.xml"/><Relationship Id="rId45" Type="http://schemas.openxmlformats.org/officeDocument/2006/relationships/chart" Target="charts/chart38.xml"/><Relationship Id="rId66" Type="http://schemas.openxmlformats.org/officeDocument/2006/relationships/chart" Target="charts/chart59.xml"/><Relationship Id="rId87" Type="http://schemas.openxmlformats.org/officeDocument/2006/relationships/chart" Target="charts/chart80.xml"/><Relationship Id="rId110" Type="http://schemas.openxmlformats.org/officeDocument/2006/relationships/hyperlink" Target="file:///C:\Documents%20and%20Settings\Deseuri-Waste\Sintact%202.0\cache\Legislatie\temp\00135536.HTM" TargetMode="External"/><Relationship Id="rId115" Type="http://schemas.openxmlformats.org/officeDocument/2006/relationships/hyperlink" Target="file:///C:\Documents%20and%20Settings\Administrator\Sintact%202.0\cache\Legislatie\temp\00144158.HTM" TargetMode="External"/><Relationship Id="rId131" Type="http://schemas.openxmlformats.org/officeDocument/2006/relationships/chart" Target="charts/chart114.xml"/><Relationship Id="rId136" Type="http://schemas.openxmlformats.org/officeDocument/2006/relationships/chart" Target="charts/chart119.xml"/><Relationship Id="rId61" Type="http://schemas.openxmlformats.org/officeDocument/2006/relationships/chart" Target="charts/chart54.xml"/><Relationship Id="rId82" Type="http://schemas.openxmlformats.org/officeDocument/2006/relationships/chart" Target="charts/chart75.xml"/><Relationship Id="rId19" Type="http://schemas.openxmlformats.org/officeDocument/2006/relationships/chart" Target="charts/chart12.xml"/><Relationship Id="rId14" Type="http://schemas.openxmlformats.org/officeDocument/2006/relationships/chart" Target="charts/chart7.xml"/><Relationship Id="rId30" Type="http://schemas.openxmlformats.org/officeDocument/2006/relationships/chart" Target="charts/chart23.xml"/><Relationship Id="rId35" Type="http://schemas.openxmlformats.org/officeDocument/2006/relationships/chart" Target="charts/chart28.xml"/><Relationship Id="rId56" Type="http://schemas.openxmlformats.org/officeDocument/2006/relationships/chart" Target="charts/chart49.xml"/><Relationship Id="rId77" Type="http://schemas.openxmlformats.org/officeDocument/2006/relationships/chart" Target="charts/chart70.xml"/><Relationship Id="rId100" Type="http://schemas.openxmlformats.org/officeDocument/2006/relationships/chart" Target="charts/chart89.xml"/><Relationship Id="rId105" Type="http://schemas.openxmlformats.org/officeDocument/2006/relationships/chart" Target="charts/chart94.xml"/><Relationship Id="rId126" Type="http://schemas.openxmlformats.org/officeDocument/2006/relationships/chart" Target="charts/chart109.xml"/><Relationship Id="rId8" Type="http://schemas.openxmlformats.org/officeDocument/2006/relationships/chart" Target="charts/chart1.xml"/><Relationship Id="rId51" Type="http://schemas.openxmlformats.org/officeDocument/2006/relationships/chart" Target="charts/chart44.xml"/><Relationship Id="rId72" Type="http://schemas.openxmlformats.org/officeDocument/2006/relationships/chart" Target="charts/chart65.xml"/><Relationship Id="rId93" Type="http://schemas.openxmlformats.org/officeDocument/2006/relationships/footer" Target="footer1.xml"/><Relationship Id="rId98" Type="http://schemas.openxmlformats.org/officeDocument/2006/relationships/chart" Target="charts/chart87.xml"/><Relationship Id="rId121" Type="http://schemas.openxmlformats.org/officeDocument/2006/relationships/chart" Target="charts/chart104.xml"/><Relationship Id="rId142" Type="http://schemas.openxmlformats.org/officeDocument/2006/relationships/chart" Target="charts/chart125.xml"/></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Office_Excel_Worksheet1.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Office_Excel_Worksheet10.xlsx"/></Relationships>
</file>

<file path=word/charts/_rels/chart100.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_rels/chart101.xml.rels><?xml version="1.0" encoding="UTF-8" standalone="yes"?>
<Relationships xmlns="http://schemas.openxmlformats.org/package/2006/relationships"><Relationship Id="rId2" Type="http://schemas.openxmlformats.org/officeDocument/2006/relationships/package" Target="../embeddings/Microsoft_Office_Excel_Worksheet99.xlsx"/><Relationship Id="rId1" Type="http://schemas.openxmlformats.org/officeDocument/2006/relationships/themeOverride" Target="../theme/themeOverride13.xml"/></Relationships>
</file>

<file path=word/charts/_rels/chart102.xml.rels><?xml version="1.0" encoding="UTF-8" standalone="yes"?>
<Relationships xmlns="http://schemas.openxmlformats.org/package/2006/relationships"><Relationship Id="rId1" Type="http://schemas.openxmlformats.org/officeDocument/2006/relationships/package" Target="../embeddings/Microsoft_Office_Excel_Worksheet100.xlsx"/></Relationships>
</file>

<file path=word/charts/_rels/chart103.xml.rels><?xml version="1.0" encoding="UTF-8" standalone="yes"?>
<Relationships xmlns="http://schemas.openxmlformats.org/package/2006/relationships"><Relationship Id="rId1" Type="http://schemas.openxmlformats.org/officeDocument/2006/relationships/package" Target="../embeddings/Microsoft_Office_Excel_Worksheet101.xlsx"/></Relationships>
</file>

<file path=word/charts/_rels/chart104.xml.rels><?xml version="1.0" encoding="UTF-8" standalone="yes"?>
<Relationships xmlns="http://schemas.openxmlformats.org/package/2006/relationships"><Relationship Id="rId1" Type="http://schemas.openxmlformats.org/officeDocument/2006/relationships/package" Target="../embeddings/Microsoft_Office_Excel_Worksheet102.xlsx"/></Relationships>
</file>

<file path=word/charts/_rels/chart105.xml.rels><?xml version="1.0" encoding="UTF-8" standalone="yes"?>
<Relationships xmlns="http://schemas.openxmlformats.org/package/2006/relationships"><Relationship Id="rId1" Type="http://schemas.openxmlformats.org/officeDocument/2006/relationships/package" Target="../embeddings/Microsoft_Office_Excel_Worksheet103.xlsx"/></Relationships>
</file>

<file path=word/charts/_rels/chart106.xml.rels><?xml version="1.0" encoding="UTF-8" standalone="yes"?>
<Relationships xmlns="http://schemas.openxmlformats.org/package/2006/relationships"><Relationship Id="rId1" Type="http://schemas.openxmlformats.org/officeDocument/2006/relationships/package" Target="../embeddings/Microsoft_Office_Excel_Worksheet104.xlsx"/></Relationships>
</file>

<file path=word/charts/_rels/chart107.xml.rels><?xml version="1.0" encoding="UTF-8" standalone="yes"?>
<Relationships xmlns="http://schemas.openxmlformats.org/package/2006/relationships"><Relationship Id="rId1" Type="http://schemas.openxmlformats.org/officeDocument/2006/relationships/package" Target="../embeddings/Microsoft_Office_Excel_Worksheet105.xlsx"/></Relationships>
</file>

<file path=word/charts/_rels/chart108.xml.rels><?xml version="1.0" encoding="UTF-8" standalone="yes"?>
<Relationships xmlns="http://schemas.openxmlformats.org/package/2006/relationships"><Relationship Id="rId1" Type="http://schemas.openxmlformats.org/officeDocument/2006/relationships/package" Target="../embeddings/Microsoft_Office_Excel_Worksheet106.xlsx"/></Relationships>
</file>

<file path=word/charts/_rels/chart109.xml.rels><?xml version="1.0" encoding="UTF-8" standalone="yes"?>
<Relationships xmlns="http://schemas.openxmlformats.org/package/2006/relationships"><Relationship Id="rId2" Type="http://schemas.openxmlformats.org/officeDocument/2006/relationships/package" Target="../embeddings/Microsoft_Office_Excel_Worksheet107.xlsx"/><Relationship Id="rId1" Type="http://schemas.openxmlformats.org/officeDocument/2006/relationships/themeOverride" Target="../theme/themeOverride14.xml"/></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Office_Excel_Worksheet11.xlsx"/></Relationships>
</file>

<file path=word/charts/_rels/chart110.xml.rels><?xml version="1.0" encoding="UTF-8" standalone="yes"?>
<Relationships xmlns="http://schemas.openxmlformats.org/package/2006/relationships"><Relationship Id="rId2" Type="http://schemas.openxmlformats.org/officeDocument/2006/relationships/package" Target="../embeddings/Microsoft_Office_Excel_Worksheet108.xlsx"/><Relationship Id="rId1" Type="http://schemas.openxmlformats.org/officeDocument/2006/relationships/themeOverride" Target="../theme/themeOverride15.xml"/></Relationships>
</file>

<file path=word/charts/_rels/chart111.xml.rels><?xml version="1.0" encoding="UTF-8" standalone="yes"?>
<Relationships xmlns="http://schemas.openxmlformats.org/package/2006/relationships"><Relationship Id="rId2" Type="http://schemas.openxmlformats.org/officeDocument/2006/relationships/package" Target="../embeddings/Microsoft_Office_Excel_Worksheet109.xlsx"/><Relationship Id="rId1" Type="http://schemas.openxmlformats.org/officeDocument/2006/relationships/themeOverride" Target="../theme/themeOverride16.xml"/></Relationships>
</file>

<file path=word/charts/_rels/chart112.xml.rels><?xml version="1.0" encoding="UTF-8" standalone="yes"?>
<Relationships xmlns="http://schemas.openxmlformats.org/package/2006/relationships"><Relationship Id="rId2" Type="http://schemas.openxmlformats.org/officeDocument/2006/relationships/package" Target="../embeddings/Microsoft_Office_Excel_Worksheet110.xlsx"/><Relationship Id="rId1" Type="http://schemas.openxmlformats.org/officeDocument/2006/relationships/themeOverride" Target="../theme/themeOverride17.xml"/></Relationships>
</file>

<file path=word/charts/_rels/chart113.xml.rels><?xml version="1.0" encoding="UTF-8" standalone="yes"?>
<Relationships xmlns="http://schemas.openxmlformats.org/package/2006/relationships"><Relationship Id="rId2" Type="http://schemas.openxmlformats.org/officeDocument/2006/relationships/package" Target="../embeddings/Microsoft_Office_Excel_Worksheet111.xlsx"/><Relationship Id="rId1" Type="http://schemas.openxmlformats.org/officeDocument/2006/relationships/themeOverride" Target="../theme/themeOverride18.xml"/></Relationships>
</file>

<file path=word/charts/_rels/chart114.xml.rels><?xml version="1.0" encoding="UTF-8" standalone="yes"?>
<Relationships xmlns="http://schemas.openxmlformats.org/package/2006/relationships"><Relationship Id="rId2" Type="http://schemas.openxmlformats.org/officeDocument/2006/relationships/package" Target="../embeddings/Microsoft_Office_Excel_Worksheet112.xlsx"/><Relationship Id="rId1" Type="http://schemas.openxmlformats.org/officeDocument/2006/relationships/themeOverride" Target="../theme/themeOverride19.xml"/></Relationships>
</file>

<file path=word/charts/_rels/chart115.xml.rels><?xml version="1.0" encoding="UTF-8" standalone="yes"?>
<Relationships xmlns="http://schemas.openxmlformats.org/package/2006/relationships"><Relationship Id="rId2" Type="http://schemas.openxmlformats.org/officeDocument/2006/relationships/package" Target="../embeddings/Microsoft_Office_Excel_Worksheet113.xlsx"/><Relationship Id="rId1" Type="http://schemas.openxmlformats.org/officeDocument/2006/relationships/themeOverride" Target="../theme/themeOverride20.xml"/></Relationships>
</file>

<file path=word/charts/_rels/chart116.xml.rels><?xml version="1.0" encoding="UTF-8" standalone="yes"?>
<Relationships xmlns="http://schemas.openxmlformats.org/package/2006/relationships"><Relationship Id="rId2" Type="http://schemas.openxmlformats.org/officeDocument/2006/relationships/package" Target="../embeddings/Microsoft_Office_Excel_Worksheet114.xlsx"/><Relationship Id="rId1" Type="http://schemas.openxmlformats.org/officeDocument/2006/relationships/themeOverride" Target="../theme/themeOverride21.xml"/></Relationships>
</file>

<file path=word/charts/_rels/chart117.xml.rels><?xml version="1.0" encoding="UTF-8" standalone="yes"?>
<Relationships xmlns="http://schemas.openxmlformats.org/package/2006/relationships"><Relationship Id="rId2" Type="http://schemas.openxmlformats.org/officeDocument/2006/relationships/package" Target="../embeddings/Microsoft_Office_Excel_Worksheet115.xlsx"/><Relationship Id="rId1" Type="http://schemas.openxmlformats.org/officeDocument/2006/relationships/themeOverride" Target="../theme/themeOverride22.xml"/></Relationships>
</file>

<file path=word/charts/_rels/chart118.xml.rels><?xml version="1.0" encoding="UTF-8" standalone="yes"?>
<Relationships xmlns="http://schemas.openxmlformats.org/package/2006/relationships"><Relationship Id="rId2" Type="http://schemas.openxmlformats.org/officeDocument/2006/relationships/package" Target="../embeddings/Microsoft_Office_Excel_Worksheet116.xlsx"/><Relationship Id="rId1" Type="http://schemas.openxmlformats.org/officeDocument/2006/relationships/themeOverride" Target="../theme/themeOverride23.xml"/></Relationships>
</file>

<file path=word/charts/_rels/chart119.xml.rels><?xml version="1.0" encoding="UTF-8" standalone="yes"?>
<Relationships xmlns="http://schemas.openxmlformats.org/package/2006/relationships"><Relationship Id="rId2" Type="http://schemas.openxmlformats.org/officeDocument/2006/relationships/package" Target="../embeddings/Microsoft_Office_Excel_Worksheet117.xlsx"/><Relationship Id="rId1" Type="http://schemas.openxmlformats.org/officeDocument/2006/relationships/themeOverride" Target="../theme/themeOverride24.xml"/></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Office_Excel_Worksheet12.xlsx"/></Relationships>
</file>

<file path=word/charts/_rels/chart120.xml.rels><?xml version="1.0" encoding="UTF-8" standalone="yes"?>
<Relationships xmlns="http://schemas.openxmlformats.org/package/2006/relationships"><Relationship Id="rId1" Type="http://schemas.openxmlformats.org/officeDocument/2006/relationships/package" Target="../embeddings/Microsoft_Office_Excel_Worksheet118.xlsx"/></Relationships>
</file>

<file path=word/charts/_rels/chart121.xml.rels><?xml version="1.0" encoding="UTF-8" standalone="yes"?>
<Relationships xmlns="http://schemas.openxmlformats.org/package/2006/relationships"><Relationship Id="rId1" Type="http://schemas.openxmlformats.org/officeDocument/2006/relationships/oleObject" Target="NULL" TargetMode="External"/></Relationships>
</file>

<file path=word/charts/_rels/chart122.xml.rels><?xml version="1.0" encoding="UTF-8" standalone="yes"?>
<Relationships xmlns="http://schemas.openxmlformats.org/package/2006/relationships"><Relationship Id="rId1" Type="http://schemas.openxmlformats.org/officeDocument/2006/relationships/package" Target="../embeddings/Microsoft_Office_Excel_Worksheet119.xlsx"/></Relationships>
</file>

<file path=word/charts/_rels/chart123.xml.rels><?xml version="1.0" encoding="UTF-8" standalone="yes"?>
<Relationships xmlns="http://schemas.openxmlformats.org/package/2006/relationships"><Relationship Id="rId2" Type="http://schemas.openxmlformats.org/officeDocument/2006/relationships/package" Target="../embeddings/Microsoft_Office_Excel_Worksheet120.xlsx"/><Relationship Id="rId1" Type="http://schemas.openxmlformats.org/officeDocument/2006/relationships/themeOverride" Target="../theme/themeOverride25.xml"/></Relationships>
</file>

<file path=word/charts/_rels/chart124.xml.rels><?xml version="1.0" encoding="UTF-8" standalone="yes"?>
<Relationships xmlns="http://schemas.openxmlformats.org/package/2006/relationships"><Relationship Id="rId1" Type="http://schemas.openxmlformats.org/officeDocument/2006/relationships/package" Target="../embeddings/Microsoft_Office_Excel_Worksheet121.xlsx"/></Relationships>
</file>

<file path=word/charts/_rels/chart125.xml.rels><?xml version="1.0" encoding="UTF-8" standalone="yes"?>
<Relationships xmlns="http://schemas.openxmlformats.org/package/2006/relationships"><Relationship Id="rId1" Type="http://schemas.openxmlformats.org/officeDocument/2006/relationships/package" Target="../embeddings/Microsoft_Office_Excel_Worksheet122.xlsx"/></Relationships>
</file>

<file path=word/charts/_rels/chart13.xml.rels><?xml version="1.0" encoding="UTF-8" standalone="yes"?>
<Relationships xmlns="http://schemas.openxmlformats.org/package/2006/relationships"><Relationship Id="rId2" Type="http://schemas.openxmlformats.org/officeDocument/2006/relationships/package" Target="../embeddings/Microsoft_Office_Excel_Worksheet13.xlsx"/><Relationship Id="rId1" Type="http://schemas.openxmlformats.org/officeDocument/2006/relationships/themeOverride" Target="../theme/themeOverride2.xml"/></Relationships>
</file>

<file path=word/charts/_rels/chart14.xml.rels><?xml version="1.0" encoding="UTF-8" standalone="yes"?>
<Relationships xmlns="http://schemas.openxmlformats.org/package/2006/relationships"><Relationship Id="rId2" Type="http://schemas.openxmlformats.org/officeDocument/2006/relationships/chartUserShapes" Target="../drawings/drawing1.xml"/><Relationship Id="rId1" Type="http://schemas.openxmlformats.org/officeDocument/2006/relationships/package" Target="../embeddings/Microsoft_Office_Excel_Worksheet14.xlsx"/></Relationships>
</file>

<file path=word/charts/_rels/chart15.xml.rels><?xml version="1.0" encoding="UTF-8" standalone="yes"?>
<Relationships xmlns="http://schemas.openxmlformats.org/package/2006/relationships"><Relationship Id="rId1" Type="http://schemas.openxmlformats.org/officeDocument/2006/relationships/package" Target="../embeddings/Microsoft_Office_Excel_Worksheet15.xlsx"/></Relationships>
</file>

<file path=word/charts/_rels/chart16.xml.rels><?xml version="1.0" encoding="UTF-8" standalone="yes"?>
<Relationships xmlns="http://schemas.openxmlformats.org/package/2006/relationships"><Relationship Id="rId1" Type="http://schemas.openxmlformats.org/officeDocument/2006/relationships/package" Target="../embeddings/Microsoft_Office_Excel_Worksheet16.xlsx"/></Relationships>
</file>

<file path=word/charts/_rels/chart17.xml.rels><?xml version="1.0" encoding="UTF-8" standalone="yes"?>
<Relationships xmlns="http://schemas.openxmlformats.org/package/2006/relationships"><Relationship Id="rId1" Type="http://schemas.openxmlformats.org/officeDocument/2006/relationships/package" Target="../embeddings/Microsoft_Office_Excel_Worksheet17.xlsx"/></Relationships>
</file>

<file path=word/charts/_rels/chart18.xml.rels><?xml version="1.0" encoding="UTF-8" standalone="yes"?>
<Relationships xmlns="http://schemas.openxmlformats.org/package/2006/relationships"><Relationship Id="rId1" Type="http://schemas.openxmlformats.org/officeDocument/2006/relationships/package" Target="../embeddings/Microsoft_Office_Excel_Worksheet18.xlsx"/></Relationships>
</file>

<file path=word/charts/_rels/chart19.xml.rels><?xml version="1.0" encoding="UTF-8" standalone="yes"?>
<Relationships xmlns="http://schemas.openxmlformats.org/package/2006/relationships"><Relationship Id="rId1" Type="http://schemas.openxmlformats.org/officeDocument/2006/relationships/package" Target="../embeddings/Microsoft_Office_Excel_Worksheet19.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Office_Excel_Worksheet2.xlsx"/></Relationships>
</file>

<file path=word/charts/_rels/chart20.xml.rels><?xml version="1.0" encoding="UTF-8" standalone="yes"?>
<Relationships xmlns="http://schemas.openxmlformats.org/package/2006/relationships"><Relationship Id="rId1" Type="http://schemas.openxmlformats.org/officeDocument/2006/relationships/package" Target="../embeddings/Microsoft_Office_Excel_Worksheet20.xlsx"/></Relationships>
</file>

<file path=word/charts/_rels/chart21.xml.rels><?xml version="1.0" encoding="UTF-8" standalone="yes"?>
<Relationships xmlns="http://schemas.openxmlformats.org/package/2006/relationships"><Relationship Id="rId1" Type="http://schemas.openxmlformats.org/officeDocument/2006/relationships/package" Target="../embeddings/Microsoft_Office_Excel_Worksheet21.xlsx"/></Relationships>
</file>

<file path=word/charts/_rels/chart22.xml.rels><?xml version="1.0" encoding="UTF-8" standalone="yes"?>
<Relationships xmlns="http://schemas.openxmlformats.org/package/2006/relationships"><Relationship Id="rId1" Type="http://schemas.openxmlformats.org/officeDocument/2006/relationships/package" Target="../embeddings/Microsoft_Office_Excel_Worksheet22.xlsx"/></Relationships>
</file>

<file path=word/charts/_rels/chart23.xml.rels><?xml version="1.0" encoding="UTF-8" standalone="yes"?>
<Relationships xmlns="http://schemas.openxmlformats.org/package/2006/relationships"><Relationship Id="rId1" Type="http://schemas.openxmlformats.org/officeDocument/2006/relationships/package" Target="../embeddings/Microsoft_Office_Excel_Worksheet23.xlsx"/></Relationships>
</file>

<file path=word/charts/_rels/chart24.xml.rels><?xml version="1.0" encoding="UTF-8" standalone="yes"?>
<Relationships xmlns="http://schemas.openxmlformats.org/package/2006/relationships"><Relationship Id="rId1" Type="http://schemas.openxmlformats.org/officeDocument/2006/relationships/package" Target="../embeddings/Microsoft_Office_Excel_Worksheet24.xlsx"/></Relationships>
</file>

<file path=word/charts/_rels/chart25.xml.rels><?xml version="1.0" encoding="UTF-8" standalone="yes"?>
<Relationships xmlns="http://schemas.openxmlformats.org/package/2006/relationships"><Relationship Id="rId1" Type="http://schemas.openxmlformats.org/officeDocument/2006/relationships/package" Target="../embeddings/Microsoft_Office_Excel_Worksheet25.xlsx"/></Relationships>
</file>

<file path=word/charts/_rels/chart26.xml.rels><?xml version="1.0" encoding="UTF-8" standalone="yes"?>
<Relationships xmlns="http://schemas.openxmlformats.org/package/2006/relationships"><Relationship Id="rId1" Type="http://schemas.openxmlformats.org/officeDocument/2006/relationships/package" Target="../embeddings/Microsoft_Office_Excel_Worksheet26.xlsx"/></Relationships>
</file>

<file path=word/charts/_rels/chart27.xml.rels><?xml version="1.0" encoding="UTF-8" standalone="yes"?>
<Relationships xmlns="http://schemas.openxmlformats.org/package/2006/relationships"><Relationship Id="rId1" Type="http://schemas.openxmlformats.org/officeDocument/2006/relationships/package" Target="../embeddings/Microsoft_Office_Excel_Worksheet27.xlsx"/></Relationships>
</file>

<file path=word/charts/_rels/chart28.xml.rels><?xml version="1.0" encoding="UTF-8" standalone="yes"?>
<Relationships xmlns="http://schemas.openxmlformats.org/package/2006/relationships"><Relationship Id="rId1" Type="http://schemas.openxmlformats.org/officeDocument/2006/relationships/package" Target="../embeddings/Microsoft_Office_Excel_Worksheet28.xlsx"/></Relationships>
</file>

<file path=word/charts/_rels/chart29.xml.rels><?xml version="1.0" encoding="UTF-8" standalone="yes"?>
<Relationships xmlns="http://schemas.openxmlformats.org/package/2006/relationships"><Relationship Id="rId1" Type="http://schemas.openxmlformats.org/officeDocument/2006/relationships/package" Target="../embeddings/Microsoft_Office_Excel_Worksheet29.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Office_Excel_Worksheet3.xlsx"/></Relationships>
</file>

<file path=word/charts/_rels/chart30.xml.rels><?xml version="1.0" encoding="UTF-8" standalone="yes"?>
<Relationships xmlns="http://schemas.openxmlformats.org/package/2006/relationships"><Relationship Id="rId1" Type="http://schemas.openxmlformats.org/officeDocument/2006/relationships/package" Target="../embeddings/Microsoft_Office_Excel_Worksheet30.xlsx"/></Relationships>
</file>

<file path=word/charts/_rels/chart31.xml.rels><?xml version="1.0" encoding="UTF-8" standalone="yes"?>
<Relationships xmlns="http://schemas.openxmlformats.org/package/2006/relationships"><Relationship Id="rId1" Type="http://schemas.openxmlformats.org/officeDocument/2006/relationships/package" Target="../embeddings/Microsoft_Office_Excel_Worksheet31.xlsx"/></Relationships>
</file>

<file path=word/charts/_rels/chart32.xml.rels><?xml version="1.0" encoding="UTF-8" standalone="yes"?>
<Relationships xmlns="http://schemas.openxmlformats.org/package/2006/relationships"><Relationship Id="rId1" Type="http://schemas.openxmlformats.org/officeDocument/2006/relationships/package" Target="../embeddings/Microsoft_Office_Excel_Worksheet32.xlsx"/></Relationships>
</file>

<file path=word/charts/_rels/chart33.xml.rels><?xml version="1.0" encoding="UTF-8" standalone="yes"?>
<Relationships xmlns="http://schemas.openxmlformats.org/package/2006/relationships"><Relationship Id="rId1" Type="http://schemas.openxmlformats.org/officeDocument/2006/relationships/package" Target="../embeddings/Microsoft_Office_Excel_Worksheet33.xlsx"/></Relationships>
</file>

<file path=word/charts/_rels/chart34.xml.rels><?xml version="1.0" encoding="UTF-8" standalone="yes"?>
<Relationships xmlns="http://schemas.openxmlformats.org/package/2006/relationships"><Relationship Id="rId1" Type="http://schemas.openxmlformats.org/officeDocument/2006/relationships/package" Target="../embeddings/Microsoft_Office_Excel_Worksheet34.xlsx"/></Relationships>
</file>

<file path=word/charts/_rels/chart35.xml.rels><?xml version="1.0" encoding="UTF-8" standalone="yes"?>
<Relationships xmlns="http://schemas.openxmlformats.org/package/2006/relationships"><Relationship Id="rId1" Type="http://schemas.openxmlformats.org/officeDocument/2006/relationships/package" Target="../embeddings/Microsoft_Office_Excel_Worksheet35.xlsx"/></Relationships>
</file>

<file path=word/charts/_rels/chart36.xml.rels><?xml version="1.0" encoding="UTF-8" standalone="yes"?>
<Relationships xmlns="http://schemas.openxmlformats.org/package/2006/relationships"><Relationship Id="rId1" Type="http://schemas.openxmlformats.org/officeDocument/2006/relationships/package" Target="../embeddings/Microsoft_Office_Excel_Worksheet36.xlsx"/></Relationships>
</file>

<file path=word/charts/_rels/chart37.xml.rels><?xml version="1.0" encoding="UTF-8" standalone="yes"?>
<Relationships xmlns="http://schemas.openxmlformats.org/package/2006/relationships"><Relationship Id="rId1" Type="http://schemas.openxmlformats.org/officeDocument/2006/relationships/package" Target="../embeddings/Microsoft_Office_Excel_Worksheet37.xlsx"/></Relationships>
</file>

<file path=word/charts/_rels/chart38.xml.rels><?xml version="1.0" encoding="UTF-8" standalone="yes"?>
<Relationships xmlns="http://schemas.openxmlformats.org/package/2006/relationships"><Relationship Id="rId1" Type="http://schemas.openxmlformats.org/officeDocument/2006/relationships/package" Target="../embeddings/Microsoft_Office_Excel_Worksheet38.xlsx"/></Relationships>
</file>

<file path=word/charts/_rels/chart39.xml.rels><?xml version="1.0" encoding="UTF-8" standalone="yes"?>
<Relationships xmlns="http://schemas.openxmlformats.org/package/2006/relationships"><Relationship Id="rId1" Type="http://schemas.openxmlformats.org/officeDocument/2006/relationships/package" Target="../embeddings/Microsoft_Office_Excel_Worksheet39.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Office_Excel_Worksheet4.xlsx"/></Relationships>
</file>

<file path=word/charts/_rels/chart40.xml.rels><?xml version="1.0" encoding="UTF-8" standalone="yes"?>
<Relationships xmlns="http://schemas.openxmlformats.org/package/2006/relationships"><Relationship Id="rId1" Type="http://schemas.openxmlformats.org/officeDocument/2006/relationships/package" Target="../embeddings/Microsoft_Office_Excel_Worksheet40.xlsx"/></Relationships>
</file>

<file path=word/charts/_rels/chart41.xml.rels><?xml version="1.0" encoding="UTF-8" standalone="yes"?>
<Relationships xmlns="http://schemas.openxmlformats.org/package/2006/relationships"><Relationship Id="rId1" Type="http://schemas.openxmlformats.org/officeDocument/2006/relationships/package" Target="../embeddings/Microsoft_Office_Excel_Worksheet41.xlsx"/></Relationships>
</file>

<file path=word/charts/_rels/chart42.xml.rels><?xml version="1.0" encoding="UTF-8" standalone="yes"?>
<Relationships xmlns="http://schemas.openxmlformats.org/package/2006/relationships"><Relationship Id="rId1" Type="http://schemas.openxmlformats.org/officeDocument/2006/relationships/package" Target="../embeddings/Microsoft_Office_Excel_Worksheet42.xlsx"/></Relationships>
</file>

<file path=word/charts/_rels/chart43.xml.rels><?xml version="1.0" encoding="UTF-8" standalone="yes"?>
<Relationships xmlns="http://schemas.openxmlformats.org/package/2006/relationships"><Relationship Id="rId1" Type="http://schemas.openxmlformats.org/officeDocument/2006/relationships/package" Target="../embeddings/Microsoft_Office_Excel_Worksheet43.xlsx"/></Relationships>
</file>

<file path=word/charts/_rels/chart44.xml.rels><?xml version="1.0" encoding="UTF-8" standalone="yes"?>
<Relationships xmlns="http://schemas.openxmlformats.org/package/2006/relationships"><Relationship Id="rId1" Type="http://schemas.openxmlformats.org/officeDocument/2006/relationships/package" Target="../embeddings/Microsoft_Office_Excel_Worksheet44.xlsx"/></Relationships>
</file>

<file path=word/charts/_rels/chart45.xml.rels><?xml version="1.0" encoding="UTF-8" standalone="yes"?>
<Relationships xmlns="http://schemas.openxmlformats.org/package/2006/relationships"><Relationship Id="rId1" Type="http://schemas.openxmlformats.org/officeDocument/2006/relationships/package" Target="../embeddings/Microsoft_Office_Excel_Worksheet45.xlsx"/></Relationships>
</file>

<file path=word/charts/_rels/chart46.xml.rels><?xml version="1.0" encoding="UTF-8" standalone="yes"?>
<Relationships xmlns="http://schemas.openxmlformats.org/package/2006/relationships"><Relationship Id="rId1" Type="http://schemas.openxmlformats.org/officeDocument/2006/relationships/package" Target="../embeddings/Microsoft_Office_Excel_Worksheet46.xlsx"/></Relationships>
</file>

<file path=word/charts/_rels/chart47.xml.rels><?xml version="1.0" encoding="UTF-8" standalone="yes"?>
<Relationships xmlns="http://schemas.openxmlformats.org/package/2006/relationships"><Relationship Id="rId1" Type="http://schemas.openxmlformats.org/officeDocument/2006/relationships/package" Target="../embeddings/Microsoft_Office_Excel_Worksheet47.xlsx"/></Relationships>
</file>

<file path=word/charts/_rels/chart48.xml.rels><?xml version="1.0" encoding="UTF-8" standalone="yes"?>
<Relationships xmlns="http://schemas.openxmlformats.org/package/2006/relationships"><Relationship Id="rId1" Type="http://schemas.openxmlformats.org/officeDocument/2006/relationships/package" Target="../embeddings/Microsoft_Office_Excel_Worksheet48.xlsx"/></Relationships>
</file>

<file path=word/charts/_rels/chart49.xml.rels><?xml version="1.0" encoding="UTF-8" standalone="yes"?>
<Relationships xmlns="http://schemas.openxmlformats.org/package/2006/relationships"><Relationship Id="rId1" Type="http://schemas.openxmlformats.org/officeDocument/2006/relationships/package" Target="../embeddings/Microsoft_Office_Excel_Worksheet49.xlsx"/></Relationships>
</file>

<file path=word/charts/_rels/chart5.xml.rels><?xml version="1.0" encoding="UTF-8" standalone="yes"?>
<Relationships xmlns="http://schemas.openxmlformats.org/package/2006/relationships"><Relationship Id="rId2" Type="http://schemas.openxmlformats.org/officeDocument/2006/relationships/package" Target="../embeddings/Microsoft_Office_Excel_Worksheet5.xlsx"/><Relationship Id="rId1" Type="http://schemas.openxmlformats.org/officeDocument/2006/relationships/themeOverride" Target="../theme/themeOverride1.xml"/></Relationships>
</file>

<file path=word/charts/_rels/chart50.xml.rels><?xml version="1.0" encoding="UTF-8" standalone="yes"?>
<Relationships xmlns="http://schemas.openxmlformats.org/package/2006/relationships"><Relationship Id="rId1" Type="http://schemas.openxmlformats.org/officeDocument/2006/relationships/package" Target="../embeddings/Microsoft_Office_Excel_Worksheet50.xlsx"/></Relationships>
</file>

<file path=word/charts/_rels/chart51.xml.rels><?xml version="1.0" encoding="UTF-8" standalone="yes"?>
<Relationships xmlns="http://schemas.openxmlformats.org/package/2006/relationships"><Relationship Id="rId1" Type="http://schemas.openxmlformats.org/officeDocument/2006/relationships/package" Target="../embeddings/Microsoft_Office_Excel_Worksheet51.xlsx"/></Relationships>
</file>

<file path=word/charts/_rels/chart52.xml.rels><?xml version="1.0" encoding="UTF-8" standalone="yes"?>
<Relationships xmlns="http://schemas.openxmlformats.org/package/2006/relationships"><Relationship Id="rId1" Type="http://schemas.openxmlformats.org/officeDocument/2006/relationships/package" Target="../embeddings/Microsoft_Office_Excel_Worksheet52.xlsx"/></Relationships>
</file>

<file path=word/charts/_rels/chart53.xml.rels><?xml version="1.0" encoding="UTF-8" standalone="yes"?>
<Relationships xmlns="http://schemas.openxmlformats.org/package/2006/relationships"><Relationship Id="rId1" Type="http://schemas.openxmlformats.org/officeDocument/2006/relationships/package" Target="../embeddings/Microsoft_Office_Excel_Worksheet53.xlsx"/></Relationships>
</file>

<file path=word/charts/_rels/chart54.xml.rels><?xml version="1.0" encoding="UTF-8" standalone="yes"?>
<Relationships xmlns="http://schemas.openxmlformats.org/package/2006/relationships"><Relationship Id="rId1" Type="http://schemas.openxmlformats.org/officeDocument/2006/relationships/package" Target="../embeddings/Microsoft_Office_Excel_Worksheet54.xlsx"/></Relationships>
</file>

<file path=word/charts/_rels/chart55.xml.rels><?xml version="1.0" encoding="UTF-8" standalone="yes"?>
<Relationships xmlns="http://schemas.openxmlformats.org/package/2006/relationships"><Relationship Id="rId1" Type="http://schemas.openxmlformats.org/officeDocument/2006/relationships/package" Target="../embeddings/Microsoft_Office_Excel_Worksheet55.xlsx"/></Relationships>
</file>

<file path=word/charts/_rels/chart56.xml.rels><?xml version="1.0" encoding="UTF-8" standalone="yes"?>
<Relationships xmlns="http://schemas.openxmlformats.org/package/2006/relationships"><Relationship Id="rId1" Type="http://schemas.openxmlformats.org/officeDocument/2006/relationships/package" Target="../embeddings/Microsoft_Office_Excel_Worksheet56.xlsx"/></Relationships>
</file>

<file path=word/charts/_rels/chart57.xml.rels><?xml version="1.0" encoding="UTF-8" standalone="yes"?>
<Relationships xmlns="http://schemas.openxmlformats.org/package/2006/relationships"><Relationship Id="rId1" Type="http://schemas.openxmlformats.org/officeDocument/2006/relationships/package" Target="../embeddings/Microsoft_Office_Excel_Worksheet57.xlsx"/></Relationships>
</file>

<file path=word/charts/_rels/chart58.xml.rels><?xml version="1.0" encoding="UTF-8" standalone="yes"?>
<Relationships xmlns="http://schemas.openxmlformats.org/package/2006/relationships"><Relationship Id="rId1" Type="http://schemas.openxmlformats.org/officeDocument/2006/relationships/package" Target="../embeddings/Microsoft_Office_Excel_Worksheet58.xlsx"/></Relationships>
</file>

<file path=word/charts/_rels/chart59.xml.rels><?xml version="1.0" encoding="UTF-8" standalone="yes"?>
<Relationships xmlns="http://schemas.openxmlformats.org/package/2006/relationships"><Relationship Id="rId3" Type="http://schemas.openxmlformats.org/officeDocument/2006/relationships/chartUserShapes" Target="../drawings/drawing2.xml"/><Relationship Id="rId2" Type="http://schemas.openxmlformats.org/officeDocument/2006/relationships/package" Target="../embeddings/Microsoft_Office_Excel_Worksheet59.xlsx"/><Relationship Id="rId1" Type="http://schemas.openxmlformats.org/officeDocument/2006/relationships/themeOverride" Target="../theme/themeOverride3.xml"/></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Office_Excel_Worksheet6.xlsx"/></Relationships>
</file>

<file path=word/charts/_rels/chart60.xml.rels><?xml version="1.0" encoding="UTF-8" standalone="yes"?>
<Relationships xmlns="http://schemas.openxmlformats.org/package/2006/relationships"><Relationship Id="rId3" Type="http://schemas.openxmlformats.org/officeDocument/2006/relationships/chartUserShapes" Target="../drawings/drawing3.xml"/><Relationship Id="rId2" Type="http://schemas.openxmlformats.org/officeDocument/2006/relationships/package" Target="../embeddings/Microsoft_Office_Excel_Worksheet60.xlsx"/><Relationship Id="rId1" Type="http://schemas.openxmlformats.org/officeDocument/2006/relationships/themeOverride" Target="../theme/themeOverride4.xml"/></Relationships>
</file>

<file path=word/charts/_rels/chart61.xml.rels><?xml version="1.0" encoding="UTF-8" standalone="yes"?>
<Relationships xmlns="http://schemas.openxmlformats.org/package/2006/relationships"><Relationship Id="rId1" Type="http://schemas.openxmlformats.org/officeDocument/2006/relationships/package" Target="../embeddings/Microsoft_Office_Excel_Worksheet61.xlsx"/></Relationships>
</file>

<file path=word/charts/_rels/chart62.xml.rels><?xml version="1.0" encoding="UTF-8" standalone="yes"?>
<Relationships xmlns="http://schemas.openxmlformats.org/package/2006/relationships"><Relationship Id="rId1" Type="http://schemas.openxmlformats.org/officeDocument/2006/relationships/package" Target="../embeddings/Microsoft_Office_Excel_Worksheet62.xlsx"/></Relationships>
</file>

<file path=word/charts/_rels/chart63.xml.rels><?xml version="1.0" encoding="UTF-8" standalone="yes"?>
<Relationships xmlns="http://schemas.openxmlformats.org/package/2006/relationships"><Relationship Id="rId1" Type="http://schemas.openxmlformats.org/officeDocument/2006/relationships/package" Target="../embeddings/Microsoft_Office_Excel_Worksheet63.xlsx"/></Relationships>
</file>

<file path=word/charts/_rels/chart64.xml.rels><?xml version="1.0" encoding="UTF-8" standalone="yes"?>
<Relationships xmlns="http://schemas.openxmlformats.org/package/2006/relationships"><Relationship Id="rId1" Type="http://schemas.openxmlformats.org/officeDocument/2006/relationships/package" Target="../embeddings/Microsoft_Office_Excel_Worksheet64.xlsx"/></Relationships>
</file>

<file path=word/charts/_rels/chart65.xml.rels><?xml version="1.0" encoding="UTF-8" standalone="yes"?>
<Relationships xmlns="http://schemas.openxmlformats.org/package/2006/relationships"><Relationship Id="rId2" Type="http://schemas.openxmlformats.org/officeDocument/2006/relationships/package" Target="../embeddings/Microsoft_Office_Excel_Worksheet65.xlsx"/><Relationship Id="rId1" Type="http://schemas.openxmlformats.org/officeDocument/2006/relationships/themeOverride" Target="../theme/themeOverride5.xml"/></Relationships>
</file>

<file path=word/charts/_rels/chart66.xml.rels><?xml version="1.0" encoding="UTF-8" standalone="yes"?>
<Relationships xmlns="http://schemas.openxmlformats.org/package/2006/relationships"><Relationship Id="rId3" Type="http://schemas.openxmlformats.org/officeDocument/2006/relationships/chartUserShapes" Target="../drawings/drawing4.xml"/><Relationship Id="rId2" Type="http://schemas.openxmlformats.org/officeDocument/2006/relationships/package" Target="../embeddings/Microsoft_Office_Excel_Worksheet66.xlsx"/><Relationship Id="rId1" Type="http://schemas.openxmlformats.org/officeDocument/2006/relationships/themeOverride" Target="../theme/themeOverride6.xml"/></Relationships>
</file>

<file path=word/charts/_rels/chart67.xml.rels><?xml version="1.0" encoding="UTF-8" standalone="yes"?>
<Relationships xmlns="http://schemas.openxmlformats.org/package/2006/relationships"><Relationship Id="rId3" Type="http://schemas.openxmlformats.org/officeDocument/2006/relationships/chartUserShapes" Target="../drawings/drawing5.xml"/><Relationship Id="rId2" Type="http://schemas.openxmlformats.org/officeDocument/2006/relationships/package" Target="../embeddings/Microsoft_Office_Excel_Worksheet67.xlsx"/><Relationship Id="rId1" Type="http://schemas.openxmlformats.org/officeDocument/2006/relationships/themeOverride" Target="../theme/themeOverride7.xml"/></Relationships>
</file>

<file path=word/charts/_rels/chart68.xml.rels><?xml version="1.0" encoding="UTF-8" standalone="yes"?>
<Relationships xmlns="http://schemas.openxmlformats.org/package/2006/relationships"><Relationship Id="rId3" Type="http://schemas.openxmlformats.org/officeDocument/2006/relationships/chartUserShapes" Target="../drawings/drawing6.xml"/><Relationship Id="rId2" Type="http://schemas.openxmlformats.org/officeDocument/2006/relationships/package" Target="../embeddings/Microsoft_Office_Excel_Worksheet68.xlsx"/><Relationship Id="rId1" Type="http://schemas.openxmlformats.org/officeDocument/2006/relationships/themeOverride" Target="../theme/themeOverride8.xml"/></Relationships>
</file>

<file path=word/charts/_rels/chart69.xml.rels><?xml version="1.0" encoding="UTF-8" standalone="yes"?>
<Relationships xmlns="http://schemas.openxmlformats.org/package/2006/relationships"><Relationship Id="rId1" Type="http://schemas.openxmlformats.org/officeDocument/2006/relationships/package" Target="../embeddings/Microsoft_Office_Excel_Worksheet69.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Office_Excel_Worksheet7.xlsx"/></Relationships>
</file>

<file path=word/charts/_rels/chart70.xml.rels><?xml version="1.0" encoding="UTF-8" standalone="yes"?>
<Relationships xmlns="http://schemas.openxmlformats.org/package/2006/relationships"><Relationship Id="rId1" Type="http://schemas.openxmlformats.org/officeDocument/2006/relationships/package" Target="../embeddings/Microsoft_Office_Excel_Worksheet70.xlsx"/></Relationships>
</file>

<file path=word/charts/_rels/chart71.xml.rels><?xml version="1.0" encoding="UTF-8" standalone="yes"?>
<Relationships xmlns="http://schemas.openxmlformats.org/package/2006/relationships"><Relationship Id="rId1" Type="http://schemas.openxmlformats.org/officeDocument/2006/relationships/package" Target="../embeddings/Microsoft_Office_Excel_Worksheet71.xlsx"/></Relationships>
</file>

<file path=word/charts/_rels/chart72.xml.rels><?xml version="1.0" encoding="UTF-8" standalone="yes"?>
<Relationships xmlns="http://schemas.openxmlformats.org/package/2006/relationships"><Relationship Id="rId1" Type="http://schemas.openxmlformats.org/officeDocument/2006/relationships/package" Target="../embeddings/Microsoft_Office_Excel_Worksheet72.xlsx"/></Relationships>
</file>

<file path=word/charts/_rels/chart73.xml.rels><?xml version="1.0" encoding="UTF-8" standalone="yes"?>
<Relationships xmlns="http://schemas.openxmlformats.org/package/2006/relationships"><Relationship Id="rId1" Type="http://schemas.openxmlformats.org/officeDocument/2006/relationships/package" Target="../embeddings/Microsoft_Office_Excel_Worksheet73.xlsx"/></Relationships>
</file>

<file path=word/charts/_rels/chart74.xml.rels><?xml version="1.0" encoding="UTF-8" standalone="yes"?>
<Relationships xmlns="http://schemas.openxmlformats.org/package/2006/relationships"><Relationship Id="rId1" Type="http://schemas.openxmlformats.org/officeDocument/2006/relationships/package" Target="../embeddings/Microsoft_Office_Excel_Worksheet74.xlsx"/></Relationships>
</file>

<file path=word/charts/_rels/chart75.xml.rels><?xml version="1.0" encoding="UTF-8" standalone="yes"?>
<Relationships xmlns="http://schemas.openxmlformats.org/package/2006/relationships"><Relationship Id="rId2" Type="http://schemas.openxmlformats.org/officeDocument/2006/relationships/package" Target="../embeddings/Microsoft_Office_Excel_Worksheet75.xlsx"/><Relationship Id="rId1" Type="http://schemas.openxmlformats.org/officeDocument/2006/relationships/themeOverride" Target="../theme/themeOverride9.xml"/></Relationships>
</file>

<file path=word/charts/_rels/chart76.xml.rels><?xml version="1.0" encoding="UTF-8" standalone="yes"?>
<Relationships xmlns="http://schemas.openxmlformats.org/package/2006/relationships"><Relationship Id="rId2" Type="http://schemas.openxmlformats.org/officeDocument/2006/relationships/package" Target="../embeddings/Microsoft_Office_Excel_Worksheet76.xlsx"/><Relationship Id="rId1" Type="http://schemas.openxmlformats.org/officeDocument/2006/relationships/themeOverride" Target="../theme/themeOverride10.xml"/></Relationships>
</file>

<file path=word/charts/_rels/chart77.xml.rels><?xml version="1.0" encoding="UTF-8" standalone="yes"?>
<Relationships xmlns="http://schemas.openxmlformats.org/package/2006/relationships"><Relationship Id="rId1" Type="http://schemas.openxmlformats.org/officeDocument/2006/relationships/package" Target="../embeddings/Microsoft_Office_Excel_Worksheet77.xlsx"/></Relationships>
</file>

<file path=word/charts/_rels/chart78.xml.rels><?xml version="1.0" encoding="UTF-8" standalone="yes"?>
<Relationships xmlns="http://schemas.openxmlformats.org/package/2006/relationships"><Relationship Id="rId1" Type="http://schemas.openxmlformats.org/officeDocument/2006/relationships/package" Target="../embeddings/Microsoft_Office_Excel_Worksheet78.xlsx"/></Relationships>
</file>

<file path=word/charts/_rels/chart79.xml.rels><?xml version="1.0" encoding="UTF-8" standalone="yes"?>
<Relationships xmlns="http://schemas.openxmlformats.org/package/2006/relationships"><Relationship Id="rId1" Type="http://schemas.openxmlformats.org/officeDocument/2006/relationships/package" Target="../embeddings/Microsoft_Office_Excel_Worksheet79.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Office_Excel_Worksheet8.xlsx"/></Relationships>
</file>

<file path=word/charts/_rels/chart80.xml.rels><?xml version="1.0" encoding="UTF-8" standalone="yes"?>
<Relationships xmlns="http://schemas.openxmlformats.org/package/2006/relationships"><Relationship Id="rId1" Type="http://schemas.openxmlformats.org/officeDocument/2006/relationships/package" Target="../embeddings/Microsoft_Office_Excel_Worksheet80.xlsx"/></Relationships>
</file>

<file path=word/charts/_rels/chart81.xml.rels><?xml version="1.0" encoding="UTF-8" standalone="yes"?>
<Relationships xmlns="http://schemas.openxmlformats.org/package/2006/relationships"><Relationship Id="rId1" Type="http://schemas.openxmlformats.org/officeDocument/2006/relationships/package" Target="../embeddings/Microsoft_Office_Excel_Worksheet81.xlsx"/></Relationships>
</file>

<file path=word/charts/_rels/chart82.xml.rels><?xml version="1.0" encoding="UTF-8" standalone="yes"?>
<Relationships xmlns="http://schemas.openxmlformats.org/package/2006/relationships"><Relationship Id="rId1" Type="http://schemas.openxmlformats.org/officeDocument/2006/relationships/package" Target="../embeddings/Microsoft_Office_Excel_Worksheet82.xlsx"/></Relationships>
</file>

<file path=word/charts/_rels/chart83.xml.rels><?xml version="1.0" encoding="UTF-8" standalone="yes"?>
<Relationships xmlns="http://schemas.openxmlformats.org/package/2006/relationships"><Relationship Id="rId1" Type="http://schemas.openxmlformats.org/officeDocument/2006/relationships/package" Target="../embeddings/Microsoft_Office_Excel_Worksheet83.xlsx"/></Relationships>
</file>

<file path=word/charts/_rels/chart84.xml.rels><?xml version="1.0" encoding="UTF-8" standalone="yes"?>
<Relationships xmlns="http://schemas.openxmlformats.org/package/2006/relationships"><Relationship Id="rId1" Type="http://schemas.openxmlformats.org/officeDocument/2006/relationships/package" Target="../embeddings/Microsoft_Office_Excel_Worksheet84.xlsx"/></Relationships>
</file>

<file path=word/charts/_rels/chart85.xml.rels><?xml version="1.0" encoding="UTF-8" standalone="yes"?>
<Relationships xmlns="http://schemas.openxmlformats.org/package/2006/relationships"><Relationship Id="rId1" Type="http://schemas.openxmlformats.org/officeDocument/2006/relationships/package" Target="../embeddings/Microsoft_Office_Excel_Worksheet85.xlsx"/></Relationships>
</file>

<file path=word/charts/_rels/chart86.xml.rels><?xml version="1.0" encoding="UTF-8" standalone="yes"?>
<Relationships xmlns="http://schemas.openxmlformats.org/package/2006/relationships"><Relationship Id="rId1" Type="http://schemas.openxmlformats.org/officeDocument/2006/relationships/package" Target="../embeddings/Microsoft_Office_Excel_Worksheet86.xlsx"/></Relationships>
</file>

<file path=word/charts/_rels/chart87.xml.rels><?xml version="1.0" encoding="UTF-8" standalone="yes"?>
<Relationships xmlns="http://schemas.openxmlformats.org/package/2006/relationships"><Relationship Id="rId1" Type="http://schemas.openxmlformats.org/officeDocument/2006/relationships/package" Target="../embeddings/Microsoft_Office_Excel_Worksheet87.xlsx"/></Relationships>
</file>

<file path=word/charts/_rels/chart88.xml.rels><?xml version="1.0" encoding="UTF-8" standalone="yes"?>
<Relationships xmlns="http://schemas.openxmlformats.org/package/2006/relationships"><Relationship Id="rId1" Type="http://schemas.openxmlformats.org/officeDocument/2006/relationships/package" Target="../embeddings/Microsoft_Office_Excel_Worksheet88.xlsx"/></Relationships>
</file>

<file path=word/charts/_rels/chart89.xml.rels><?xml version="1.0" encoding="UTF-8" standalone="yes"?>
<Relationships xmlns="http://schemas.openxmlformats.org/package/2006/relationships"><Relationship Id="rId1" Type="http://schemas.openxmlformats.org/officeDocument/2006/relationships/package" Target="../embeddings/Microsoft_Office_Excel_Worksheet89.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Office_Excel_Worksheet9.xlsx"/></Relationships>
</file>

<file path=word/charts/_rels/chart90.xml.rels><?xml version="1.0" encoding="UTF-8" standalone="yes"?>
<Relationships xmlns="http://schemas.openxmlformats.org/package/2006/relationships"><Relationship Id="rId1" Type="http://schemas.openxmlformats.org/officeDocument/2006/relationships/package" Target="../embeddings/Microsoft_Office_Excel_Worksheet90.xlsx"/></Relationships>
</file>

<file path=word/charts/_rels/chart91.xml.rels><?xml version="1.0" encoding="UTF-8" standalone="yes"?>
<Relationships xmlns="http://schemas.openxmlformats.org/package/2006/relationships"><Relationship Id="rId1" Type="http://schemas.openxmlformats.org/officeDocument/2006/relationships/package" Target="../embeddings/Microsoft_Office_Excel_Worksheet91.xlsx"/></Relationships>
</file>

<file path=word/charts/_rels/chart92.xml.rels><?xml version="1.0" encoding="UTF-8" standalone="yes"?>
<Relationships xmlns="http://schemas.openxmlformats.org/package/2006/relationships"><Relationship Id="rId1" Type="http://schemas.openxmlformats.org/officeDocument/2006/relationships/package" Target="../embeddings/Microsoft_Office_Excel_Worksheet92.xlsx"/></Relationships>
</file>

<file path=word/charts/_rels/chart93.xml.rels><?xml version="1.0" encoding="UTF-8" standalone="yes"?>
<Relationships xmlns="http://schemas.openxmlformats.org/package/2006/relationships"><Relationship Id="rId1" Type="http://schemas.openxmlformats.org/officeDocument/2006/relationships/package" Target="../embeddings/Microsoft_Office_Excel_Worksheet93.xlsx"/></Relationships>
</file>

<file path=word/charts/_rels/chart94.xml.rels><?xml version="1.0" encoding="UTF-8" standalone="yes"?>
<Relationships xmlns="http://schemas.openxmlformats.org/package/2006/relationships"><Relationship Id="rId1" Type="http://schemas.openxmlformats.org/officeDocument/2006/relationships/package" Target="../embeddings/Microsoft_Office_Excel_Worksheet94.xlsx"/></Relationships>
</file>

<file path=word/charts/_rels/chart95.xml.rels><?xml version="1.0" encoding="UTF-8" standalone="yes"?>
<Relationships xmlns="http://schemas.openxmlformats.org/package/2006/relationships"><Relationship Id="rId2" Type="http://schemas.openxmlformats.org/officeDocument/2006/relationships/package" Target="../embeddings/Microsoft_Office_Excel_Worksheet95.xlsx"/><Relationship Id="rId1" Type="http://schemas.openxmlformats.org/officeDocument/2006/relationships/themeOverride" Target="../theme/themeOverride11.xml"/></Relationships>
</file>

<file path=word/charts/_rels/chart96.xml.rels><?xml version="1.0" encoding="UTF-8" standalone="yes"?>
<Relationships xmlns="http://schemas.openxmlformats.org/package/2006/relationships"><Relationship Id="rId1" Type="http://schemas.openxmlformats.org/officeDocument/2006/relationships/package" Target="../embeddings/Microsoft_Office_Excel_Worksheet96.xlsx"/></Relationships>
</file>

<file path=word/charts/_rels/chart97.xml.rels><?xml version="1.0" encoding="UTF-8" standalone="yes"?>
<Relationships xmlns="http://schemas.openxmlformats.org/package/2006/relationships"><Relationship Id="rId1" Type="http://schemas.openxmlformats.org/officeDocument/2006/relationships/package" Target="../embeddings/Microsoft_Office_Excel_Worksheet97.xlsx"/></Relationships>
</file>

<file path=word/charts/_rels/chart98.xml.rels><?xml version="1.0" encoding="UTF-8" standalone="yes"?>
<Relationships xmlns="http://schemas.openxmlformats.org/package/2006/relationships"><Relationship Id="rId2" Type="http://schemas.openxmlformats.org/officeDocument/2006/relationships/package" Target="../embeddings/Microsoft_Office_Excel_Worksheet98.xlsx"/><Relationship Id="rId1" Type="http://schemas.openxmlformats.org/officeDocument/2006/relationships/themeOverride" Target="../theme/themeOverride12.xml"/></Relationships>
</file>

<file path=word/charts/_rels/chart99.xml.rels><?xml version="1.0" encoding="UTF-8" standalone="yes"?>
<Relationships xmlns="http://schemas.openxmlformats.org/package/2006/relationships"><Relationship Id="rId1" Type="http://schemas.openxmlformats.org/officeDocument/2006/relationships/oleObject" Target="Book1" TargetMode="External"/></Relationships>
</file>

<file path=word/charts/chart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768E-2"/>
          <c:w val="0.65904761904762466"/>
          <c:h val="0.70892018779342725"/>
        </c:manualLayout>
      </c:layout>
      <c:barChart>
        <c:barDir val="col"/>
        <c:grouping val="clustered"/>
        <c:ser>
          <c:idx val="6"/>
          <c:order val="0"/>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pt idx="1">
                  <c:v>15.5</c:v>
                </c:pt>
                <c:pt idx="2">
                  <c:v>7.41</c:v>
                </c:pt>
              </c:numCache>
            </c:numRef>
          </c:val>
        </c:ser>
        <c:axId val="203211136"/>
        <c:axId val="203212672"/>
      </c:barChart>
      <c:catAx>
        <c:axId val="203211136"/>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03212672"/>
        <c:crosses val="autoZero"/>
        <c:auto val="1"/>
        <c:lblAlgn val="ctr"/>
        <c:lblOffset val="100"/>
        <c:tickLblSkip val="1"/>
        <c:tickMarkSkip val="1"/>
      </c:catAx>
      <c:valAx>
        <c:axId val="203212672"/>
        <c:scaling>
          <c:orientation val="minMax"/>
        </c:scaling>
        <c:axPos val="l"/>
        <c:majorGridlines>
          <c:spPr>
            <a:ln w="3175">
              <a:solidFill>
                <a:srgbClr val="000000"/>
              </a:solidFill>
              <a:prstDash val="solid"/>
            </a:ln>
          </c:spPr>
        </c:majorGridlines>
        <c:title>
          <c:tx>
            <c:rich>
              <a:bodyPr/>
              <a:lstStyle/>
              <a:p>
                <a:pPr>
                  <a:defRPr sz="1100" b="1" i="0" u="none" strike="noStrike" baseline="0">
                    <a:solidFill>
                      <a:srgbClr val="000000"/>
                    </a:solidFill>
                    <a:latin typeface="Arial"/>
                    <a:ea typeface="Arial"/>
                    <a:cs typeface="Arial"/>
                  </a:defRPr>
                </a:pPr>
                <a:r>
                  <a:rPr lang="ro-RO" sz="1100">
                    <a:latin typeface="Arial"/>
                    <a:cs typeface="Arial"/>
                  </a:rPr>
                  <a:t>µg/mc</a:t>
                </a:r>
              </a:p>
            </c:rich>
          </c:tx>
          <c:layout>
            <c:manualLayout>
              <c:xMode val="edge"/>
              <c:yMode val="edge"/>
              <c:x val="2.2251919444649153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03211136"/>
        <c:crosses val="autoZero"/>
        <c:crossBetween val="between"/>
      </c:valAx>
      <c:spPr>
        <a:solidFill>
          <a:srgbClr val="FFFFCC"/>
        </a:solidFill>
        <a:ln w="12700">
          <a:solidFill>
            <a:srgbClr val="000000"/>
          </a:solidFill>
          <a:prstDash val="solid"/>
        </a:ln>
      </c:spPr>
    </c:plotArea>
    <c:legend>
      <c:legendPos val="r"/>
      <c:layout>
        <c:manualLayout>
          <c:xMode val="edge"/>
          <c:yMode val="edge"/>
          <c:x val="0.77944175943524363"/>
          <c:y val="0.37061826912891754"/>
          <c:w val="0.19289311249886906"/>
          <c:h val="0.10720054612007579"/>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10.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222"/>
          <c:h val="0.65934065934066499"/>
        </c:manualLayout>
      </c:layout>
      <c:bar3DChart>
        <c:barDir val="col"/>
        <c:grouping val="clustered"/>
        <c:ser>
          <c:idx val="0"/>
          <c:order val="0"/>
          <c:tx>
            <c:strRef>
              <c:f>Sheet1!$A$2</c:f>
              <c:strCache>
                <c:ptCount val="1"/>
                <c:pt idx="0">
                  <c:v>Medii anuale 2008</c:v>
                </c:pt>
              </c:strCache>
            </c:strRef>
          </c:tx>
          <c:spPr>
            <a:solidFill>
              <a:srgbClr val="9999FF"/>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0.98</c:v>
                </c:pt>
                <c:pt idx="1">
                  <c:v>0.12300000000000012</c:v>
                </c:pt>
                <c:pt idx="2">
                  <c:v>0.20400000000000001</c:v>
                </c:pt>
                <c:pt idx="3">
                  <c:v>0.18500000000000041</c:v>
                </c:pt>
                <c:pt idx="4">
                  <c:v>0.13500000000000001</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0.4</c:v>
                </c:pt>
                <c:pt idx="1">
                  <c:v>0.12300000000000012</c:v>
                </c:pt>
                <c:pt idx="2">
                  <c:v>0.16900000000000001</c:v>
                </c:pt>
                <c:pt idx="3">
                  <c:v>0.128</c:v>
                </c:pt>
                <c:pt idx="4">
                  <c:v>8.7000000000000022E-2</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0.19</c:v>
                </c:pt>
                <c:pt idx="1">
                  <c:v>0.13</c:v>
                </c:pt>
                <c:pt idx="2">
                  <c:v>0.29000000000000031</c:v>
                </c:pt>
                <c:pt idx="3">
                  <c:v>0.12000000000000002</c:v>
                </c:pt>
                <c:pt idx="4">
                  <c:v>8.0000000000000043E-2</c:v>
                </c:pt>
              </c:numCache>
            </c:numRef>
          </c:val>
        </c:ser>
        <c:ser>
          <c:idx val="3"/>
          <c:order val="3"/>
          <c:tx>
            <c:strRef>
              <c:f>Sheet1!$A$5</c:f>
              <c:strCache>
                <c:ptCount val="1"/>
                <c:pt idx="0">
                  <c:v>Medii anuale 2011</c:v>
                </c:pt>
              </c:strCache>
            </c:strRef>
          </c:tx>
          <c:spPr>
            <a:solidFill>
              <a:srgbClr val="CCFFFF"/>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0">
                  <c:v>0.42000000000000032</c:v>
                </c:pt>
                <c:pt idx="1">
                  <c:v>0.13</c:v>
                </c:pt>
                <c:pt idx="2">
                  <c:v>0.13</c:v>
                </c:pt>
                <c:pt idx="3">
                  <c:v>0.16</c:v>
                </c:pt>
                <c:pt idx="4">
                  <c:v>0.12000000000000002</c:v>
                </c:pt>
              </c:numCache>
            </c:numRef>
          </c:val>
        </c:ser>
        <c:ser>
          <c:idx val="4"/>
          <c:order val="4"/>
          <c:tx>
            <c:strRef>
              <c:f>Sheet1!$A$6</c:f>
              <c:strCache>
                <c:ptCount val="1"/>
                <c:pt idx="0">
                  <c:v>Medii anuale 2012</c:v>
                </c:pt>
              </c:strCache>
            </c:strRef>
          </c:tx>
          <c:spPr>
            <a:solidFill>
              <a:srgbClr val="660066"/>
            </a:solidFill>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0">
                  <c:v>0.27</c:v>
                </c:pt>
                <c:pt idx="1">
                  <c:v>0.19</c:v>
                </c:pt>
                <c:pt idx="2">
                  <c:v>0.15000000000000024</c:v>
                </c:pt>
                <c:pt idx="3">
                  <c:v>0.42000000000000032</c:v>
                </c:pt>
                <c:pt idx="4">
                  <c:v>0.1</c:v>
                </c:pt>
              </c:numCache>
            </c:numRef>
          </c:val>
        </c:ser>
        <c:ser>
          <c:idx val="5"/>
          <c:order val="5"/>
          <c:tx>
            <c:strRef>
              <c:f>Sheet1!$A$7</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Sheet1!$B$7:$F$7</c:f>
              <c:numCache>
                <c:formatCode>General</c:formatCode>
                <c:ptCount val="5"/>
                <c:pt idx="1">
                  <c:v>0.15000000000000024</c:v>
                </c:pt>
                <c:pt idx="2">
                  <c:v>0.14000000000000001</c:v>
                </c:pt>
                <c:pt idx="3">
                  <c:v>6.0000000000000032E-2</c:v>
                </c:pt>
                <c:pt idx="4">
                  <c:v>8.0000000000000043E-2</c:v>
                </c:pt>
              </c:numCache>
            </c:numRef>
          </c:val>
        </c:ser>
        <c:ser>
          <c:idx val="6"/>
          <c:order val="6"/>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pt idx="1">
                  <c:v>0.22</c:v>
                </c:pt>
                <c:pt idx="2">
                  <c:v>0.21000000000000021</c:v>
                </c:pt>
                <c:pt idx="3">
                  <c:v>0.11</c:v>
                </c:pt>
                <c:pt idx="4">
                  <c:v>0.05</c:v>
                </c:pt>
              </c:numCache>
            </c:numRef>
          </c:val>
        </c:ser>
        <c:gapWidth val="260"/>
        <c:gapDepth val="0"/>
        <c:shape val="box"/>
        <c:axId val="59404672"/>
        <c:axId val="59406208"/>
        <c:axId val="0"/>
      </c:bar3DChart>
      <c:catAx>
        <c:axId val="59404672"/>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59406208"/>
        <c:crosses val="autoZero"/>
        <c:auto val="1"/>
        <c:lblAlgn val="ctr"/>
        <c:lblOffset val="100"/>
        <c:tickLblSkip val="1"/>
        <c:tickMarkSkip val="1"/>
      </c:catAx>
      <c:valAx>
        <c:axId val="59406208"/>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4.8596948195163817E-2"/>
              <c:y val="0.28899551618547681"/>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59404672"/>
        <c:crosses val="autoZero"/>
        <c:crossBetween val="between"/>
      </c:valAx>
      <c:spPr>
        <a:noFill/>
        <a:ln w="25400">
          <a:noFill/>
        </a:ln>
      </c:spPr>
    </c:plotArea>
    <c:legend>
      <c:legendPos val="r"/>
      <c:layout>
        <c:manualLayout>
          <c:xMode val="edge"/>
          <c:yMode val="edge"/>
          <c:x val="0.7732558139535034"/>
          <c:y val="0.10989010989011012"/>
          <c:w val="0.19241699350318894"/>
          <c:h val="0.6870089676290466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00.xml><?xml version="1.0" encoding="utf-8"?>
<c:chartSpace xmlns:c="http://schemas.openxmlformats.org/drawingml/2006/chart" xmlns:a="http://schemas.openxmlformats.org/drawingml/2006/main" xmlns:r="http://schemas.openxmlformats.org/officeDocument/2006/relationships">
  <c:date1904 val="1"/>
  <c:lang val="ro-RO"/>
  <c:style val="4"/>
  <c:chart>
    <c:title>
      <c:tx>
        <c:rich>
          <a:bodyPr/>
          <a:lstStyle/>
          <a:p>
            <a:pPr>
              <a:defRPr/>
            </a:pPr>
            <a:r>
              <a:rPr lang="ro-RO"/>
              <a:t>VSU</a:t>
            </a:r>
            <a:r>
              <a:rPr lang="en-US"/>
              <a:t> colectate </a:t>
            </a:r>
            <a:r>
              <a:rPr lang="ro-RO"/>
              <a:t>ș</a:t>
            </a:r>
            <a:r>
              <a:rPr lang="en-US"/>
              <a:t>i tratate </a:t>
            </a:r>
          </a:p>
        </c:rich>
      </c:tx>
    </c:title>
    <c:view3D>
      <c:rAngAx val="1"/>
    </c:view3D>
    <c:sideWall>
      <c:spPr>
        <a:solidFill>
          <a:srgbClr val="FFFF00"/>
        </a:solidFill>
      </c:spPr>
    </c:sideWall>
    <c:backWall>
      <c:spPr>
        <a:solidFill>
          <a:srgbClr val="FFFF00"/>
        </a:solidFill>
      </c:spPr>
    </c:backWall>
    <c:plotArea>
      <c:layout/>
      <c:bar3DChart>
        <c:barDir val="col"/>
        <c:grouping val="clustered"/>
        <c:ser>
          <c:idx val="0"/>
          <c:order val="0"/>
          <c:tx>
            <c:strRef>
              <c:f>Sheet1!$A$2</c:f>
              <c:strCache>
                <c:ptCount val="1"/>
                <c:pt idx="0">
                  <c:v>vsu colectate si tratate </c:v>
                </c:pt>
              </c:strCache>
            </c:strRef>
          </c:tx>
          <c:cat>
            <c:numRef>
              <c:f>Sheet1!$B$1:$K$1</c:f>
              <c:numCache>
                <c:formatCode>General</c:formatCode>
                <c:ptCount val="10"/>
                <c:pt idx="0">
                  <c:v>2005</c:v>
                </c:pt>
                <c:pt idx="1">
                  <c:v>2006</c:v>
                </c:pt>
                <c:pt idx="2">
                  <c:v>2007</c:v>
                </c:pt>
                <c:pt idx="3">
                  <c:v>2008</c:v>
                </c:pt>
                <c:pt idx="4">
                  <c:v>2009</c:v>
                </c:pt>
                <c:pt idx="5">
                  <c:v>2010</c:v>
                </c:pt>
                <c:pt idx="6">
                  <c:v>2011</c:v>
                </c:pt>
                <c:pt idx="7">
                  <c:v>2012</c:v>
                </c:pt>
                <c:pt idx="8">
                  <c:v>2013</c:v>
                </c:pt>
                <c:pt idx="9">
                  <c:v>2014</c:v>
                </c:pt>
              </c:numCache>
            </c:numRef>
          </c:cat>
          <c:val>
            <c:numRef>
              <c:f>Sheet1!$B$2:$K$2</c:f>
              <c:numCache>
                <c:formatCode>General</c:formatCode>
                <c:ptCount val="10"/>
                <c:pt idx="0">
                  <c:v>134</c:v>
                </c:pt>
                <c:pt idx="1">
                  <c:v>238</c:v>
                </c:pt>
                <c:pt idx="2">
                  <c:v>391</c:v>
                </c:pt>
                <c:pt idx="3">
                  <c:v>508</c:v>
                </c:pt>
                <c:pt idx="4">
                  <c:v>485</c:v>
                </c:pt>
                <c:pt idx="5">
                  <c:v>2376</c:v>
                </c:pt>
                <c:pt idx="6">
                  <c:v>1838</c:v>
                </c:pt>
                <c:pt idx="7">
                  <c:v>607</c:v>
                </c:pt>
                <c:pt idx="8">
                  <c:v>98</c:v>
                </c:pt>
                <c:pt idx="9">
                  <c:v>290</c:v>
                </c:pt>
              </c:numCache>
            </c:numRef>
          </c:val>
        </c:ser>
        <c:shape val="cylinder"/>
        <c:axId val="150472576"/>
        <c:axId val="150474112"/>
        <c:axId val="0"/>
      </c:bar3DChart>
      <c:catAx>
        <c:axId val="150472576"/>
        <c:scaling>
          <c:orientation val="minMax"/>
        </c:scaling>
        <c:axPos val="b"/>
        <c:numFmt formatCode="General" sourceLinked="1"/>
        <c:tickLblPos val="nextTo"/>
        <c:crossAx val="150474112"/>
        <c:crosses val="autoZero"/>
        <c:auto val="1"/>
        <c:lblAlgn val="ctr"/>
        <c:lblOffset val="100"/>
      </c:catAx>
      <c:valAx>
        <c:axId val="150474112"/>
        <c:scaling>
          <c:orientation val="minMax"/>
        </c:scaling>
        <c:axPos val="l"/>
        <c:majorGridlines/>
        <c:numFmt formatCode="General" sourceLinked="1"/>
        <c:tickLblPos val="nextTo"/>
        <c:crossAx val="150472576"/>
        <c:crosses val="autoZero"/>
        <c:crossBetween val="between"/>
      </c:valAx>
    </c:plotArea>
    <c:legend>
      <c:legendPos val="r"/>
    </c:legend>
    <c:plotVisOnly val="1"/>
  </c:chart>
  <c:spPr>
    <a:solidFill>
      <a:srgbClr val="FFFF00"/>
    </a:solidFill>
  </c:spPr>
  <c:externalData r:id="rId1"/>
</c:chartSpace>
</file>

<file path=word/charts/chart10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 IX.1.1.1. - 1-</a:t>
            </a:r>
            <a:r>
              <a:rPr lang="ro-RO" sz="1200">
                <a:latin typeface="Arial" pitchFamily="34" charset="0"/>
                <a:cs typeface="Arial" pitchFamily="34" charset="0"/>
              </a:rPr>
              <a:t> </a:t>
            </a:r>
            <a:r>
              <a:rPr lang="en-US" sz="1200">
                <a:latin typeface="Arial" pitchFamily="34" charset="0"/>
                <a:cs typeface="Arial" pitchFamily="34" charset="0"/>
              </a:rPr>
              <a:t>Mortalitatea generală, la nivelul  judeţului Brăila, cea datorată afecţiunilor respiratorii şi cea prin afecţiuni cardiovasculare</a:t>
            </a:r>
            <a:r>
              <a:rPr lang="ro-RO" sz="1200">
                <a:latin typeface="Arial" pitchFamily="34" charset="0"/>
                <a:cs typeface="Arial" pitchFamily="34" charset="0"/>
              </a:rPr>
              <a:t> în  perioada 2010 -2014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mortalitate generală</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4548</c:v>
                </c:pt>
                <c:pt idx="1">
                  <c:v>4437</c:v>
                </c:pt>
                <c:pt idx="2">
                  <c:v>4581</c:v>
                </c:pt>
                <c:pt idx="3">
                  <c:v>4464</c:v>
                </c:pt>
                <c:pt idx="4">
                  <c:v>4455</c:v>
                </c:pt>
              </c:numCache>
            </c:numRef>
          </c:val>
        </c:ser>
        <c:ser>
          <c:idx val="1"/>
          <c:order val="1"/>
          <c:tx>
            <c:strRef>
              <c:f>Sheet1!$C$1</c:f>
              <c:strCache>
                <c:ptCount val="1"/>
                <c:pt idx="0">
                  <c:v>Boli aparat circulator</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2768</c:v>
                </c:pt>
                <c:pt idx="1">
                  <c:v>2614</c:v>
                </c:pt>
                <c:pt idx="2">
                  <c:v>2662</c:v>
                </c:pt>
                <c:pt idx="3">
                  <c:v>2560</c:v>
                </c:pt>
                <c:pt idx="4">
                  <c:v>2484</c:v>
                </c:pt>
              </c:numCache>
            </c:numRef>
          </c:val>
        </c:ser>
        <c:ser>
          <c:idx val="2"/>
          <c:order val="2"/>
          <c:tx>
            <c:strRef>
              <c:f>Sheet1!$D$1</c:f>
              <c:strCache>
                <c:ptCount val="1"/>
                <c:pt idx="0">
                  <c:v>Boala ischemică a inimii</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342</c:v>
                </c:pt>
                <c:pt idx="1">
                  <c:v>312</c:v>
                </c:pt>
                <c:pt idx="2">
                  <c:v>461</c:v>
                </c:pt>
                <c:pt idx="3">
                  <c:v>367</c:v>
                </c:pt>
                <c:pt idx="4">
                  <c:v>353</c:v>
                </c:pt>
              </c:numCache>
            </c:numRef>
          </c:val>
        </c:ser>
        <c:ser>
          <c:idx val="3"/>
          <c:order val="3"/>
          <c:tx>
            <c:strRef>
              <c:f>Sheet1!$E$1</c:f>
              <c:strCache>
                <c:ptCount val="1"/>
                <c:pt idx="0">
                  <c:v>boli respiratorii</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222</c:v>
                </c:pt>
                <c:pt idx="1">
                  <c:v>242</c:v>
                </c:pt>
                <c:pt idx="2">
                  <c:v>256</c:v>
                </c:pt>
                <c:pt idx="3">
                  <c:v>237</c:v>
                </c:pt>
                <c:pt idx="4">
                  <c:v>260</c:v>
                </c:pt>
              </c:numCache>
            </c:numRef>
          </c:val>
        </c:ser>
        <c:axId val="168023552"/>
        <c:axId val="168025088"/>
      </c:barChart>
      <c:catAx>
        <c:axId val="168023552"/>
        <c:scaling>
          <c:orientation val="minMax"/>
        </c:scaling>
        <c:axPos val="b"/>
        <c:numFmt formatCode="General" sourceLinked="1"/>
        <c:tickLblPos val="nextTo"/>
        <c:crossAx val="168025088"/>
        <c:crosses val="autoZero"/>
        <c:auto val="1"/>
        <c:lblAlgn val="ctr"/>
        <c:lblOffset val="100"/>
      </c:catAx>
      <c:valAx>
        <c:axId val="168025088"/>
        <c:scaling>
          <c:orientation val="minMax"/>
        </c:scaling>
        <c:axPos val="l"/>
        <c:majorGridlines/>
        <c:numFmt formatCode="General" sourceLinked="1"/>
        <c:tickLblPos val="nextTo"/>
        <c:crossAx val="168023552"/>
        <c:crosses val="autoZero"/>
        <c:crossBetween val="between"/>
      </c:valAx>
    </c:plotArea>
    <c:legend>
      <c:legendPos val="r"/>
    </c:legend>
    <c:plotVisOnly val="1"/>
    <c:dispBlanksAs val="gap"/>
  </c:chart>
  <c:spPr>
    <a:solidFill>
      <a:srgbClr val="FFFF00"/>
    </a:solidFill>
  </c:spPr>
  <c:externalData r:id="rId2"/>
</c:chartSpace>
</file>

<file path=word/charts/chart10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IX.1.1.1. – 2 -</a:t>
            </a:r>
            <a:r>
              <a:rPr lang="ro-RO" sz="1100">
                <a:latin typeface="Arial" pitchFamily="34" charset="0"/>
                <a:cs typeface="Arial" pitchFamily="34" charset="0"/>
              </a:rPr>
              <a:t> </a:t>
            </a:r>
            <a:r>
              <a:rPr lang="en-US" sz="1100">
                <a:latin typeface="Arial" pitchFamily="34" charset="0"/>
                <a:cs typeface="Arial" pitchFamily="34" charset="0"/>
              </a:rPr>
              <a:t>Mortalitate infantilă şi prin afecţiuni respiratorii în mediul Urban în perioada 2010 - 2014</a:t>
            </a:r>
            <a:endParaRPr lang="ro-RO" sz="11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Mortalitate infantilă în mediul Urban(decedaţi sub 1 an la 1000 născuţi vii)</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9</c:v>
                </c:pt>
                <c:pt idx="1">
                  <c:v>7</c:v>
                </c:pt>
                <c:pt idx="2">
                  <c:v>13</c:v>
                </c:pt>
                <c:pt idx="3">
                  <c:v>16</c:v>
                </c:pt>
                <c:pt idx="4">
                  <c:v>8</c:v>
                </c:pt>
              </c:numCache>
            </c:numRef>
          </c:val>
        </c:ser>
        <c:ser>
          <c:idx val="1"/>
          <c:order val="1"/>
          <c:tx>
            <c:strRef>
              <c:f>Sheet1!$C$1</c:f>
              <c:strCache>
                <c:ptCount val="1"/>
                <c:pt idx="0">
                  <c:v>Mortalitate infantilă prin afecţiuni respiratorii în mediul Urban (decedaţi sub 1 an la 1000 născuţi vii)</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c:v>
                </c:pt>
                <c:pt idx="1">
                  <c:v>1</c:v>
                </c:pt>
                <c:pt idx="2">
                  <c:v>0</c:v>
                </c:pt>
                <c:pt idx="3">
                  <c:v>3</c:v>
                </c:pt>
                <c:pt idx="4">
                  <c:v>0</c:v>
                </c:pt>
              </c:numCache>
            </c:numRef>
          </c:val>
        </c:ser>
        <c:axId val="150728704"/>
        <c:axId val="150730240"/>
      </c:barChart>
      <c:catAx>
        <c:axId val="150728704"/>
        <c:scaling>
          <c:orientation val="minMax"/>
        </c:scaling>
        <c:axPos val="b"/>
        <c:numFmt formatCode="General" sourceLinked="1"/>
        <c:tickLblPos val="nextTo"/>
        <c:crossAx val="150730240"/>
        <c:crosses val="autoZero"/>
        <c:auto val="1"/>
        <c:lblAlgn val="ctr"/>
        <c:lblOffset val="100"/>
      </c:catAx>
      <c:valAx>
        <c:axId val="150730240"/>
        <c:scaling>
          <c:orientation val="minMax"/>
        </c:scaling>
        <c:axPos val="l"/>
        <c:majorGridlines/>
        <c:numFmt formatCode="General" sourceLinked="1"/>
        <c:tickLblPos val="nextTo"/>
        <c:crossAx val="150728704"/>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10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IX.1.1.1. – 3 - Mortalitatea prin afecțiuni cardiovasculare pe orașele din județul Brăila(număr cazuri) </a:t>
            </a:r>
            <a:r>
              <a:rPr lang="ro-RO" sz="1100" b="1" i="0" u="none" strike="noStrike" baseline="0">
                <a:latin typeface="Arial" pitchFamily="34" charset="0"/>
                <a:cs typeface="Arial" pitchFamily="34" charset="0"/>
              </a:rPr>
              <a:t>) în perioada 2010 - 2014 </a:t>
            </a:r>
            <a:endParaRPr lang="ro-RO" sz="1100" b="1">
              <a:latin typeface="Arial" pitchFamily="34" charset="0"/>
              <a:cs typeface="Arial" pitchFamily="34" charset="0"/>
            </a:endParaRPr>
          </a:p>
          <a:p>
            <a:pPr marL="0" marR="0" indent="0" algn="l"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view3D>
      <c:rAngAx val="1"/>
    </c:view3D>
    <c:plotArea>
      <c:layout/>
      <c:bar3DChart>
        <c:barDir val="col"/>
        <c:grouping val="clustered"/>
        <c:ser>
          <c:idx val="0"/>
          <c:order val="0"/>
          <c:tx>
            <c:strRef>
              <c:f>Sheet1!$B$1</c:f>
              <c:strCache>
                <c:ptCount val="1"/>
                <c:pt idx="0">
                  <c:v>Mun. Brăila</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1289</c:v>
                </c:pt>
                <c:pt idx="1">
                  <c:v>1184</c:v>
                </c:pt>
                <c:pt idx="2">
                  <c:v>1103</c:v>
                </c:pt>
                <c:pt idx="3">
                  <c:v>1145</c:v>
                </c:pt>
                <c:pt idx="4">
                  <c:v>1147</c:v>
                </c:pt>
              </c:numCache>
            </c:numRef>
          </c:val>
        </c:ser>
        <c:ser>
          <c:idx val="1"/>
          <c:order val="1"/>
          <c:tx>
            <c:strRef>
              <c:f>Sheet1!$C$1</c:f>
              <c:strCache>
                <c:ptCount val="1"/>
                <c:pt idx="0">
                  <c:v>Oraș Ianca</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84</c:v>
                </c:pt>
                <c:pt idx="1">
                  <c:v>88</c:v>
                </c:pt>
                <c:pt idx="2">
                  <c:v>78</c:v>
                </c:pt>
                <c:pt idx="3">
                  <c:v>86</c:v>
                </c:pt>
                <c:pt idx="4">
                  <c:v>71</c:v>
                </c:pt>
              </c:numCache>
            </c:numRef>
          </c:val>
        </c:ser>
        <c:ser>
          <c:idx val="2"/>
          <c:order val="2"/>
          <c:tx>
            <c:strRef>
              <c:f>Sheet1!$D$1</c:f>
              <c:strCache>
                <c:ptCount val="1"/>
                <c:pt idx="0">
                  <c:v>Oraș Făurei</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29</c:v>
                </c:pt>
                <c:pt idx="1">
                  <c:v>78</c:v>
                </c:pt>
                <c:pt idx="2">
                  <c:v>34</c:v>
                </c:pt>
                <c:pt idx="3">
                  <c:v>23</c:v>
                </c:pt>
                <c:pt idx="4">
                  <c:v>23</c:v>
                </c:pt>
              </c:numCache>
            </c:numRef>
          </c:val>
        </c:ser>
        <c:ser>
          <c:idx val="3"/>
          <c:order val="3"/>
          <c:tx>
            <c:strRef>
              <c:f>Sheet1!$E$1</c:f>
              <c:strCache>
                <c:ptCount val="1"/>
                <c:pt idx="0">
                  <c:v>Oraș Însurăței</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67</c:v>
                </c:pt>
                <c:pt idx="1">
                  <c:v>86</c:v>
                </c:pt>
                <c:pt idx="2">
                  <c:v>61</c:v>
                </c:pt>
                <c:pt idx="3">
                  <c:v>55</c:v>
                </c:pt>
                <c:pt idx="4">
                  <c:v>54</c:v>
                </c:pt>
              </c:numCache>
            </c:numRef>
          </c:val>
        </c:ser>
        <c:shape val="cylinder"/>
        <c:axId val="169553920"/>
        <c:axId val="169555456"/>
        <c:axId val="0"/>
      </c:bar3DChart>
      <c:catAx>
        <c:axId val="169553920"/>
        <c:scaling>
          <c:orientation val="minMax"/>
        </c:scaling>
        <c:axPos val="b"/>
        <c:numFmt formatCode="General" sourceLinked="1"/>
        <c:tickLblPos val="nextTo"/>
        <c:crossAx val="169555456"/>
        <c:crosses val="autoZero"/>
        <c:auto val="1"/>
        <c:lblAlgn val="ctr"/>
        <c:lblOffset val="100"/>
      </c:catAx>
      <c:valAx>
        <c:axId val="169555456"/>
        <c:scaling>
          <c:orientation val="minMax"/>
        </c:scaling>
        <c:axPos val="l"/>
        <c:majorGridlines/>
        <c:numFmt formatCode="General" sourceLinked="1"/>
        <c:tickLblPos val="nextTo"/>
        <c:crossAx val="169553920"/>
        <c:crosses val="autoZero"/>
        <c:crossBetween val="between"/>
      </c:valAx>
    </c:plotArea>
    <c:legend>
      <c:legendPos val="r"/>
    </c:legend>
    <c:plotVisOnly val="1"/>
  </c:chart>
  <c:spPr>
    <a:solidFill>
      <a:srgbClr val="FFFF00"/>
    </a:solidFill>
  </c:spPr>
  <c:externalData r:id="rId1"/>
</c:chartSpace>
</file>

<file path=word/charts/chart10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l">
              <a:defRPr/>
            </a:pPr>
            <a:r>
              <a:rPr lang="ro-RO" sz="1100" b="1" i="0" u="none" strike="noStrike" baseline="0">
                <a:latin typeface="Arial" pitchFamily="34" charset="0"/>
                <a:cs typeface="Arial" pitchFamily="34" charset="0"/>
              </a:rPr>
              <a:t>Figura nr. IX.1.1.1. – 4 - </a:t>
            </a:r>
            <a:r>
              <a:rPr lang="ro-RO" sz="1100" b="1">
                <a:latin typeface="Arial" pitchFamily="34" charset="0"/>
                <a:cs typeface="Arial" pitchFamily="34" charset="0"/>
              </a:rPr>
              <a:t>Incidența cazurilor de astm bronșic pe orașele din județul Brăila (număr cazuri)</a:t>
            </a:r>
          </a:p>
          <a:p>
            <a:pPr algn="l">
              <a:defRPr/>
            </a:pPr>
            <a:endParaRPr lang="ro-RO"/>
          </a:p>
        </c:rich>
      </c:tx>
    </c:title>
    <c:view3D>
      <c:rAngAx val="1"/>
    </c:view3D>
    <c:plotArea>
      <c:layout/>
      <c:bar3DChart>
        <c:barDir val="col"/>
        <c:grouping val="clustered"/>
        <c:ser>
          <c:idx val="0"/>
          <c:order val="0"/>
          <c:tx>
            <c:strRef>
              <c:f>Sheet1!$B$1</c:f>
              <c:strCache>
                <c:ptCount val="1"/>
                <c:pt idx="0">
                  <c:v>Mun. Brăila</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120</c:v>
                </c:pt>
                <c:pt idx="1">
                  <c:v>104</c:v>
                </c:pt>
                <c:pt idx="2">
                  <c:v>241</c:v>
                </c:pt>
                <c:pt idx="3">
                  <c:v>201</c:v>
                </c:pt>
                <c:pt idx="4">
                  <c:v>217</c:v>
                </c:pt>
              </c:numCache>
            </c:numRef>
          </c:val>
        </c:ser>
        <c:ser>
          <c:idx val="1"/>
          <c:order val="1"/>
          <c:tx>
            <c:strRef>
              <c:f>Sheet1!$C$1</c:f>
              <c:strCache>
                <c:ptCount val="1"/>
                <c:pt idx="0">
                  <c:v>Oraș Ianca</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6</c:v>
                </c:pt>
                <c:pt idx="1">
                  <c:v>0</c:v>
                </c:pt>
                <c:pt idx="2">
                  <c:v>36</c:v>
                </c:pt>
                <c:pt idx="3">
                  <c:v>14</c:v>
                </c:pt>
                <c:pt idx="4">
                  <c:v>25</c:v>
                </c:pt>
              </c:numCache>
            </c:numRef>
          </c:val>
        </c:ser>
        <c:ser>
          <c:idx val="2"/>
          <c:order val="2"/>
          <c:tx>
            <c:strRef>
              <c:f>Sheet1!$D$1</c:f>
              <c:strCache>
                <c:ptCount val="1"/>
                <c:pt idx="0">
                  <c:v>Oraș Făurei</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0</c:v>
                </c:pt>
                <c:pt idx="2">
                  <c:v>31</c:v>
                </c:pt>
                <c:pt idx="3">
                  <c:v>19</c:v>
                </c:pt>
                <c:pt idx="4">
                  <c:v>27</c:v>
                </c:pt>
              </c:numCache>
            </c:numRef>
          </c:val>
        </c:ser>
        <c:ser>
          <c:idx val="3"/>
          <c:order val="3"/>
          <c:tx>
            <c:strRef>
              <c:f>Sheet1!$E$1</c:f>
              <c:strCache>
                <c:ptCount val="1"/>
                <c:pt idx="0">
                  <c:v>Oraș Însurăței</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1</c:v>
                </c:pt>
                <c:pt idx="1">
                  <c:v>0</c:v>
                </c:pt>
                <c:pt idx="2">
                  <c:v>1</c:v>
                </c:pt>
                <c:pt idx="3">
                  <c:v>0</c:v>
                </c:pt>
                <c:pt idx="4">
                  <c:v>10</c:v>
                </c:pt>
              </c:numCache>
            </c:numRef>
          </c:val>
        </c:ser>
        <c:ser>
          <c:idx val="4"/>
          <c:order val="4"/>
          <c:tx>
            <c:strRef>
              <c:f>Sheet1!$F$1</c:f>
              <c:strCache>
                <c:ptCount val="1"/>
                <c:pt idx="0">
                  <c:v>Total județ</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General</c:formatCode>
                <c:ptCount val="5"/>
                <c:pt idx="0">
                  <c:v>321</c:v>
                </c:pt>
                <c:pt idx="1">
                  <c:v>286</c:v>
                </c:pt>
                <c:pt idx="2">
                  <c:v>394</c:v>
                </c:pt>
                <c:pt idx="3">
                  <c:v>332</c:v>
                </c:pt>
                <c:pt idx="4">
                  <c:v>504</c:v>
                </c:pt>
              </c:numCache>
            </c:numRef>
          </c:val>
        </c:ser>
        <c:shape val="cylinder"/>
        <c:axId val="120013568"/>
        <c:axId val="120015104"/>
        <c:axId val="0"/>
      </c:bar3DChart>
      <c:catAx>
        <c:axId val="120013568"/>
        <c:scaling>
          <c:orientation val="minMax"/>
        </c:scaling>
        <c:axPos val="b"/>
        <c:numFmt formatCode="General" sourceLinked="1"/>
        <c:tickLblPos val="nextTo"/>
        <c:crossAx val="120015104"/>
        <c:crosses val="autoZero"/>
        <c:auto val="1"/>
        <c:lblAlgn val="ctr"/>
        <c:lblOffset val="100"/>
      </c:catAx>
      <c:valAx>
        <c:axId val="120015104"/>
        <c:scaling>
          <c:orientation val="minMax"/>
        </c:scaling>
        <c:axPos val="l"/>
        <c:majorGridlines/>
        <c:numFmt formatCode="General" sourceLinked="1"/>
        <c:tickLblPos val="nextTo"/>
        <c:crossAx val="120013568"/>
        <c:crosses val="autoZero"/>
        <c:crossBetween val="between"/>
      </c:valAx>
    </c:plotArea>
    <c:legend>
      <c:legendPos val="r"/>
    </c:legend>
    <c:plotVisOnly val="1"/>
  </c:chart>
  <c:spPr>
    <a:solidFill>
      <a:srgbClr val="FFFF00"/>
    </a:solidFill>
  </c:spPr>
  <c:externalData r:id="rId1"/>
</c:chartSpace>
</file>

<file path=word/charts/chart10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IX.1.1.1. – 5  -</a:t>
            </a:r>
            <a:r>
              <a:rPr lang="ro-RO" sz="1100">
                <a:latin typeface="Arial" pitchFamily="34" charset="0"/>
                <a:cs typeface="Arial" pitchFamily="34" charset="0"/>
              </a:rPr>
              <a:t> </a:t>
            </a:r>
            <a:r>
              <a:rPr lang="en-US" sz="1100">
                <a:latin typeface="Arial" pitchFamily="34" charset="0"/>
                <a:cs typeface="Arial" pitchFamily="34" charset="0"/>
              </a:rPr>
              <a:t>Evoluția  concentraţiilor  medii anuale a PM</a:t>
            </a:r>
            <a:r>
              <a:rPr lang="en-US" sz="1100" baseline="-25000">
                <a:latin typeface="Arial" pitchFamily="34" charset="0"/>
                <a:cs typeface="Arial" pitchFamily="34" charset="0"/>
              </a:rPr>
              <a:t>10</a:t>
            </a:r>
            <a:r>
              <a:rPr lang="en-US" sz="1100">
                <a:latin typeface="Arial" pitchFamily="34" charset="0"/>
                <a:cs typeface="Arial" pitchFamily="34" charset="0"/>
              </a:rPr>
              <a:t> - </a:t>
            </a:r>
            <a:r>
              <a:rPr lang="ro-RO" sz="1100">
                <a:latin typeface="Arial" pitchFamily="34" charset="0"/>
                <a:cs typeface="Arial" pitchFamily="34" charset="0"/>
              </a:rPr>
              <a:t>(µg/mc) în județul Brăila în perioada 2010 – 2014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lineChart>
        <c:grouping val="standard"/>
        <c:ser>
          <c:idx val="0"/>
          <c:order val="0"/>
          <c:tx>
            <c:strRef>
              <c:f>Sheet1!$B$1</c:f>
              <c:strCache>
                <c:ptCount val="1"/>
                <c:pt idx="0">
                  <c:v>PM10 (concentraţie medie/an)  (µg/mc</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24.5</c:v>
                </c:pt>
                <c:pt idx="1">
                  <c:v>32.5</c:v>
                </c:pt>
                <c:pt idx="2">
                  <c:v>28.07</c:v>
                </c:pt>
                <c:pt idx="3">
                  <c:v>36.15</c:v>
                </c:pt>
                <c:pt idx="4">
                  <c:v>46.03</c:v>
                </c:pt>
              </c:numCache>
            </c:numRef>
          </c:val>
        </c:ser>
        <c:ser>
          <c:idx val="1"/>
          <c:order val="1"/>
          <c:tx>
            <c:strRef>
              <c:f>Sheet1!$C$1</c:f>
              <c:strCache>
                <c:ptCount val="1"/>
                <c:pt idx="0">
                  <c:v>Column1</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marker val="1"/>
        <c:axId val="169581952"/>
        <c:axId val="167838848"/>
      </c:lineChart>
      <c:catAx>
        <c:axId val="169581952"/>
        <c:scaling>
          <c:orientation val="minMax"/>
        </c:scaling>
        <c:axPos val="b"/>
        <c:numFmt formatCode="General" sourceLinked="1"/>
        <c:tickLblPos val="nextTo"/>
        <c:crossAx val="167838848"/>
        <c:crosses val="autoZero"/>
        <c:auto val="1"/>
        <c:lblAlgn val="ctr"/>
        <c:lblOffset val="100"/>
      </c:catAx>
      <c:valAx>
        <c:axId val="167838848"/>
        <c:scaling>
          <c:orientation val="minMax"/>
        </c:scaling>
        <c:axPos val="l"/>
        <c:majorGridlines/>
        <c:numFmt formatCode="General" sourceLinked="1"/>
        <c:tickLblPos val="nextTo"/>
        <c:crossAx val="169581952"/>
        <c:crosses val="autoZero"/>
        <c:crossBetween val="between"/>
      </c:valAx>
    </c:plotArea>
    <c:legend>
      <c:legendPos val="r"/>
      <c:legendEntry>
        <c:idx val="1"/>
        <c:delete val="1"/>
      </c:legendEntry>
      <c:legendEntry>
        <c:idx val="2"/>
        <c:delete val="1"/>
      </c:legendEntry>
    </c:legend>
    <c:plotVisOnly val="1"/>
  </c:chart>
  <c:spPr>
    <a:solidFill>
      <a:schemeClr val="accent5">
        <a:lumMod val="20000"/>
        <a:lumOff val="80000"/>
      </a:schemeClr>
    </a:solidFill>
  </c:spPr>
  <c:externalData r:id="rId1"/>
</c:chartSpace>
</file>

<file path=word/charts/chart10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lgn="ctr" rtl="0">
              <a:defRPr/>
            </a:pPr>
            <a:r>
              <a:rPr lang="ro-RO"/>
              <a:t>Evoluția</a:t>
            </a:r>
            <a:r>
              <a:rPr lang="ro-RO" baseline="0"/>
              <a:t> zgomotului în parcuri, zone de recreere și odihnă</a:t>
            </a:r>
            <a:endParaRPr lang="ro-RO"/>
          </a:p>
        </c:rich>
      </c:tx>
      <c:spPr>
        <a:ln>
          <a:noFill/>
        </a:ln>
      </c:spPr>
    </c:title>
    <c:plotArea>
      <c:layout/>
      <c:lineChart>
        <c:grouping val="standard"/>
        <c:ser>
          <c:idx val="0"/>
          <c:order val="0"/>
          <c:tx>
            <c:strRef>
              <c:f>Sheet1!$B$1</c:f>
              <c:strCache>
                <c:ptCount val="1"/>
                <c:pt idx="0">
                  <c:v>media anuală</c:v>
                </c:pt>
              </c:strCache>
            </c:strRef>
          </c:tx>
          <c:spPr>
            <a:ln w="28575">
              <a:solidFill>
                <a:srgbClr val="C00000"/>
              </a:solidFill>
            </a:ln>
          </c:spPr>
          <c:marker>
            <c:symbol val="square"/>
            <c:size val="4"/>
            <c:spPr>
              <a:solidFill>
                <a:srgbClr val="FFFF00"/>
              </a:solidFill>
            </c:spPr>
          </c:marker>
          <c:dLbls>
            <c:dLbl>
              <c:idx val="0"/>
              <c:layout>
                <c:manualLayout>
                  <c:x val="-4.6570583270730735E-2"/>
                  <c:y val="6.4383798616082413E-2"/>
                </c:manualLayout>
              </c:layout>
              <c:showVal val="1"/>
            </c:dLbl>
            <c:dLbl>
              <c:idx val="1"/>
              <c:layout>
                <c:manualLayout>
                  <c:x val="-3.798132123943871E-2"/>
                  <c:y val="5.7617811978048827E-2"/>
                </c:manualLayout>
              </c:layout>
              <c:showVal val="1"/>
            </c:dLbl>
            <c:dLbl>
              <c:idx val="2"/>
              <c:layout>
                <c:manualLayout>
                  <c:x val="-4.7114252061248599E-2"/>
                  <c:y val="5.3030303030303129E-2"/>
                </c:manualLayout>
              </c:layout>
              <c:showVal val="1"/>
            </c:dLbl>
            <c:dLbl>
              <c:idx val="3"/>
              <c:layout>
                <c:manualLayout>
                  <c:x val="-4.5945484729603123E-2"/>
                  <c:y val="5.4099558577905035E-2"/>
                </c:manualLayout>
              </c:layout>
              <c:showVal val="1"/>
            </c:dLbl>
            <c:dLbl>
              <c:idx val="4"/>
              <c:layout>
                <c:manualLayout>
                  <c:x val="-4.8717991523145023E-2"/>
                  <c:y val="5.3290085898353719E-2"/>
                </c:manualLayout>
              </c:layout>
              <c:showVal val="1"/>
            </c:dLbl>
            <c:txPr>
              <a:bodyPr/>
              <a:lstStyle/>
              <a:p>
                <a:pPr>
                  <a:defRPr sz="900" b="1" i="0" baseline="0"/>
                </a:pPr>
                <a:endParaRPr lang="ro-RO"/>
              </a:p>
            </c:txPr>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54.1</c:v>
                </c:pt>
                <c:pt idx="1">
                  <c:v>55.5</c:v>
                </c:pt>
                <c:pt idx="2">
                  <c:v>55.3</c:v>
                </c:pt>
                <c:pt idx="3">
                  <c:v>56.2</c:v>
                </c:pt>
                <c:pt idx="4">
                  <c:v>54.7</c:v>
                </c:pt>
              </c:numCache>
            </c:numRef>
          </c:val>
        </c:ser>
        <c:ser>
          <c:idx val="1"/>
          <c:order val="1"/>
          <c:tx>
            <c:strRef>
              <c:f>Sheet1!$C$1</c:f>
              <c:strCache>
                <c:ptCount val="1"/>
                <c:pt idx="0">
                  <c:v>limita admisă</c:v>
                </c:pt>
              </c:strCache>
            </c:strRef>
          </c:tx>
          <c:spPr>
            <a:ln w="28575">
              <a:solidFill>
                <a:srgbClr val="D47ACE"/>
              </a:solidFill>
            </a:ln>
          </c:spPr>
          <c:marker>
            <c:symbol val="square"/>
            <c:size val="13"/>
            <c:spPr>
              <a:solidFill>
                <a:srgbClr val="FFFF00"/>
              </a:solidFill>
              <a:ln w="6350">
                <a:solidFill>
                  <a:srgbClr val="D47ACE"/>
                </a:solidFill>
              </a:ln>
            </c:spPr>
          </c:marker>
          <c:dPt>
            <c:idx val="0"/>
            <c:marker>
              <c:symbol val="circle"/>
              <c:size val="7"/>
            </c:marker>
          </c:dPt>
          <c:dPt>
            <c:idx val="1"/>
            <c:marker>
              <c:symbol val="circle"/>
              <c:size val="7"/>
            </c:marker>
          </c:dPt>
          <c:dPt>
            <c:idx val="2"/>
            <c:marker>
              <c:symbol val="circle"/>
              <c:size val="7"/>
            </c:marker>
          </c:dPt>
          <c:dPt>
            <c:idx val="3"/>
            <c:marker>
              <c:symbol val="circle"/>
              <c:size val="7"/>
            </c:marker>
          </c:dPt>
          <c:dPt>
            <c:idx val="4"/>
            <c:marker>
              <c:symbol val="circle"/>
              <c:size val="7"/>
            </c:marker>
          </c:dPt>
          <c:dLbls>
            <c:dLbl>
              <c:idx val="0"/>
              <c:layout>
                <c:manualLayout>
                  <c:x val="-5.3846153846153891E-2"/>
                  <c:y val="6.684256816182936E-2"/>
                </c:manualLayout>
              </c:layout>
              <c:showVal val="1"/>
            </c:dLbl>
            <c:dLbl>
              <c:idx val="1"/>
              <c:layout>
                <c:manualLayout>
                  <c:x val="-5.3846153846153912E-2"/>
                  <c:y val="6.3324538258575383E-2"/>
                </c:manualLayout>
              </c:layout>
              <c:showVal val="1"/>
            </c:dLbl>
            <c:dLbl>
              <c:idx val="2"/>
              <c:layout>
                <c:manualLayout>
                  <c:x val="-5.1282051282051294E-2"/>
                  <c:y val="5.2770448548812784E-2"/>
                </c:manualLayout>
              </c:layout>
              <c:showVal val="1"/>
            </c:dLbl>
            <c:dLbl>
              <c:idx val="3"/>
              <c:layout>
                <c:manualLayout>
                  <c:x val="-5.6410256410256432E-2"/>
                  <c:y val="6.3324538258575383E-2"/>
                </c:manualLayout>
              </c:layout>
              <c:showVal val="1"/>
            </c:dLbl>
            <c:dLbl>
              <c:idx val="4"/>
              <c:layout>
                <c:manualLayout>
                  <c:x val="-6.1538461538461584E-2"/>
                  <c:y val="5.6288478452066908E-2"/>
                </c:manualLayout>
              </c:layout>
              <c:showVal val="1"/>
            </c:dLbl>
            <c:txPr>
              <a:bodyPr/>
              <a:lstStyle/>
              <a:p>
                <a:pPr>
                  <a:defRPr sz="900" b="1" i="0" baseline="0"/>
                </a:pPr>
                <a:endParaRPr lang="ro-RO"/>
              </a:p>
            </c:txPr>
            <c:showVal val="1"/>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45</c:v>
                </c:pt>
                <c:pt idx="1">
                  <c:v>45</c:v>
                </c:pt>
                <c:pt idx="2">
                  <c:v>45</c:v>
                </c:pt>
                <c:pt idx="3">
                  <c:v>45</c:v>
                </c:pt>
                <c:pt idx="4">
                  <c:v>45</c:v>
                </c:pt>
              </c:numCache>
            </c:numRef>
          </c:val>
        </c:ser>
        <c:marker val="1"/>
        <c:axId val="167895424"/>
        <c:axId val="167896960"/>
      </c:lineChart>
      <c:catAx>
        <c:axId val="167895424"/>
        <c:scaling>
          <c:orientation val="minMax"/>
        </c:scaling>
        <c:axPos val="b"/>
        <c:numFmt formatCode="General" sourceLinked="1"/>
        <c:majorTickMark val="none"/>
        <c:tickLblPos val="nextTo"/>
        <c:spPr>
          <a:noFill/>
          <a:ln cap="rnd"/>
        </c:spPr>
        <c:txPr>
          <a:bodyPr/>
          <a:lstStyle/>
          <a:p>
            <a:pPr>
              <a:defRPr sz="900" b="1"/>
            </a:pPr>
            <a:endParaRPr lang="ro-RO"/>
          </a:p>
        </c:txPr>
        <c:crossAx val="167896960"/>
        <c:crossesAt val="0"/>
        <c:auto val="1"/>
        <c:lblAlgn val="ctr"/>
        <c:lblOffset val="100"/>
      </c:catAx>
      <c:valAx>
        <c:axId val="167896960"/>
        <c:scaling>
          <c:orientation val="minMax"/>
          <c:max val="57"/>
          <c:min val="42"/>
        </c:scaling>
        <c:axPos val="l"/>
        <c:majorGridlines/>
        <c:minorGridlines>
          <c:spPr>
            <a:ln>
              <a:solidFill>
                <a:sysClr val="windowText" lastClr="000000"/>
              </a:solidFill>
            </a:ln>
          </c:spPr>
        </c:minorGridlines>
        <c:title>
          <c:tx>
            <c:rich>
              <a:bodyPr/>
              <a:lstStyle/>
              <a:p>
                <a:pPr>
                  <a:defRPr/>
                </a:pPr>
                <a:r>
                  <a:rPr lang="ro-RO">
                    <a:latin typeface="Arial"/>
                    <a:cs typeface="Arial"/>
                  </a:rPr>
                  <a:t>dB(A)</a:t>
                </a:r>
                <a:endParaRPr lang="ro-RO"/>
              </a:p>
            </c:rich>
          </c:tx>
        </c:title>
        <c:numFmt formatCode="#,##0.0" sourceLinked="0"/>
        <c:majorTickMark val="none"/>
        <c:tickLblPos val="nextTo"/>
        <c:spPr>
          <a:noFill/>
        </c:spPr>
        <c:txPr>
          <a:bodyPr/>
          <a:lstStyle/>
          <a:p>
            <a:pPr>
              <a:defRPr sz="900" b="1"/>
            </a:pPr>
            <a:endParaRPr lang="ro-RO"/>
          </a:p>
        </c:txPr>
        <c:crossAx val="167895424"/>
        <c:crosses val="autoZero"/>
        <c:crossBetween val="between"/>
        <c:majorUnit val="2"/>
        <c:minorUnit val="1"/>
      </c:valAx>
      <c:spPr>
        <a:noFill/>
        <a:ln w="12700">
          <a:solidFill>
            <a:sysClr val="windowText" lastClr="000000"/>
          </a:solidFill>
        </a:ln>
      </c:spPr>
    </c:plotArea>
    <c:legend>
      <c:legendPos val="b"/>
      <c:legendEntry>
        <c:idx val="0"/>
        <c:txPr>
          <a:bodyPr/>
          <a:lstStyle/>
          <a:p>
            <a:pPr>
              <a:defRPr sz="900" b="1" i="0" baseline="0"/>
            </a:pPr>
            <a:endParaRPr lang="ro-RO"/>
          </a:p>
        </c:txPr>
      </c:legendEntry>
      <c:legendEntry>
        <c:idx val="1"/>
        <c:txPr>
          <a:bodyPr/>
          <a:lstStyle/>
          <a:p>
            <a:pPr>
              <a:defRPr sz="900" b="1" i="0" baseline="0"/>
            </a:pPr>
            <a:endParaRPr lang="ro-RO"/>
          </a:p>
        </c:txPr>
      </c:legendEntry>
    </c:legend>
    <c:plotVisOnly val="1"/>
  </c:chart>
  <c:spPr>
    <a:noFill/>
  </c:spPr>
  <c:txPr>
    <a:bodyPr/>
    <a:lstStyle/>
    <a:p>
      <a:pPr>
        <a:defRPr sz="1000">
          <a:latin typeface="Arial" pitchFamily="34" charset="0"/>
          <a:cs typeface="Arial" pitchFamily="34" charset="0"/>
        </a:defRPr>
      </a:pPr>
      <a:endParaRPr lang="ro-RO"/>
    </a:p>
  </c:txPr>
  <c:externalData r:id="rId1"/>
</c:chartSpace>
</file>

<file path=word/charts/chart10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defRPr sz="1200">
                <a:latin typeface="Arial" pitchFamily="34" charset="0"/>
                <a:cs typeface="Arial" pitchFamily="34" charset="0"/>
              </a:defRPr>
            </a:pPr>
            <a:r>
              <a:rPr lang="ro-RO" sz="1200">
                <a:latin typeface="Arial" pitchFamily="34" charset="0"/>
                <a:cs typeface="Arial" pitchFamily="34" charset="0"/>
              </a:rPr>
              <a:t>Evoluția zgomotului echivalent în parcuri, zone de recreere și odihnă - anul 2014</a:t>
            </a:r>
          </a:p>
        </c:rich>
      </c:tx>
    </c:title>
    <c:plotArea>
      <c:layout>
        <c:manualLayout>
          <c:layoutTarget val="inner"/>
          <c:xMode val="edge"/>
          <c:yMode val="edge"/>
          <c:x val="0.14479732235305448"/>
          <c:y val="0.23838515030981947"/>
          <c:w val="0.82829136266223602"/>
          <c:h val="0.56825917470375376"/>
        </c:manualLayout>
      </c:layout>
      <c:barChart>
        <c:barDir val="col"/>
        <c:grouping val="clustered"/>
        <c:ser>
          <c:idx val="0"/>
          <c:order val="0"/>
          <c:tx>
            <c:strRef>
              <c:f>Sheet1!$B$1</c:f>
              <c:strCache>
                <c:ptCount val="1"/>
                <c:pt idx="0">
                  <c:v>Trimestre</c:v>
                </c:pt>
              </c:strCache>
            </c:strRef>
          </c:tx>
          <c:dLbls>
            <c:dLbl>
              <c:idx val="0"/>
              <c:layout>
                <c:manualLayout>
                  <c:x val="-8.7456957788533568E-5"/>
                  <c:y val="1.8564638183113723E-2"/>
                </c:manualLayout>
              </c:layout>
              <c:showVal val="1"/>
            </c:dLbl>
            <c:dLbl>
              <c:idx val="1"/>
              <c:layout>
                <c:manualLayout>
                  <c:x val="-1.2841147150184208E-3"/>
                  <c:y val="-1.9467669634079397E-3"/>
                </c:manualLayout>
              </c:layout>
              <c:showVal val="1"/>
            </c:dLbl>
            <c:dLbl>
              <c:idx val="2"/>
              <c:layout>
                <c:manualLayout>
                  <c:x val="-3.077560259096081E-3"/>
                  <c:y val="-6.5344409268429104E-3"/>
                </c:manualLayout>
              </c:layout>
              <c:showVal val="1"/>
            </c:dLbl>
            <c:dLbl>
              <c:idx val="3"/>
              <c:layout>
                <c:manualLayout>
                  <c:x val="-1.9088347901466461E-3"/>
                  <c:y val="-5.4650900596188434E-3"/>
                </c:manualLayout>
              </c:layout>
              <c:showVal val="1"/>
            </c:dLbl>
            <c:dLbl>
              <c:idx val="4"/>
              <c:layout>
                <c:manualLayout>
                  <c:x val="-4.8717991523145085E-2"/>
                  <c:y val="5.3290085898353684E-2"/>
                </c:manualLayout>
              </c:layout>
              <c:showVal val="1"/>
            </c:dLbl>
            <c:showVal val="1"/>
          </c:dLbls>
          <c:cat>
            <c:numRef>
              <c:f>Sheet1!$A$2:$A$5</c:f>
              <c:numCache>
                <c:formatCode>General</c:formatCode>
                <c:ptCount val="4"/>
                <c:pt idx="2">
                  <c:v>2014</c:v>
                </c:pt>
              </c:numCache>
            </c:numRef>
          </c:cat>
          <c:val>
            <c:numRef>
              <c:f>Sheet1!$B$2:$B$5</c:f>
              <c:numCache>
                <c:formatCode>General</c:formatCode>
                <c:ptCount val="4"/>
                <c:pt idx="0">
                  <c:v>55.1</c:v>
                </c:pt>
                <c:pt idx="1">
                  <c:v>55.8</c:v>
                </c:pt>
                <c:pt idx="2">
                  <c:v>52.4</c:v>
                </c:pt>
                <c:pt idx="3">
                  <c:v>49.2</c:v>
                </c:pt>
              </c:numCache>
            </c:numRef>
          </c:val>
        </c:ser>
        <c:ser>
          <c:idx val="1"/>
          <c:order val="1"/>
          <c:tx>
            <c:strRef>
              <c:f>Sheet1!$C$1</c:f>
              <c:strCache>
                <c:ptCount val="1"/>
                <c:pt idx="0">
                  <c:v>limita admisă</c:v>
                </c:pt>
              </c:strCache>
            </c:strRef>
          </c:tx>
          <c:dLbls>
            <c:dLbl>
              <c:idx val="0"/>
              <c:showVal val="1"/>
            </c:dLbl>
            <c:dLbl>
              <c:idx val="1"/>
              <c:showVal val="1"/>
            </c:dLbl>
            <c:dLbl>
              <c:idx val="2"/>
              <c:showVal val="1"/>
            </c:dLbl>
            <c:dLbl>
              <c:idx val="3"/>
              <c:showVal val="1"/>
            </c:dLbl>
            <c:delete val="1"/>
          </c:dLbls>
          <c:cat>
            <c:numRef>
              <c:f>Sheet1!$A$2:$A$5</c:f>
              <c:numCache>
                <c:formatCode>General</c:formatCode>
                <c:ptCount val="4"/>
                <c:pt idx="2">
                  <c:v>2014</c:v>
                </c:pt>
              </c:numCache>
            </c:numRef>
          </c:cat>
          <c:val>
            <c:numRef>
              <c:f>Sheet1!$C$2:$C$5</c:f>
              <c:numCache>
                <c:formatCode>General</c:formatCode>
                <c:ptCount val="4"/>
                <c:pt idx="0">
                  <c:v>45</c:v>
                </c:pt>
                <c:pt idx="1">
                  <c:v>45</c:v>
                </c:pt>
                <c:pt idx="2">
                  <c:v>45</c:v>
                </c:pt>
                <c:pt idx="3">
                  <c:v>45</c:v>
                </c:pt>
              </c:numCache>
            </c:numRef>
          </c:val>
        </c:ser>
        <c:ser>
          <c:idx val="2"/>
          <c:order val="2"/>
          <c:tx>
            <c:strRef>
              <c:f>Sheet1!$D$1</c:f>
              <c:strCache>
                <c:ptCount val="1"/>
                <c:pt idx="0">
                  <c:v>Semestre</c:v>
                </c:pt>
              </c:strCache>
            </c:strRef>
          </c:tx>
          <c:dLbls>
            <c:showVal val="1"/>
          </c:dLbls>
          <c:cat>
            <c:numRef>
              <c:f>Sheet1!$A$2:$A$5</c:f>
              <c:numCache>
                <c:formatCode>General</c:formatCode>
                <c:ptCount val="4"/>
                <c:pt idx="2">
                  <c:v>2014</c:v>
                </c:pt>
              </c:numCache>
            </c:numRef>
          </c:cat>
          <c:val>
            <c:numRef>
              <c:f>Sheet1!$D$2:$D$5</c:f>
              <c:numCache>
                <c:formatCode>General</c:formatCode>
                <c:ptCount val="4"/>
                <c:pt idx="1">
                  <c:v>55.449999999999996</c:v>
                </c:pt>
                <c:pt idx="3">
                  <c:v>50.8</c:v>
                </c:pt>
              </c:numCache>
            </c:numRef>
          </c:val>
        </c:ser>
        <c:gapWidth val="303"/>
        <c:overlap val="-33"/>
        <c:axId val="169870848"/>
        <c:axId val="169872384"/>
      </c:barChart>
      <c:catAx>
        <c:axId val="169870848"/>
        <c:scaling>
          <c:orientation val="minMax"/>
        </c:scaling>
        <c:axPos val="b"/>
        <c:numFmt formatCode="General" sourceLinked="1"/>
        <c:majorTickMark val="none"/>
        <c:tickLblPos val="nextTo"/>
        <c:txPr>
          <a:bodyPr/>
          <a:lstStyle/>
          <a:p>
            <a:pPr>
              <a:defRPr sz="1100" b="1">
                <a:latin typeface="Arial" pitchFamily="34" charset="0"/>
                <a:cs typeface="Arial" pitchFamily="34" charset="0"/>
              </a:defRPr>
            </a:pPr>
            <a:endParaRPr lang="ro-RO"/>
          </a:p>
        </c:txPr>
        <c:crossAx val="169872384"/>
        <c:crossesAt val="0"/>
        <c:auto val="1"/>
        <c:lblAlgn val="ctr"/>
        <c:lblOffset val="100"/>
      </c:catAx>
      <c:valAx>
        <c:axId val="169872384"/>
        <c:scaling>
          <c:orientation val="minMax"/>
          <c:max val="57"/>
          <c:min val="42"/>
        </c:scaling>
        <c:axPos val="l"/>
        <c:majorGridlines/>
        <c:minorGridlines/>
        <c:title>
          <c:tx>
            <c:rich>
              <a:bodyPr/>
              <a:lstStyle/>
              <a:p>
                <a:pPr>
                  <a:defRPr/>
                </a:pPr>
                <a:r>
                  <a:rPr lang="ro-RO"/>
                  <a:t>dB(A)</a:t>
                </a:r>
              </a:p>
            </c:rich>
          </c:tx>
        </c:title>
        <c:numFmt formatCode="#,##0.0" sourceLinked="0"/>
        <c:majorTickMark val="none"/>
        <c:tickLblPos val="nextTo"/>
        <c:txPr>
          <a:bodyPr/>
          <a:lstStyle/>
          <a:p>
            <a:pPr>
              <a:defRPr sz="1050" b="1">
                <a:latin typeface="Arial" pitchFamily="34" charset="0"/>
                <a:cs typeface="Arial" pitchFamily="34" charset="0"/>
              </a:defRPr>
            </a:pPr>
            <a:endParaRPr lang="ro-RO"/>
          </a:p>
        </c:txPr>
        <c:crossAx val="169870848"/>
        <c:crosses val="autoZero"/>
        <c:crossBetween val="between"/>
        <c:majorUnit val="2"/>
        <c:minorUnit val="1"/>
      </c:valAx>
    </c:plotArea>
    <c:legend>
      <c:legendPos val="b"/>
      <c:legendEntry>
        <c:idx val="0"/>
        <c:txPr>
          <a:bodyPr/>
          <a:lstStyle/>
          <a:p>
            <a:pPr>
              <a:defRPr sz="1100">
                <a:latin typeface="Arial" pitchFamily="34" charset="0"/>
                <a:cs typeface="Arial" pitchFamily="34" charset="0"/>
              </a:defRPr>
            </a:pPr>
            <a:endParaRPr lang="ro-RO"/>
          </a:p>
        </c:txPr>
      </c:legendEntry>
      <c:layout>
        <c:manualLayout>
          <c:xMode val="edge"/>
          <c:yMode val="edge"/>
          <c:x val="0.25209025018661629"/>
          <c:y val="0.93261178151547663"/>
          <c:w val="0.62792939873341969"/>
          <c:h val="4.3719579431269306E-2"/>
        </c:manualLayout>
      </c:layout>
      <c:txPr>
        <a:bodyPr/>
        <a:lstStyle/>
        <a:p>
          <a:pPr>
            <a:defRPr sz="1100">
              <a:latin typeface="Arial" pitchFamily="34" charset="0"/>
              <a:cs typeface="Arial" pitchFamily="34" charset="0"/>
            </a:defRPr>
          </a:pPr>
          <a:endParaRPr lang="ro-RO"/>
        </a:p>
      </c:txPr>
    </c:legend>
    <c:plotVisOnly val="1"/>
  </c:chart>
  <c:externalData r:id="rId1"/>
</c:chartSpace>
</file>

<file path=word/charts/chart10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defRPr sz="1200">
                <a:latin typeface="Arial" pitchFamily="34" charset="0"/>
                <a:cs typeface="Arial" pitchFamily="34" charset="0"/>
              </a:defRPr>
            </a:pPr>
            <a:r>
              <a:rPr lang="ro-RO" sz="1200">
                <a:latin typeface="Arial" pitchFamily="34" charset="0"/>
                <a:cs typeface="Arial" pitchFamily="34" charset="0"/>
              </a:rPr>
              <a:t>Evoluția zgomotului echivalent pentru străzi</a:t>
            </a:r>
            <a:r>
              <a:rPr lang="ro-RO" sz="1200" baseline="0">
                <a:latin typeface="Arial" pitchFamily="34" charset="0"/>
                <a:cs typeface="Arial" pitchFamily="34" charset="0"/>
              </a:rPr>
              <a:t> magistrale</a:t>
            </a:r>
            <a:r>
              <a:rPr lang="ro-RO" sz="1200">
                <a:latin typeface="Arial" pitchFamily="34" charset="0"/>
                <a:cs typeface="Arial" pitchFamily="34" charset="0"/>
              </a:rPr>
              <a:t> - anul 2014</a:t>
            </a:r>
          </a:p>
        </c:rich>
      </c:tx>
    </c:title>
    <c:view3D>
      <c:perspective val="30"/>
    </c:view3D>
    <c:plotArea>
      <c:layout>
        <c:manualLayout>
          <c:layoutTarget val="inner"/>
          <c:xMode val="edge"/>
          <c:yMode val="edge"/>
          <c:x val="0.14479732235305448"/>
          <c:y val="0.17526875708583844"/>
          <c:w val="0.82829136266223602"/>
          <c:h val="0.63137554551243225"/>
        </c:manualLayout>
      </c:layout>
      <c:bar3DChart>
        <c:barDir val="col"/>
        <c:grouping val="clustered"/>
        <c:ser>
          <c:idx val="0"/>
          <c:order val="0"/>
          <c:tx>
            <c:strRef>
              <c:f>Sheet1!$B$1</c:f>
              <c:strCache>
                <c:ptCount val="1"/>
                <c:pt idx="0">
                  <c:v>Trimestre</c:v>
                </c:pt>
              </c:strCache>
            </c:strRef>
          </c:tx>
          <c:spPr>
            <a:solidFill>
              <a:srgbClr val="96DC92"/>
            </a:solidFill>
          </c:spPr>
          <c:dLbls>
            <c:dLbl>
              <c:idx val="0"/>
              <c:layout>
                <c:manualLayout>
                  <c:x val="-2.2105805581641949E-2"/>
                  <c:y val="2.7855689636428612E-3"/>
                </c:manualLayout>
              </c:layout>
              <c:showVal val="1"/>
            </c:dLbl>
            <c:dLbl>
              <c:idx val="1"/>
              <c:layout>
                <c:manualLayout>
                  <c:x val="-1.5963013797587338E-2"/>
                  <c:y val="-1.9469163987637765E-3"/>
                </c:manualLayout>
              </c:layout>
              <c:showVal val="1"/>
            </c:dLbl>
            <c:dLbl>
              <c:idx val="2"/>
              <c:layout>
                <c:manualLayout>
                  <c:x val="-3.0775602590960823E-3"/>
                  <c:y val="-6.5344409268429104E-3"/>
                </c:manualLayout>
              </c:layout>
              <c:showVal val="1"/>
            </c:dLbl>
            <c:dLbl>
              <c:idx val="3"/>
              <c:layout>
                <c:manualLayout>
                  <c:x val="-1.9088347901466461E-3"/>
                  <c:y val="-1.5207566509807641E-3"/>
                </c:manualLayout>
              </c:layout>
              <c:showVal val="1"/>
            </c:dLbl>
            <c:dLbl>
              <c:idx val="4"/>
              <c:layout>
                <c:manualLayout>
                  <c:x val="-4.8717991523145127E-2"/>
                  <c:y val="5.3290085898353684E-2"/>
                </c:manualLayout>
              </c:layout>
              <c:showVal val="1"/>
            </c:dLbl>
            <c:showVal val="1"/>
          </c:dLbls>
          <c:cat>
            <c:numRef>
              <c:f>Sheet1!$A$2:$A$5</c:f>
              <c:numCache>
                <c:formatCode>General</c:formatCode>
                <c:ptCount val="4"/>
                <c:pt idx="2">
                  <c:v>2014</c:v>
                </c:pt>
              </c:numCache>
            </c:numRef>
          </c:cat>
          <c:val>
            <c:numRef>
              <c:f>Sheet1!$B$2:$B$5</c:f>
              <c:numCache>
                <c:formatCode>General</c:formatCode>
                <c:ptCount val="4"/>
                <c:pt idx="0">
                  <c:v>70.7</c:v>
                </c:pt>
                <c:pt idx="1">
                  <c:v>70.2</c:v>
                </c:pt>
                <c:pt idx="2">
                  <c:v>69.099999999999994</c:v>
                </c:pt>
                <c:pt idx="3">
                  <c:v>70.7</c:v>
                </c:pt>
              </c:numCache>
            </c:numRef>
          </c:val>
        </c:ser>
        <c:ser>
          <c:idx val="1"/>
          <c:order val="1"/>
          <c:tx>
            <c:strRef>
              <c:f>Sheet1!$C$1</c:f>
              <c:strCache>
                <c:ptCount val="1"/>
                <c:pt idx="0">
                  <c:v>limita admisă</c:v>
                </c:pt>
              </c:strCache>
            </c:strRef>
          </c:tx>
          <c:spPr>
            <a:solidFill>
              <a:srgbClr val="F64C08"/>
            </a:solidFill>
          </c:spPr>
          <c:dLbls>
            <c:dLbl>
              <c:idx val="0"/>
              <c:showVal val="1"/>
            </c:dLbl>
            <c:dLbl>
              <c:idx val="1"/>
              <c:showVal val="1"/>
            </c:dLbl>
            <c:dLbl>
              <c:idx val="2"/>
              <c:showVal val="1"/>
            </c:dLbl>
            <c:dLbl>
              <c:idx val="3"/>
              <c:showVal val="1"/>
            </c:dLbl>
            <c:delete val="1"/>
          </c:dLbls>
          <c:cat>
            <c:numRef>
              <c:f>Sheet1!$A$2:$A$5</c:f>
              <c:numCache>
                <c:formatCode>General</c:formatCode>
                <c:ptCount val="4"/>
                <c:pt idx="2">
                  <c:v>2014</c:v>
                </c:pt>
              </c:numCache>
            </c:numRef>
          </c:cat>
          <c:val>
            <c:numRef>
              <c:f>Sheet1!$C$2:$C$5</c:f>
              <c:numCache>
                <c:formatCode>General</c:formatCode>
                <c:ptCount val="4"/>
                <c:pt idx="0">
                  <c:v>80</c:v>
                </c:pt>
                <c:pt idx="1">
                  <c:v>80</c:v>
                </c:pt>
                <c:pt idx="2">
                  <c:v>80</c:v>
                </c:pt>
                <c:pt idx="3">
                  <c:v>80</c:v>
                </c:pt>
              </c:numCache>
            </c:numRef>
          </c:val>
        </c:ser>
        <c:ser>
          <c:idx val="2"/>
          <c:order val="2"/>
          <c:tx>
            <c:strRef>
              <c:f>Sheet1!$D$1</c:f>
              <c:strCache>
                <c:ptCount val="1"/>
                <c:pt idx="0">
                  <c:v>Semestre</c:v>
                </c:pt>
              </c:strCache>
            </c:strRef>
          </c:tx>
          <c:spPr>
            <a:solidFill>
              <a:srgbClr val="7030A0">
                <a:alpha val="94000"/>
              </a:srgbClr>
            </a:solidFill>
          </c:spPr>
          <c:dLbls>
            <c:dLbl>
              <c:idx val="1"/>
              <c:layout>
                <c:manualLayout>
                  <c:x val="2.2018348623853504E-2"/>
                  <c:y val="7.8895463510848616E-3"/>
                </c:manualLayout>
              </c:layout>
              <c:showVal val="1"/>
            </c:dLbl>
            <c:dLbl>
              <c:idx val="3"/>
              <c:layout>
                <c:manualLayout>
                  <c:x val="2.9357798165137599E-2"/>
                  <c:y val="-7.8895463510848616E-3"/>
                </c:manualLayout>
              </c:layout>
              <c:showVal val="1"/>
            </c:dLbl>
            <c:showVal val="1"/>
          </c:dLbls>
          <c:cat>
            <c:numRef>
              <c:f>Sheet1!$A$2:$A$5</c:f>
              <c:numCache>
                <c:formatCode>General</c:formatCode>
                <c:ptCount val="4"/>
                <c:pt idx="2">
                  <c:v>2014</c:v>
                </c:pt>
              </c:numCache>
            </c:numRef>
          </c:cat>
          <c:val>
            <c:numRef>
              <c:f>Sheet1!$D$2:$D$5</c:f>
              <c:numCache>
                <c:formatCode>General</c:formatCode>
                <c:ptCount val="4"/>
                <c:pt idx="1">
                  <c:v>70.45</c:v>
                </c:pt>
                <c:pt idx="3">
                  <c:v>69.900000000000006</c:v>
                </c:pt>
              </c:numCache>
            </c:numRef>
          </c:val>
        </c:ser>
        <c:gapWidth val="279"/>
        <c:gapDepth val="356"/>
        <c:shape val="cylinder"/>
        <c:axId val="169925248"/>
        <c:axId val="170332544"/>
        <c:axId val="0"/>
      </c:bar3DChart>
      <c:catAx>
        <c:axId val="169925248"/>
        <c:scaling>
          <c:orientation val="minMax"/>
        </c:scaling>
        <c:axPos val="b"/>
        <c:numFmt formatCode="General" sourceLinked="1"/>
        <c:majorTickMark val="none"/>
        <c:tickLblPos val="nextTo"/>
        <c:txPr>
          <a:bodyPr/>
          <a:lstStyle/>
          <a:p>
            <a:pPr>
              <a:defRPr sz="1100" b="1">
                <a:latin typeface="Arial" pitchFamily="34" charset="0"/>
                <a:cs typeface="Arial" pitchFamily="34" charset="0"/>
              </a:defRPr>
            </a:pPr>
            <a:endParaRPr lang="ro-RO"/>
          </a:p>
        </c:txPr>
        <c:crossAx val="170332544"/>
        <c:crossesAt val="0"/>
        <c:auto val="1"/>
        <c:lblAlgn val="ctr"/>
        <c:lblOffset val="100"/>
      </c:catAx>
      <c:valAx>
        <c:axId val="170332544"/>
        <c:scaling>
          <c:orientation val="minMax"/>
          <c:max val="82"/>
          <c:min val="42"/>
        </c:scaling>
        <c:axPos val="l"/>
        <c:majorGridlines/>
        <c:minorGridlines/>
        <c:title>
          <c:tx>
            <c:rich>
              <a:bodyPr/>
              <a:lstStyle/>
              <a:p>
                <a:pPr>
                  <a:defRPr/>
                </a:pPr>
                <a:r>
                  <a:rPr lang="ro-RO"/>
                  <a:t>dB(A)</a:t>
                </a:r>
              </a:p>
            </c:rich>
          </c:tx>
        </c:title>
        <c:numFmt formatCode="#,##0.0" sourceLinked="0"/>
        <c:majorTickMark val="none"/>
        <c:tickLblPos val="nextTo"/>
        <c:txPr>
          <a:bodyPr/>
          <a:lstStyle/>
          <a:p>
            <a:pPr>
              <a:defRPr sz="1000" b="1">
                <a:latin typeface="Arial" pitchFamily="34" charset="0"/>
                <a:cs typeface="Arial" pitchFamily="34" charset="0"/>
              </a:defRPr>
            </a:pPr>
            <a:endParaRPr lang="ro-RO"/>
          </a:p>
        </c:txPr>
        <c:crossAx val="169925248"/>
        <c:crosses val="autoZero"/>
        <c:crossBetween val="between"/>
        <c:majorUnit val="5"/>
        <c:minorUnit val="2"/>
      </c:valAx>
    </c:plotArea>
    <c:legend>
      <c:legendPos val="b"/>
      <c:legendEntry>
        <c:idx val="0"/>
        <c:txPr>
          <a:bodyPr/>
          <a:lstStyle/>
          <a:p>
            <a:pPr>
              <a:defRPr sz="1100">
                <a:latin typeface="Arial" pitchFamily="34" charset="0"/>
                <a:cs typeface="Arial" pitchFamily="34" charset="0"/>
              </a:defRPr>
            </a:pPr>
            <a:endParaRPr lang="ro-RO"/>
          </a:p>
        </c:txPr>
      </c:legendEntry>
      <c:layout>
        <c:manualLayout>
          <c:xMode val="edge"/>
          <c:yMode val="edge"/>
          <c:x val="0.25209025018661629"/>
          <c:y val="0.85371631800462811"/>
          <c:w val="0.56049276409255888"/>
          <c:h val="7.1664725341284999E-2"/>
        </c:manualLayout>
      </c:layout>
      <c:txPr>
        <a:bodyPr/>
        <a:lstStyle/>
        <a:p>
          <a:pPr>
            <a:defRPr sz="1100">
              <a:latin typeface="Arial" pitchFamily="34" charset="0"/>
              <a:cs typeface="Arial" pitchFamily="34" charset="0"/>
            </a:defRPr>
          </a:pPr>
          <a:endParaRPr lang="ro-RO"/>
        </a:p>
      </c:txPr>
    </c:legend>
    <c:plotVisOnly val="1"/>
  </c:chart>
  <c:externalData r:id="rId1"/>
</c:chartSpace>
</file>

<file path=word/charts/chart10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IX.1.3. -1  </a:t>
            </a:r>
            <a:r>
              <a:rPr lang="ro-RO" sz="1100">
                <a:latin typeface="Arial" pitchFamily="34" charset="0"/>
                <a:cs typeface="Arial" pitchFamily="34" charset="0"/>
              </a:rPr>
              <a:t>Boli infecţioase şi parazitare la nivelul județului Brăila în perioada 2010 - 2014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Boli diareice acute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914</c:v>
                </c:pt>
                <c:pt idx="1">
                  <c:v>930</c:v>
                </c:pt>
                <c:pt idx="2">
                  <c:v>671</c:v>
                </c:pt>
                <c:pt idx="3">
                  <c:v>542</c:v>
                </c:pt>
                <c:pt idx="4">
                  <c:v>695</c:v>
                </c:pt>
              </c:numCache>
            </c:numRef>
          </c:val>
        </c:ser>
        <c:ser>
          <c:idx val="1"/>
          <c:order val="1"/>
          <c:tx>
            <c:strRef>
              <c:f>Sheet1!$C$1</c:f>
              <c:strCache>
                <c:ptCount val="1"/>
                <c:pt idx="0">
                  <c:v>Hepatita virală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34</c:v>
                </c:pt>
                <c:pt idx="1">
                  <c:v>46</c:v>
                </c:pt>
                <c:pt idx="2">
                  <c:v>64</c:v>
                </c:pt>
                <c:pt idx="3">
                  <c:v>74</c:v>
                </c:pt>
                <c:pt idx="4">
                  <c:v>79</c:v>
                </c:pt>
              </c:numCache>
            </c:numRef>
          </c:val>
        </c:ser>
        <c:ser>
          <c:idx val="2"/>
          <c:order val="2"/>
          <c:tx>
            <c:strRef>
              <c:f>Sheet1!$D$1</c:f>
              <c:strCache>
                <c:ptCount val="1"/>
                <c:pt idx="0">
                  <c:v>Tuberculoza</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354</c:v>
                </c:pt>
                <c:pt idx="1">
                  <c:v>336</c:v>
                </c:pt>
                <c:pt idx="2">
                  <c:v>271</c:v>
                </c:pt>
                <c:pt idx="3">
                  <c:v>320</c:v>
                </c:pt>
                <c:pt idx="4">
                  <c:v>273</c:v>
                </c:pt>
              </c:numCache>
            </c:numRef>
          </c:val>
        </c:ser>
        <c:ser>
          <c:idx val="3"/>
          <c:order val="3"/>
          <c:tx>
            <c:strRef>
              <c:f>Sheet1!$E$1</c:f>
              <c:strCache>
                <c:ptCount val="1"/>
                <c:pt idx="0">
                  <c:v>Dizenterie</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0</c:v>
                </c:pt>
                <c:pt idx="1">
                  <c:v>0</c:v>
                </c:pt>
                <c:pt idx="2">
                  <c:v>0</c:v>
                </c:pt>
                <c:pt idx="3">
                  <c:v>0</c:v>
                </c:pt>
                <c:pt idx="4">
                  <c:v>0</c:v>
                </c:pt>
              </c:numCache>
            </c:numRef>
          </c:val>
        </c:ser>
        <c:axId val="169588608"/>
        <c:axId val="169590144"/>
      </c:barChart>
      <c:catAx>
        <c:axId val="169588608"/>
        <c:scaling>
          <c:orientation val="minMax"/>
        </c:scaling>
        <c:axPos val="b"/>
        <c:numFmt formatCode="General" sourceLinked="1"/>
        <c:tickLblPos val="nextTo"/>
        <c:crossAx val="169590144"/>
        <c:crosses val="autoZero"/>
        <c:auto val="1"/>
        <c:lblAlgn val="ctr"/>
        <c:lblOffset val="100"/>
      </c:catAx>
      <c:valAx>
        <c:axId val="169590144"/>
        <c:scaling>
          <c:orientation val="minMax"/>
        </c:scaling>
        <c:axPos val="l"/>
        <c:majorGridlines/>
        <c:numFmt formatCode="General" sourceLinked="1"/>
        <c:tickLblPos val="nextTo"/>
        <c:crossAx val="169588608"/>
        <c:crosses val="autoZero"/>
        <c:crossBetween val="between"/>
      </c:valAx>
    </c:plotArea>
    <c:legend>
      <c:legendPos val="r"/>
    </c:legend>
    <c:plotVisOnly val="1"/>
    <c:dispBlanksAs val="gap"/>
  </c:chart>
  <c:spPr>
    <a:solidFill>
      <a:srgbClr val="FFFF00"/>
    </a:solidFill>
  </c:spPr>
  <c:externalData r:id="rId2"/>
</c:chartSpace>
</file>

<file path=word/charts/chart11.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9.141791044776118E-2"/>
          <c:y val="6.7796610169492566E-2"/>
          <c:w val="0.65485074626866346"/>
          <c:h val="0.76836158192089998"/>
        </c:manualLayout>
      </c:layout>
      <c:bar3DChart>
        <c:barDir val="col"/>
        <c:grouping val="clustered"/>
        <c:ser>
          <c:idx val="0"/>
          <c:order val="0"/>
          <c:tx>
            <c:strRef>
              <c:f>Sheet1!$A$2</c:f>
              <c:strCache>
                <c:ptCount val="1"/>
                <c:pt idx="0">
                  <c:v>Medii anuale 2008</c:v>
                </c:pt>
              </c:strCache>
            </c:strRef>
          </c:tx>
          <c:spPr>
            <a:solidFill>
              <a:srgbClr val="9999FF"/>
            </a:solidFill>
            <a:ln w="12701">
              <a:solidFill>
                <a:srgbClr val="000000"/>
              </a:solidFill>
              <a:prstDash val="solid"/>
            </a:ln>
          </c:spPr>
          <c:cat>
            <c:strRef>
              <c:f>Sheet1!$B$1:$E$1</c:f>
              <c:strCache>
                <c:ptCount val="4"/>
                <c:pt idx="0">
                  <c:v>Br1</c:v>
                </c:pt>
                <c:pt idx="1">
                  <c:v>Br2</c:v>
                </c:pt>
                <c:pt idx="2">
                  <c:v>Br3</c:v>
                </c:pt>
                <c:pt idx="3">
                  <c:v>Br5</c:v>
                </c:pt>
              </c:strCache>
            </c:strRef>
          </c:cat>
          <c:val>
            <c:numRef>
              <c:f>Sheet1!$B$2:$E$2</c:f>
              <c:numCache>
                <c:formatCode>General</c:formatCode>
                <c:ptCount val="4"/>
                <c:pt idx="1">
                  <c:v>3.145</c:v>
                </c:pt>
                <c:pt idx="2">
                  <c:v>3.19</c:v>
                </c:pt>
              </c:numCache>
            </c:numRef>
          </c:val>
        </c:ser>
        <c:ser>
          <c:idx val="1"/>
          <c:order val="1"/>
          <c:tx>
            <c:strRef>
              <c:f>Sheet1!$A$3</c:f>
              <c:strCache>
                <c:ptCount val="1"/>
                <c:pt idx="0">
                  <c:v>Medii anuale 2009</c:v>
                </c:pt>
              </c:strCache>
            </c:strRef>
          </c:tx>
          <c:spPr>
            <a:solidFill>
              <a:srgbClr val="993366"/>
            </a:solidFill>
            <a:ln w="12701">
              <a:solidFill>
                <a:srgbClr val="000000"/>
              </a:solidFill>
              <a:prstDash val="solid"/>
            </a:ln>
          </c:spPr>
          <c:cat>
            <c:strRef>
              <c:f>Sheet1!$B$1:$E$1</c:f>
              <c:strCache>
                <c:ptCount val="4"/>
                <c:pt idx="0">
                  <c:v>Br1</c:v>
                </c:pt>
                <c:pt idx="1">
                  <c:v>Br2</c:v>
                </c:pt>
                <c:pt idx="2">
                  <c:v>Br3</c:v>
                </c:pt>
                <c:pt idx="3">
                  <c:v>Br5</c:v>
                </c:pt>
              </c:strCache>
            </c:strRef>
          </c:cat>
          <c:val>
            <c:numRef>
              <c:f>Sheet1!$B$3:$E$3</c:f>
              <c:numCache>
                <c:formatCode>General</c:formatCode>
                <c:ptCount val="4"/>
                <c:pt idx="0">
                  <c:v>4.6499999999999995</c:v>
                </c:pt>
                <c:pt idx="1">
                  <c:v>0.25</c:v>
                </c:pt>
                <c:pt idx="2">
                  <c:v>1.48</c:v>
                </c:pt>
              </c:numCache>
            </c:numRef>
          </c:val>
        </c:ser>
        <c:ser>
          <c:idx val="2"/>
          <c:order val="2"/>
          <c:tx>
            <c:strRef>
              <c:f>Sheet1!$A$4</c:f>
              <c:strCache>
                <c:ptCount val="1"/>
                <c:pt idx="0">
                  <c:v>Medii anuale 2010</c:v>
                </c:pt>
              </c:strCache>
            </c:strRef>
          </c:tx>
          <c:spPr>
            <a:solidFill>
              <a:srgbClr val="00FF00"/>
            </a:solidFill>
            <a:ln w="12701">
              <a:solidFill>
                <a:srgbClr val="000000"/>
              </a:solidFill>
              <a:prstDash val="solid"/>
            </a:ln>
          </c:spPr>
          <c:cat>
            <c:strRef>
              <c:f>Sheet1!$B$1:$E$1</c:f>
              <c:strCache>
                <c:ptCount val="4"/>
                <c:pt idx="0">
                  <c:v>Br1</c:v>
                </c:pt>
                <c:pt idx="1">
                  <c:v>Br2</c:v>
                </c:pt>
                <c:pt idx="2">
                  <c:v>Br3</c:v>
                </c:pt>
                <c:pt idx="3">
                  <c:v>Br5</c:v>
                </c:pt>
              </c:strCache>
            </c:strRef>
          </c:cat>
          <c:val>
            <c:numRef>
              <c:f>Sheet1!$B$4:$E$4</c:f>
              <c:numCache>
                <c:formatCode>General</c:formatCode>
                <c:ptCount val="4"/>
                <c:pt idx="0">
                  <c:v>2.4099999999999997</c:v>
                </c:pt>
                <c:pt idx="1">
                  <c:v>0.13</c:v>
                </c:pt>
                <c:pt idx="2">
                  <c:v>1.41</c:v>
                </c:pt>
                <c:pt idx="3">
                  <c:v>2.1</c:v>
                </c:pt>
              </c:numCache>
            </c:numRef>
          </c:val>
        </c:ser>
        <c:ser>
          <c:idx val="3"/>
          <c:order val="3"/>
          <c:tx>
            <c:strRef>
              <c:f>Sheet1!$A$5</c:f>
              <c:strCache>
                <c:ptCount val="1"/>
                <c:pt idx="0">
                  <c:v>Medii anuale 2011</c:v>
                </c:pt>
              </c:strCache>
            </c:strRef>
          </c:tx>
          <c:spPr>
            <a:solidFill>
              <a:srgbClr val="CCFFFF"/>
            </a:solidFill>
            <a:ln w="12701">
              <a:solidFill>
                <a:srgbClr val="000000"/>
              </a:solidFill>
              <a:prstDash val="solid"/>
            </a:ln>
          </c:spPr>
          <c:cat>
            <c:strRef>
              <c:f>Sheet1!$B$1:$E$1</c:f>
              <c:strCache>
                <c:ptCount val="4"/>
                <c:pt idx="0">
                  <c:v>Br1</c:v>
                </c:pt>
                <c:pt idx="1">
                  <c:v>Br2</c:v>
                </c:pt>
                <c:pt idx="2">
                  <c:v>Br3</c:v>
                </c:pt>
                <c:pt idx="3">
                  <c:v>Br5</c:v>
                </c:pt>
              </c:strCache>
            </c:strRef>
          </c:cat>
          <c:val>
            <c:numRef>
              <c:f>Sheet1!$B$5:$E$5</c:f>
              <c:numCache>
                <c:formatCode>General</c:formatCode>
                <c:ptCount val="4"/>
                <c:pt idx="2">
                  <c:v>1.42</c:v>
                </c:pt>
                <c:pt idx="3">
                  <c:v>2.17</c:v>
                </c:pt>
              </c:numCache>
            </c:numRef>
          </c:val>
        </c:ser>
        <c:ser>
          <c:idx val="4"/>
          <c:order val="4"/>
          <c:tx>
            <c:strRef>
              <c:f>Sheet1!$A$6</c:f>
              <c:strCache>
                <c:ptCount val="1"/>
                <c:pt idx="0">
                  <c:v>Medii anuale 2012</c:v>
                </c:pt>
              </c:strCache>
            </c:strRef>
          </c:tx>
          <c:spPr>
            <a:solidFill>
              <a:srgbClr val="660066"/>
            </a:solidFill>
            <a:ln w="12701">
              <a:solidFill>
                <a:srgbClr val="000000"/>
              </a:solidFill>
              <a:prstDash val="solid"/>
            </a:ln>
          </c:spPr>
          <c:cat>
            <c:strRef>
              <c:f>Sheet1!$B$1:$E$1</c:f>
              <c:strCache>
                <c:ptCount val="4"/>
                <c:pt idx="0">
                  <c:v>Br1</c:v>
                </c:pt>
                <c:pt idx="1">
                  <c:v>Br2</c:v>
                </c:pt>
                <c:pt idx="2">
                  <c:v>Br3</c:v>
                </c:pt>
                <c:pt idx="3">
                  <c:v>Br5</c:v>
                </c:pt>
              </c:strCache>
            </c:strRef>
          </c:cat>
          <c:val>
            <c:numRef>
              <c:f>Sheet1!$B$6:$E$6</c:f>
              <c:numCache>
                <c:formatCode>General</c:formatCode>
                <c:ptCount val="4"/>
                <c:pt idx="2">
                  <c:v>2.4499999999999997</c:v>
                </c:pt>
                <c:pt idx="3">
                  <c:v>0.93</c:v>
                </c:pt>
              </c:numCache>
            </c:numRef>
          </c:val>
        </c:ser>
        <c:gapWidth val="500"/>
        <c:gapDepth val="0"/>
        <c:shape val="box"/>
        <c:axId val="59671680"/>
        <c:axId val="59673216"/>
        <c:axId val="0"/>
      </c:bar3DChart>
      <c:catAx>
        <c:axId val="59671680"/>
        <c:scaling>
          <c:orientation val="minMax"/>
        </c:scaling>
        <c:axPos val="b"/>
        <c:numFmt formatCode="General" sourceLinked="1"/>
        <c:tickLblPos val="low"/>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59673216"/>
        <c:crosses val="autoZero"/>
        <c:auto val="1"/>
        <c:lblAlgn val="ctr"/>
        <c:lblOffset val="100"/>
        <c:tickLblSkip val="1"/>
        <c:tickMarkSkip val="1"/>
      </c:catAx>
      <c:valAx>
        <c:axId val="59673216"/>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4.2788773889552704E-2"/>
              <c:y val="0.16384184597246276"/>
            </c:manualLayout>
          </c:layout>
          <c:spPr>
            <a:noFill/>
            <a:ln w="25401">
              <a:noFill/>
            </a:ln>
          </c:spPr>
        </c:title>
        <c:numFmt formatCode="General" sourceLinked="1"/>
        <c:tickLblPos val="nextTo"/>
        <c:spPr>
          <a:ln w="3175">
            <a:solidFill>
              <a:srgbClr val="000000"/>
            </a:solidFill>
            <a:prstDash val="solid"/>
          </a:ln>
        </c:spPr>
        <c:txPr>
          <a:bodyPr rot="0" vert="horz"/>
          <a:lstStyle/>
          <a:p>
            <a:pPr>
              <a:defRPr sz="1000" b="1" i="0" u="none" strike="noStrike" baseline="0">
                <a:solidFill>
                  <a:srgbClr val="000000"/>
                </a:solidFill>
                <a:latin typeface="Arial"/>
                <a:ea typeface="Arial"/>
                <a:cs typeface="Arial"/>
              </a:defRPr>
            </a:pPr>
            <a:endParaRPr lang="ro-RO"/>
          </a:p>
        </c:txPr>
        <c:crossAx val="59671680"/>
        <c:crosses val="autoZero"/>
        <c:crossBetween val="between"/>
      </c:valAx>
      <c:spPr>
        <a:noFill/>
        <a:ln w="25401">
          <a:noFill/>
        </a:ln>
      </c:spPr>
    </c:plotArea>
    <c:legend>
      <c:legendPos val="r"/>
      <c:layout>
        <c:manualLayout>
          <c:xMode val="edge"/>
          <c:yMode val="edge"/>
          <c:x val="0.76492537313433684"/>
          <c:y val="0.14689265536723334"/>
          <c:w val="0.22761194029850737"/>
          <c:h val="0.57062146892655363"/>
        </c:manualLayout>
      </c:layout>
      <c:spPr>
        <a:solidFill>
          <a:srgbClr val="FFFFFF"/>
        </a:solidFill>
        <a:ln w="3175">
          <a:solidFill>
            <a:srgbClr val="000000"/>
          </a:solidFill>
          <a:prstDash val="solid"/>
        </a:ln>
      </c:spPr>
      <c:txPr>
        <a:bodyPr/>
        <a:lstStyle/>
        <a:p>
          <a:pPr>
            <a:defRPr sz="80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10.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471.46</c:v>
                </c:pt>
                <c:pt idx="1">
                  <c:v>471.46</c:v>
                </c:pt>
                <c:pt idx="2">
                  <c:v>471.46</c:v>
                </c:pt>
                <c:pt idx="3">
                  <c:v>471.46</c:v>
                </c:pt>
                <c:pt idx="4">
                  <c:v>471.46</c:v>
                </c:pt>
              </c:numCache>
            </c:numRef>
          </c:val>
        </c:ser>
        <c:ser>
          <c:idx val="1"/>
          <c:order val="1"/>
          <c:tx>
            <c:strRef>
              <c:f>Sheet1!$C$1</c:f>
              <c:strCache>
                <c:ptCount val="1"/>
                <c:pt idx="0">
                  <c:v>Suprafață intravilan</c:v>
                </c:pt>
              </c:strCache>
            </c:strRef>
          </c:tx>
          <c:spPr>
            <a:solidFill>
              <a:srgbClr val="FFFF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4201.41</c:v>
                </c:pt>
                <c:pt idx="1">
                  <c:v>4201.41</c:v>
                </c:pt>
                <c:pt idx="2">
                  <c:v>4201.41</c:v>
                </c:pt>
                <c:pt idx="3">
                  <c:v>4201.41</c:v>
                </c:pt>
                <c:pt idx="4">
                  <c:v>4201.41</c:v>
                </c:pt>
              </c:numCache>
            </c:numRef>
          </c:val>
        </c:ser>
        <c:shape val="box"/>
        <c:axId val="171278720"/>
        <c:axId val="171280256"/>
        <c:axId val="0"/>
      </c:bar3DChart>
      <c:catAx>
        <c:axId val="171278720"/>
        <c:scaling>
          <c:orientation val="minMax"/>
        </c:scaling>
        <c:axPos val="b"/>
        <c:numFmt formatCode="General" sourceLinked="1"/>
        <c:tickLblPos val="nextTo"/>
        <c:crossAx val="171280256"/>
        <c:crosses val="autoZero"/>
        <c:auto val="1"/>
        <c:lblAlgn val="ctr"/>
        <c:lblOffset val="100"/>
      </c:catAx>
      <c:valAx>
        <c:axId val="171280256"/>
        <c:scaling>
          <c:orientation val="minMax"/>
        </c:scaling>
        <c:axPos val="l"/>
        <c:majorGridlines/>
        <c:numFmt formatCode="General" sourceLinked="1"/>
        <c:tickLblPos val="nextTo"/>
        <c:crossAx val="171278720"/>
        <c:crosses val="autoZero"/>
        <c:crossBetween val="between"/>
      </c:valAx>
      <c:spPr>
        <a:noFill/>
        <a:ln w="25391">
          <a:noFill/>
        </a:ln>
      </c:spPr>
    </c:plotArea>
    <c:legend>
      <c:legendPos val="r"/>
    </c:legend>
    <c:plotVisOnly val="1"/>
    <c:dispBlanksAs val="gap"/>
  </c:chart>
  <c:spPr>
    <a:solidFill>
      <a:srgbClr val="F79646">
        <a:lumMod val="20000"/>
        <a:lumOff val="80000"/>
      </a:srgbClr>
    </a:solidFill>
  </c:spPr>
  <c:externalData r:id="rId2"/>
</c:chartSpace>
</file>

<file path=word/charts/chart111.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clustered"/>
        <c:ser>
          <c:idx val="0"/>
          <c:order val="0"/>
          <c:tx>
            <c:strRef>
              <c:f>Sheet1!$B$1</c:f>
              <c:strCache>
                <c:ptCount val="1"/>
                <c:pt idx="0">
                  <c:v>Suprafata spatiu verde pe cap de locuitor din mediul urban, tendinta 2010-2014</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22.419999999999987</c:v>
                </c:pt>
                <c:pt idx="1">
                  <c:v>22.419999999999987</c:v>
                </c:pt>
                <c:pt idx="2">
                  <c:v>26.14</c:v>
                </c:pt>
                <c:pt idx="3">
                  <c:v>26.14</c:v>
                </c:pt>
                <c:pt idx="4">
                  <c:v>26.14</c:v>
                </c:pt>
              </c:numCache>
            </c:numRef>
          </c:val>
        </c:ser>
        <c:shape val="box"/>
        <c:axId val="120083968"/>
        <c:axId val="120085504"/>
        <c:axId val="0"/>
      </c:bar3DChart>
      <c:catAx>
        <c:axId val="120083968"/>
        <c:scaling>
          <c:orientation val="minMax"/>
        </c:scaling>
        <c:axPos val="b"/>
        <c:numFmt formatCode="General" sourceLinked="1"/>
        <c:tickLblPos val="nextTo"/>
        <c:crossAx val="120085504"/>
        <c:crosses val="autoZero"/>
        <c:auto val="1"/>
        <c:lblAlgn val="ctr"/>
        <c:lblOffset val="100"/>
      </c:catAx>
      <c:valAx>
        <c:axId val="120085504"/>
        <c:scaling>
          <c:orientation val="minMax"/>
        </c:scaling>
        <c:axPos val="l"/>
        <c:majorGridlines/>
        <c:numFmt formatCode="General" sourceLinked="1"/>
        <c:tickLblPos val="nextTo"/>
        <c:crossAx val="120083968"/>
        <c:crosses val="autoZero"/>
        <c:crossBetween val="between"/>
      </c:valAx>
      <c:spPr>
        <a:noFill/>
        <a:ln w="25372">
          <a:noFill/>
        </a:ln>
      </c:spPr>
    </c:plotArea>
    <c:legend>
      <c:legendPos val="r"/>
    </c:legend>
    <c:plotVisOnly val="1"/>
    <c:dispBlanksAs val="gap"/>
  </c:chart>
  <c:spPr>
    <a:solidFill>
      <a:srgbClr val="F79646">
        <a:lumMod val="20000"/>
        <a:lumOff val="80000"/>
      </a:srgbClr>
    </a:solidFill>
  </c:spPr>
  <c:externalData r:id="rId2"/>
</c:chartSpace>
</file>

<file path=word/charts/chart112.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29.06</c:v>
                </c:pt>
                <c:pt idx="1">
                  <c:v>29.06</c:v>
                </c:pt>
                <c:pt idx="2">
                  <c:v>37.15</c:v>
                </c:pt>
                <c:pt idx="3">
                  <c:v>37.15</c:v>
                </c:pt>
                <c:pt idx="4">
                  <c:v>38.28</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1092</c:v>
                </c:pt>
                <c:pt idx="1">
                  <c:v>1092</c:v>
                </c:pt>
                <c:pt idx="2">
                  <c:v>1092</c:v>
                </c:pt>
                <c:pt idx="3">
                  <c:v>1092</c:v>
                </c:pt>
                <c:pt idx="4">
                  <c:v>1092</c:v>
                </c:pt>
              </c:numCache>
            </c:numRef>
          </c:val>
        </c:ser>
        <c:shape val="box"/>
        <c:axId val="171285888"/>
        <c:axId val="82515072"/>
        <c:axId val="0"/>
      </c:bar3DChart>
      <c:catAx>
        <c:axId val="171285888"/>
        <c:scaling>
          <c:orientation val="minMax"/>
        </c:scaling>
        <c:axPos val="b"/>
        <c:numFmt formatCode="General" sourceLinked="1"/>
        <c:tickLblPos val="nextTo"/>
        <c:crossAx val="82515072"/>
        <c:crosses val="autoZero"/>
        <c:auto val="1"/>
        <c:lblAlgn val="ctr"/>
        <c:lblOffset val="100"/>
      </c:catAx>
      <c:valAx>
        <c:axId val="82515072"/>
        <c:scaling>
          <c:orientation val="minMax"/>
        </c:scaling>
        <c:axPos val="l"/>
        <c:majorGridlines/>
        <c:numFmt formatCode="General" sourceLinked="1"/>
        <c:tickLblPos val="nextTo"/>
        <c:crossAx val="171285888"/>
        <c:crosses val="autoZero"/>
        <c:crossBetween val="between"/>
      </c:valAx>
      <c:spPr>
        <a:noFill/>
        <a:ln w="25409">
          <a:noFill/>
        </a:ln>
      </c:spPr>
    </c:plotArea>
    <c:legend>
      <c:legendPos val="r"/>
    </c:legend>
    <c:plotVisOnly val="1"/>
    <c:dispBlanksAs val="gap"/>
  </c:chart>
  <c:spPr>
    <a:solidFill>
      <a:srgbClr val="4BACC6">
        <a:lumMod val="20000"/>
        <a:lumOff val="80000"/>
      </a:srgbClr>
    </a:solidFill>
  </c:spPr>
  <c:externalData r:id="rId2"/>
</c:chartSpace>
</file>

<file path=word/charts/chart11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2010-2014</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26.150000000000031</c:v>
                </c:pt>
                <c:pt idx="1">
                  <c:v>26.150000000000031</c:v>
                </c:pt>
                <c:pt idx="2">
                  <c:v>35.92</c:v>
                </c:pt>
                <c:pt idx="3">
                  <c:v>35.92</c:v>
                </c:pt>
                <c:pt idx="4">
                  <c:v>38.28</c:v>
                </c:pt>
              </c:numCache>
            </c:numRef>
          </c:val>
        </c:ser>
        <c:shape val="box"/>
        <c:axId val="120140544"/>
        <c:axId val="120142080"/>
        <c:axId val="0"/>
      </c:bar3DChart>
      <c:catAx>
        <c:axId val="120140544"/>
        <c:scaling>
          <c:orientation val="minMax"/>
        </c:scaling>
        <c:axPos val="b"/>
        <c:numFmt formatCode="General" sourceLinked="1"/>
        <c:tickLblPos val="nextTo"/>
        <c:crossAx val="120142080"/>
        <c:crosses val="autoZero"/>
        <c:auto val="1"/>
        <c:lblAlgn val="ctr"/>
        <c:lblOffset val="100"/>
      </c:catAx>
      <c:valAx>
        <c:axId val="120142080"/>
        <c:scaling>
          <c:orientation val="minMax"/>
        </c:scaling>
        <c:axPos val="l"/>
        <c:majorGridlines/>
        <c:numFmt formatCode="General" sourceLinked="1"/>
        <c:tickLblPos val="nextTo"/>
        <c:crossAx val="120140544"/>
        <c:crosses val="autoZero"/>
        <c:crossBetween val="between"/>
      </c:valAx>
      <c:spPr>
        <a:noFill/>
        <a:ln w="25413">
          <a:noFill/>
        </a:ln>
      </c:spPr>
    </c:plotArea>
    <c:legend>
      <c:legendPos val="r"/>
    </c:legend>
    <c:plotVisOnly val="1"/>
    <c:dispBlanksAs val="gap"/>
  </c:chart>
  <c:spPr>
    <a:solidFill>
      <a:srgbClr val="FFFF00"/>
    </a:solidFill>
  </c:spPr>
  <c:externalData r:id="rId2"/>
</c:chartSpace>
</file>

<file path=word/charts/chart114.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18.07</c:v>
                </c:pt>
                <c:pt idx="1">
                  <c:v>18.07</c:v>
                </c:pt>
                <c:pt idx="2">
                  <c:v>18.07</c:v>
                </c:pt>
                <c:pt idx="3">
                  <c:v>18.07</c:v>
                </c:pt>
                <c:pt idx="4">
                  <c:v>18.07</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860.24</c:v>
                </c:pt>
                <c:pt idx="1">
                  <c:v>860.24</c:v>
                </c:pt>
                <c:pt idx="2">
                  <c:v>860.24</c:v>
                </c:pt>
                <c:pt idx="3">
                  <c:v>860.24</c:v>
                </c:pt>
                <c:pt idx="4">
                  <c:v>860.24</c:v>
                </c:pt>
              </c:numCache>
            </c:numRef>
          </c:val>
        </c:ser>
        <c:shape val="box"/>
        <c:axId val="120191616"/>
        <c:axId val="170381696"/>
        <c:axId val="0"/>
      </c:bar3DChart>
      <c:catAx>
        <c:axId val="120191616"/>
        <c:scaling>
          <c:orientation val="minMax"/>
        </c:scaling>
        <c:axPos val="b"/>
        <c:numFmt formatCode="General" sourceLinked="1"/>
        <c:tickLblPos val="nextTo"/>
        <c:crossAx val="170381696"/>
        <c:crosses val="autoZero"/>
        <c:auto val="1"/>
        <c:lblAlgn val="ctr"/>
        <c:lblOffset val="100"/>
      </c:catAx>
      <c:valAx>
        <c:axId val="170381696"/>
        <c:scaling>
          <c:orientation val="minMax"/>
        </c:scaling>
        <c:axPos val="l"/>
        <c:majorGridlines/>
        <c:numFmt formatCode="General" sourceLinked="1"/>
        <c:tickLblPos val="nextTo"/>
        <c:crossAx val="120191616"/>
        <c:crosses val="autoZero"/>
        <c:crossBetween val="between"/>
      </c:valAx>
      <c:spPr>
        <a:noFill/>
        <a:ln w="25413">
          <a:noFill/>
        </a:ln>
      </c:spPr>
    </c:plotArea>
    <c:legend>
      <c:legendPos val="r"/>
    </c:legend>
    <c:plotVisOnly val="1"/>
    <c:dispBlanksAs val="gap"/>
  </c:chart>
  <c:spPr>
    <a:solidFill>
      <a:srgbClr val="C0504D">
        <a:lumMod val="20000"/>
        <a:lumOff val="80000"/>
      </a:srgbClr>
    </a:solidFill>
  </c:spPr>
  <c:externalData r:id="rId2"/>
</c:chartSpace>
</file>

<file path=word/charts/chart115.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2010-2014</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25.54</c:v>
                </c:pt>
                <c:pt idx="1">
                  <c:v>25.54</c:v>
                </c:pt>
                <c:pt idx="2">
                  <c:v>27.67</c:v>
                </c:pt>
                <c:pt idx="3">
                  <c:v>27.67</c:v>
                </c:pt>
                <c:pt idx="4">
                  <c:v>27.67</c:v>
                </c:pt>
              </c:numCache>
            </c:numRef>
          </c:val>
        </c:ser>
        <c:shape val="box"/>
        <c:axId val="171835392"/>
        <c:axId val="171836928"/>
        <c:axId val="0"/>
      </c:bar3DChart>
      <c:catAx>
        <c:axId val="171835392"/>
        <c:scaling>
          <c:orientation val="minMax"/>
        </c:scaling>
        <c:axPos val="b"/>
        <c:numFmt formatCode="General" sourceLinked="1"/>
        <c:tickLblPos val="nextTo"/>
        <c:crossAx val="171836928"/>
        <c:crosses val="autoZero"/>
        <c:auto val="1"/>
        <c:lblAlgn val="ctr"/>
        <c:lblOffset val="100"/>
      </c:catAx>
      <c:valAx>
        <c:axId val="171836928"/>
        <c:scaling>
          <c:orientation val="minMax"/>
        </c:scaling>
        <c:axPos val="l"/>
        <c:majorGridlines/>
        <c:numFmt formatCode="General" sourceLinked="1"/>
        <c:tickLblPos val="nextTo"/>
        <c:crossAx val="171835392"/>
        <c:crosses val="autoZero"/>
        <c:crossBetween val="between"/>
      </c:valAx>
      <c:spPr>
        <a:noFill/>
        <a:ln w="25361">
          <a:noFill/>
        </a:ln>
      </c:spPr>
    </c:plotArea>
    <c:legend>
      <c:legendPos val="r"/>
    </c:legend>
    <c:plotVisOnly val="1"/>
    <c:dispBlanksAs val="gap"/>
  </c:chart>
  <c:spPr>
    <a:solidFill>
      <a:srgbClr val="9BBB59">
        <a:lumMod val="20000"/>
        <a:lumOff val="80000"/>
      </a:srgbClr>
    </a:solidFill>
  </c:spPr>
  <c:externalData r:id="rId2"/>
</c:chartSpace>
</file>

<file path=word/charts/chart116.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5.63</c:v>
                </c:pt>
                <c:pt idx="1">
                  <c:v>5.63</c:v>
                </c:pt>
                <c:pt idx="2">
                  <c:v>5.63</c:v>
                </c:pt>
                <c:pt idx="3">
                  <c:v>5.63</c:v>
                </c:pt>
                <c:pt idx="4">
                  <c:v>5.63</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296.47000000000003</c:v>
                </c:pt>
                <c:pt idx="1">
                  <c:v>296.47000000000003</c:v>
                </c:pt>
                <c:pt idx="2">
                  <c:v>296.47000000000003</c:v>
                </c:pt>
                <c:pt idx="3">
                  <c:v>296.47000000000003</c:v>
                </c:pt>
                <c:pt idx="4">
                  <c:v>296.47000000000003</c:v>
                </c:pt>
              </c:numCache>
            </c:numRef>
          </c:val>
        </c:ser>
        <c:shape val="box"/>
        <c:axId val="171865984"/>
        <c:axId val="171867520"/>
        <c:axId val="0"/>
      </c:bar3DChart>
      <c:catAx>
        <c:axId val="171865984"/>
        <c:scaling>
          <c:orientation val="minMax"/>
        </c:scaling>
        <c:axPos val="b"/>
        <c:numFmt formatCode="General" sourceLinked="1"/>
        <c:tickLblPos val="nextTo"/>
        <c:crossAx val="171867520"/>
        <c:crosses val="autoZero"/>
        <c:auto val="1"/>
        <c:lblAlgn val="ctr"/>
        <c:lblOffset val="100"/>
      </c:catAx>
      <c:valAx>
        <c:axId val="171867520"/>
        <c:scaling>
          <c:orientation val="minMax"/>
        </c:scaling>
        <c:axPos val="l"/>
        <c:majorGridlines/>
        <c:numFmt formatCode="General" sourceLinked="1"/>
        <c:tickLblPos val="nextTo"/>
        <c:crossAx val="171865984"/>
        <c:crosses val="autoZero"/>
        <c:crossBetween val="between"/>
      </c:valAx>
      <c:spPr>
        <a:noFill/>
        <a:ln w="25347">
          <a:noFill/>
        </a:ln>
      </c:spPr>
    </c:plotArea>
    <c:legend>
      <c:legendPos val="r"/>
    </c:legend>
    <c:plotVisOnly val="1"/>
    <c:dispBlanksAs val="gap"/>
  </c:chart>
  <c:spPr>
    <a:solidFill>
      <a:srgbClr val="9BBB59">
        <a:lumMod val="20000"/>
        <a:lumOff val="80000"/>
      </a:srgbClr>
    </a:solidFill>
  </c:spPr>
  <c:externalData r:id="rId2"/>
</c:chartSpace>
</file>

<file path=word/charts/chart117.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2010-2014 </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14.03</c:v>
                </c:pt>
                <c:pt idx="1">
                  <c:v>14.03</c:v>
                </c:pt>
                <c:pt idx="2">
                  <c:v>15.68</c:v>
                </c:pt>
                <c:pt idx="3">
                  <c:v>15.68</c:v>
                </c:pt>
                <c:pt idx="4">
                  <c:v>15.68</c:v>
                </c:pt>
              </c:numCache>
            </c:numRef>
          </c:val>
        </c:ser>
        <c:shape val="box"/>
        <c:axId val="171392000"/>
        <c:axId val="171401984"/>
        <c:axId val="0"/>
      </c:bar3DChart>
      <c:catAx>
        <c:axId val="171392000"/>
        <c:scaling>
          <c:orientation val="minMax"/>
        </c:scaling>
        <c:axPos val="b"/>
        <c:numFmt formatCode="General" sourceLinked="1"/>
        <c:tickLblPos val="nextTo"/>
        <c:crossAx val="171401984"/>
        <c:crosses val="autoZero"/>
        <c:auto val="1"/>
        <c:lblAlgn val="ctr"/>
        <c:lblOffset val="100"/>
      </c:catAx>
      <c:valAx>
        <c:axId val="171401984"/>
        <c:scaling>
          <c:orientation val="minMax"/>
        </c:scaling>
        <c:axPos val="l"/>
        <c:majorGridlines/>
        <c:numFmt formatCode="General" sourceLinked="1"/>
        <c:tickLblPos val="nextTo"/>
        <c:crossAx val="171392000"/>
        <c:crosses val="autoZero"/>
        <c:crossBetween val="between"/>
      </c:valAx>
      <c:spPr>
        <a:noFill/>
        <a:ln w="25413">
          <a:noFill/>
        </a:ln>
      </c:spPr>
    </c:plotArea>
    <c:legend>
      <c:legendPos val="r"/>
    </c:legend>
    <c:plotVisOnly val="1"/>
    <c:dispBlanksAs val="gap"/>
  </c:chart>
  <c:spPr>
    <a:solidFill>
      <a:srgbClr val="FFFF00"/>
    </a:solidFill>
  </c:spPr>
  <c:externalData r:id="rId2"/>
</c:chartSpace>
</file>

<file path=word/charts/chart118.xml><?xml version="1.0" encoding="utf-8"?>
<c:chartSpace xmlns:c="http://schemas.openxmlformats.org/drawingml/2006/chart" xmlns:a="http://schemas.openxmlformats.org/drawingml/2006/main" xmlns:r="http://schemas.openxmlformats.org/officeDocument/2006/relationships">
  <c:date1904 val="1"/>
  <c:lang val="ro-RO"/>
  <c:chart>
    <c:view3D>
      <c:depthPercent val="100"/>
      <c:rAngAx val="1"/>
    </c:view3D>
    <c:plotArea>
      <c:layout/>
      <c:bar3DChart>
        <c:barDir val="col"/>
        <c:grouping val="stacked"/>
        <c:ser>
          <c:idx val="0"/>
          <c:order val="0"/>
          <c:tx>
            <c:strRef>
              <c:f>Sheet1!$B$1</c:f>
              <c:strCache>
                <c:ptCount val="1"/>
                <c:pt idx="0">
                  <c:v>Suprafaţa totală spaţii verzi/ha</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524.22</c:v>
                </c:pt>
                <c:pt idx="1">
                  <c:v>524.22</c:v>
                </c:pt>
                <c:pt idx="2">
                  <c:v>532.30999999999949</c:v>
                </c:pt>
                <c:pt idx="3">
                  <c:v>532.30999999999949</c:v>
                </c:pt>
                <c:pt idx="4">
                  <c:v>533.43999999999949</c:v>
                </c:pt>
              </c:numCache>
            </c:numRef>
          </c:val>
        </c:ser>
        <c:ser>
          <c:idx val="1"/>
          <c:order val="1"/>
          <c:tx>
            <c:strRef>
              <c:f>Sheet1!$C$1</c:f>
              <c:strCache>
                <c:ptCount val="1"/>
                <c:pt idx="0">
                  <c:v>Suprafață intravilan/ha</c:v>
                </c:pt>
              </c:strCache>
            </c:strRef>
          </c:tx>
          <c:spPr>
            <a:solidFill>
              <a:srgbClr val="FFFF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6450.1200000000044</c:v>
                </c:pt>
                <c:pt idx="1">
                  <c:v>6450.1200000000044</c:v>
                </c:pt>
                <c:pt idx="2">
                  <c:v>6450.1200000000044</c:v>
                </c:pt>
                <c:pt idx="3">
                  <c:v>6450.1200000000044</c:v>
                </c:pt>
                <c:pt idx="4">
                  <c:v>6450.1200000000044</c:v>
                </c:pt>
              </c:numCache>
            </c:numRef>
          </c:val>
        </c:ser>
        <c:shape val="box"/>
        <c:axId val="171451520"/>
        <c:axId val="171453056"/>
        <c:axId val="0"/>
      </c:bar3DChart>
      <c:catAx>
        <c:axId val="171451520"/>
        <c:scaling>
          <c:orientation val="minMax"/>
        </c:scaling>
        <c:axPos val="b"/>
        <c:numFmt formatCode="General" sourceLinked="1"/>
        <c:tickLblPos val="nextTo"/>
        <c:crossAx val="171453056"/>
        <c:crosses val="autoZero"/>
        <c:auto val="1"/>
        <c:lblAlgn val="ctr"/>
        <c:lblOffset val="100"/>
      </c:catAx>
      <c:valAx>
        <c:axId val="171453056"/>
        <c:scaling>
          <c:orientation val="minMax"/>
        </c:scaling>
        <c:axPos val="l"/>
        <c:majorGridlines/>
        <c:numFmt formatCode="General" sourceLinked="1"/>
        <c:tickLblPos val="nextTo"/>
        <c:crossAx val="171451520"/>
        <c:crosses val="autoZero"/>
        <c:crossBetween val="between"/>
      </c:valAx>
      <c:spPr>
        <a:noFill/>
        <a:ln w="25405">
          <a:noFill/>
        </a:ln>
      </c:spPr>
    </c:plotArea>
    <c:legend>
      <c:legendPos val="r"/>
    </c:legend>
    <c:plotVisOnly val="1"/>
    <c:dispBlanksAs val="gap"/>
  </c:chart>
  <c:spPr>
    <a:solidFill>
      <a:srgbClr val="C0504D">
        <a:lumMod val="20000"/>
        <a:lumOff val="80000"/>
      </a:srgbClr>
    </a:solidFill>
  </c:spPr>
  <c:externalData r:id="rId2"/>
</c:chartSpace>
</file>

<file path=word/charts/chart119.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depthPercent val="100"/>
      <c:rAngAx val="1"/>
    </c:view3D>
    <c:plotArea>
      <c:layout/>
      <c:bar3DChart>
        <c:barDir val="col"/>
        <c:grouping val="stacked"/>
        <c:ser>
          <c:idx val="0"/>
          <c:order val="0"/>
          <c:tx>
            <c:strRef>
              <c:f>Sheet1!$B$1</c:f>
              <c:strCache>
                <c:ptCount val="1"/>
                <c:pt idx="0">
                  <c:v>Suprafața spațiu verde m.p./pe cap de locuitor din mediul urban, tendința (2010-2014)</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22.55</c:v>
                </c:pt>
                <c:pt idx="1">
                  <c:v>22.55</c:v>
                </c:pt>
                <c:pt idx="2">
                  <c:v>26.51</c:v>
                </c:pt>
                <c:pt idx="3">
                  <c:v>26.51</c:v>
                </c:pt>
                <c:pt idx="4">
                  <c:v>26.57</c:v>
                </c:pt>
              </c:numCache>
            </c:numRef>
          </c:val>
        </c:ser>
        <c:shape val="box"/>
        <c:axId val="171985152"/>
        <c:axId val="171986944"/>
        <c:axId val="0"/>
      </c:bar3DChart>
      <c:catAx>
        <c:axId val="171985152"/>
        <c:scaling>
          <c:orientation val="minMax"/>
        </c:scaling>
        <c:axPos val="b"/>
        <c:numFmt formatCode="General" sourceLinked="1"/>
        <c:tickLblPos val="nextTo"/>
        <c:crossAx val="171986944"/>
        <c:crosses val="autoZero"/>
        <c:auto val="1"/>
        <c:lblAlgn val="ctr"/>
        <c:lblOffset val="100"/>
      </c:catAx>
      <c:valAx>
        <c:axId val="171986944"/>
        <c:scaling>
          <c:orientation val="minMax"/>
        </c:scaling>
        <c:axPos val="l"/>
        <c:majorGridlines/>
        <c:numFmt formatCode="General" sourceLinked="1"/>
        <c:tickLblPos val="nextTo"/>
        <c:crossAx val="171985152"/>
        <c:crosses val="autoZero"/>
        <c:crossBetween val="between"/>
      </c:valAx>
      <c:spPr>
        <a:noFill/>
        <a:ln w="25413">
          <a:noFill/>
        </a:ln>
      </c:spPr>
    </c:plotArea>
    <c:legend>
      <c:legendPos val="r"/>
    </c:legend>
    <c:plotVisOnly val="1"/>
    <c:dispBlanksAs val="gap"/>
  </c:chart>
  <c:spPr>
    <a:solidFill>
      <a:srgbClr val="4BACC6">
        <a:lumMod val="20000"/>
        <a:lumOff val="80000"/>
      </a:srgbClr>
    </a:solidFill>
  </c:spPr>
  <c:externalData r:id="rId2"/>
</c:chartSpace>
</file>

<file path=word/charts/chart1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059"/>
          <c:h val="0.72282608695652173"/>
        </c:manualLayout>
      </c:layout>
      <c:bar3DChart>
        <c:barDir val="col"/>
        <c:grouping val="clustered"/>
        <c:ser>
          <c:idx val="3"/>
          <c:order val="0"/>
          <c:tx>
            <c:strRef>
              <c:f>Sheet1!$A$2</c:f>
              <c:strCache>
                <c:ptCount val="1"/>
                <c:pt idx="0">
                  <c:v>Medii anuale 2008</c:v>
                </c:pt>
              </c:strCache>
            </c:strRef>
          </c:tx>
          <c:spPr>
            <a:solidFill>
              <a:srgbClr val="CCFFFF"/>
            </a:solidFill>
            <a:ln w="12699">
              <a:solidFill>
                <a:srgbClr val="000000"/>
              </a:solidFill>
              <a:prstDash val="solid"/>
            </a:ln>
          </c:spPr>
          <c:cat>
            <c:strRef>
              <c:f>Sheet1!$B$1:$E$1</c:f>
              <c:strCache>
                <c:ptCount val="4"/>
                <c:pt idx="0">
                  <c:v>Br2</c:v>
                </c:pt>
                <c:pt idx="1">
                  <c:v>Br3</c:v>
                </c:pt>
                <c:pt idx="2">
                  <c:v>Br4</c:v>
                </c:pt>
                <c:pt idx="3">
                  <c:v>Br5</c:v>
                </c:pt>
              </c:strCache>
            </c:strRef>
          </c:cat>
          <c:val>
            <c:numRef>
              <c:f>Sheet1!$B$2:$E$2</c:f>
              <c:numCache>
                <c:formatCode>General</c:formatCode>
                <c:ptCount val="4"/>
                <c:pt idx="1">
                  <c:v>33.260000000000012</c:v>
                </c:pt>
                <c:pt idx="2">
                  <c:v>69.48</c:v>
                </c:pt>
                <c:pt idx="3">
                  <c:v>56.84</c:v>
                </c:pt>
              </c:numCache>
            </c:numRef>
          </c:val>
        </c:ser>
        <c:ser>
          <c:idx val="0"/>
          <c:order val="1"/>
          <c:tx>
            <c:strRef>
              <c:f>Sheet1!$A$3</c:f>
              <c:strCache>
                <c:ptCount val="1"/>
                <c:pt idx="0">
                  <c:v>Medii anuale 2009</c:v>
                </c:pt>
              </c:strCache>
            </c:strRef>
          </c:tx>
          <c:spPr>
            <a:solidFill>
              <a:srgbClr val="9999FF"/>
            </a:solidFill>
            <a:ln w="12699">
              <a:solidFill>
                <a:srgbClr val="000000"/>
              </a:solidFill>
              <a:prstDash val="solid"/>
            </a:ln>
          </c:spPr>
          <c:cat>
            <c:strRef>
              <c:f>Sheet1!$B$1:$E$1</c:f>
              <c:strCache>
                <c:ptCount val="4"/>
                <c:pt idx="0">
                  <c:v>Br2</c:v>
                </c:pt>
                <c:pt idx="1">
                  <c:v>Br3</c:v>
                </c:pt>
                <c:pt idx="2">
                  <c:v>Br4</c:v>
                </c:pt>
                <c:pt idx="3">
                  <c:v>Br5</c:v>
                </c:pt>
              </c:strCache>
            </c:strRef>
          </c:cat>
          <c:val>
            <c:numRef>
              <c:f>Sheet1!$B$3:$E$3</c:f>
              <c:numCache>
                <c:formatCode>General</c:formatCode>
                <c:ptCount val="4"/>
                <c:pt idx="0">
                  <c:v>72.669999999999987</c:v>
                </c:pt>
                <c:pt idx="1">
                  <c:v>69.72</c:v>
                </c:pt>
                <c:pt idx="2">
                  <c:v>65.599999999999994</c:v>
                </c:pt>
                <c:pt idx="3">
                  <c:v>72.14</c:v>
                </c:pt>
              </c:numCache>
            </c:numRef>
          </c:val>
        </c:ser>
        <c:ser>
          <c:idx val="1"/>
          <c:order val="2"/>
          <c:tx>
            <c:strRef>
              <c:f>Sheet1!$A$4</c:f>
              <c:strCache>
                <c:ptCount val="1"/>
                <c:pt idx="0">
                  <c:v>Medii anuale 2010</c:v>
                </c:pt>
              </c:strCache>
            </c:strRef>
          </c:tx>
          <c:spPr>
            <a:solidFill>
              <a:srgbClr val="993366"/>
            </a:solidFill>
            <a:ln w="12699">
              <a:solidFill>
                <a:srgbClr val="000000"/>
              </a:solidFill>
              <a:prstDash val="solid"/>
            </a:ln>
          </c:spPr>
          <c:cat>
            <c:strRef>
              <c:f>Sheet1!$B$1:$E$1</c:f>
              <c:strCache>
                <c:ptCount val="4"/>
                <c:pt idx="0">
                  <c:v>Br2</c:v>
                </c:pt>
                <c:pt idx="1">
                  <c:v>Br3</c:v>
                </c:pt>
                <c:pt idx="2">
                  <c:v>Br4</c:v>
                </c:pt>
                <c:pt idx="3">
                  <c:v>Br5</c:v>
                </c:pt>
              </c:strCache>
            </c:strRef>
          </c:cat>
          <c:val>
            <c:numRef>
              <c:f>Sheet1!$B$4:$E$4</c:f>
              <c:numCache>
                <c:formatCode>General</c:formatCode>
                <c:ptCount val="4"/>
                <c:pt idx="0">
                  <c:v>65.38</c:v>
                </c:pt>
                <c:pt idx="1">
                  <c:v>85.11999999999999</c:v>
                </c:pt>
                <c:pt idx="2">
                  <c:v>67.84</c:v>
                </c:pt>
                <c:pt idx="3">
                  <c:v>64.13</c:v>
                </c:pt>
              </c:numCache>
            </c:numRef>
          </c:val>
        </c:ser>
        <c:ser>
          <c:idx val="2"/>
          <c:order val="3"/>
          <c:tx>
            <c:strRef>
              <c:f>Sheet1!$A$5</c:f>
              <c:strCache>
                <c:ptCount val="1"/>
                <c:pt idx="0">
                  <c:v>Medii anuale 2011</c:v>
                </c:pt>
              </c:strCache>
            </c:strRef>
          </c:tx>
          <c:spPr>
            <a:solidFill>
              <a:srgbClr val="FFFFCC"/>
            </a:solidFill>
            <a:ln w="12699">
              <a:solidFill>
                <a:srgbClr val="000000"/>
              </a:solidFill>
              <a:prstDash val="solid"/>
            </a:ln>
          </c:spPr>
          <c:cat>
            <c:strRef>
              <c:f>Sheet1!$B$1:$E$1</c:f>
              <c:strCache>
                <c:ptCount val="4"/>
                <c:pt idx="0">
                  <c:v>Br2</c:v>
                </c:pt>
                <c:pt idx="1">
                  <c:v>Br3</c:v>
                </c:pt>
                <c:pt idx="2">
                  <c:v>Br4</c:v>
                </c:pt>
                <c:pt idx="3">
                  <c:v>Br5</c:v>
                </c:pt>
              </c:strCache>
            </c:strRef>
          </c:cat>
          <c:val>
            <c:numRef>
              <c:f>Sheet1!$B$5:$E$5</c:f>
              <c:numCache>
                <c:formatCode>General</c:formatCode>
                <c:ptCount val="4"/>
                <c:pt idx="0">
                  <c:v>63.3</c:v>
                </c:pt>
                <c:pt idx="1">
                  <c:v>47.59</c:v>
                </c:pt>
                <c:pt idx="2">
                  <c:v>54.5</c:v>
                </c:pt>
                <c:pt idx="3">
                  <c:v>48.42</c:v>
                </c:pt>
              </c:numCache>
            </c:numRef>
          </c:val>
        </c:ser>
        <c:ser>
          <c:idx val="4"/>
          <c:order val="4"/>
          <c:tx>
            <c:strRef>
              <c:f>Sheet1!$A$6</c:f>
              <c:strCache>
                <c:ptCount val="1"/>
                <c:pt idx="0">
                  <c:v>Medii anuale 2012</c:v>
                </c:pt>
              </c:strCache>
            </c:strRef>
          </c:tx>
          <c:cat>
            <c:strRef>
              <c:f>Sheet1!$B$1:$E$1</c:f>
              <c:strCache>
                <c:ptCount val="4"/>
                <c:pt idx="0">
                  <c:v>Br2</c:v>
                </c:pt>
                <c:pt idx="1">
                  <c:v>Br3</c:v>
                </c:pt>
                <c:pt idx="2">
                  <c:v>Br4</c:v>
                </c:pt>
                <c:pt idx="3">
                  <c:v>Br5</c:v>
                </c:pt>
              </c:strCache>
            </c:strRef>
          </c:cat>
          <c:val>
            <c:numRef>
              <c:f>Sheet1!$B$6:$E$6</c:f>
              <c:numCache>
                <c:formatCode>General</c:formatCode>
                <c:ptCount val="4"/>
                <c:pt idx="0">
                  <c:v>67.42</c:v>
                </c:pt>
                <c:pt idx="2">
                  <c:v>77.58</c:v>
                </c:pt>
                <c:pt idx="3">
                  <c:v>76.13</c:v>
                </c:pt>
              </c:numCache>
            </c:numRef>
          </c:val>
        </c:ser>
        <c:ser>
          <c:idx val="5"/>
          <c:order val="5"/>
          <c:tx>
            <c:strRef>
              <c:f>Sheet1!$A$7</c:f>
              <c:strCache>
                <c:ptCount val="1"/>
                <c:pt idx="0">
                  <c:v>Medii anuale2013</c:v>
                </c:pt>
              </c:strCache>
            </c:strRef>
          </c:tx>
          <c:cat>
            <c:strRef>
              <c:f>Sheet1!$B$1:$E$1</c:f>
              <c:strCache>
                <c:ptCount val="4"/>
                <c:pt idx="0">
                  <c:v>Br2</c:v>
                </c:pt>
                <c:pt idx="1">
                  <c:v>Br3</c:v>
                </c:pt>
                <c:pt idx="2">
                  <c:v>Br4</c:v>
                </c:pt>
                <c:pt idx="3">
                  <c:v>Br5</c:v>
                </c:pt>
              </c:strCache>
            </c:strRef>
          </c:cat>
          <c:val>
            <c:numRef>
              <c:f>Sheet1!$B$7:$E$7</c:f>
              <c:numCache>
                <c:formatCode>General</c:formatCode>
                <c:ptCount val="4"/>
                <c:pt idx="0">
                  <c:v>57.39</c:v>
                </c:pt>
                <c:pt idx="2">
                  <c:v>64.56</c:v>
                </c:pt>
                <c:pt idx="3">
                  <c:v>74.3</c:v>
                </c:pt>
              </c:numCache>
            </c:numRef>
          </c:val>
        </c:ser>
        <c:ser>
          <c:idx val="6"/>
          <c:order val="6"/>
          <c:tx>
            <c:strRef>
              <c:f>Sheet1!$A$8</c:f>
              <c:strCache>
                <c:ptCount val="1"/>
                <c:pt idx="0">
                  <c:v>Medii anuale2014</c:v>
                </c:pt>
              </c:strCache>
            </c:strRef>
          </c:tx>
          <c:cat>
            <c:strRef>
              <c:f>Sheet1!$B$1:$E$1</c:f>
              <c:strCache>
                <c:ptCount val="4"/>
                <c:pt idx="0">
                  <c:v>Br2</c:v>
                </c:pt>
                <c:pt idx="1">
                  <c:v>Br3</c:v>
                </c:pt>
                <c:pt idx="2">
                  <c:v>Br4</c:v>
                </c:pt>
                <c:pt idx="3">
                  <c:v>Br5</c:v>
                </c:pt>
              </c:strCache>
            </c:strRef>
          </c:cat>
          <c:val>
            <c:numRef>
              <c:f>Sheet1!$B$8:$E$8</c:f>
              <c:numCache>
                <c:formatCode>General</c:formatCode>
                <c:ptCount val="4"/>
                <c:pt idx="0">
                  <c:v>23.02</c:v>
                </c:pt>
                <c:pt idx="2">
                  <c:v>29.23</c:v>
                </c:pt>
                <c:pt idx="3">
                  <c:v>67.239999999999995</c:v>
                </c:pt>
              </c:numCache>
            </c:numRef>
          </c:val>
        </c:ser>
        <c:gapWidth val="340"/>
        <c:gapDepth val="0"/>
        <c:shape val="box"/>
        <c:axId val="59194752"/>
        <c:axId val="59212928"/>
        <c:axId val="0"/>
      </c:bar3DChart>
      <c:catAx>
        <c:axId val="59194752"/>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59212928"/>
        <c:crosses val="autoZero"/>
        <c:auto val="1"/>
        <c:lblAlgn val="ctr"/>
        <c:lblOffset val="100"/>
        <c:tickLblSkip val="1"/>
        <c:tickMarkSkip val="1"/>
      </c:catAx>
      <c:valAx>
        <c:axId val="59212928"/>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4.7892720306514328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59194752"/>
        <c:crosses val="autoZero"/>
        <c:crossBetween val="between"/>
      </c:valAx>
      <c:spPr>
        <a:noFill/>
        <a:ln w="25399">
          <a:noFill/>
        </a:ln>
      </c:spPr>
    </c:plotArea>
    <c:legend>
      <c:legendPos val="r"/>
      <c:layout>
        <c:manualLayout>
          <c:xMode val="edge"/>
          <c:yMode val="edge"/>
          <c:x val="0.75862068965518514"/>
          <c:y val="0.11956521739130439"/>
          <c:w val="0.21167406705740729"/>
          <c:h val="0.72779392266689413"/>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120.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rot="0"/>
          <a:lstStyle/>
          <a:p>
            <a:pPr algn="ctr" rtl="0">
              <a:defRPr/>
            </a:pPr>
            <a:r>
              <a:rPr lang="ro-RO"/>
              <a:t>Variația mediilor și maximelor anuale ale debitului dozei gama</a:t>
            </a:r>
          </a:p>
        </c:rich>
      </c:tx>
      <c:spPr>
        <a:ln>
          <a:noFill/>
        </a:ln>
      </c:spPr>
    </c:title>
    <c:plotArea>
      <c:layout/>
      <c:lineChart>
        <c:grouping val="standard"/>
        <c:ser>
          <c:idx val="0"/>
          <c:order val="0"/>
          <c:tx>
            <c:strRef>
              <c:f>Sheet1!$B$1</c:f>
              <c:strCache>
                <c:ptCount val="1"/>
                <c:pt idx="0">
                  <c:v>maxima anuală</c:v>
                </c:pt>
              </c:strCache>
            </c:strRef>
          </c:tx>
          <c:spPr>
            <a:ln w="28575">
              <a:solidFill>
                <a:srgbClr val="C00000"/>
              </a:solidFill>
            </a:ln>
          </c:spPr>
          <c:marker>
            <c:symbol val="square"/>
            <c:size val="4"/>
            <c:spPr>
              <a:solidFill>
                <a:srgbClr val="FFFF00"/>
              </a:solidFill>
            </c:spPr>
          </c:marker>
          <c:dLbls>
            <c:dLbl>
              <c:idx val="0"/>
              <c:layout>
                <c:manualLayout>
                  <c:x val="-5.1282051282051273E-2"/>
                  <c:y val="-4.9252418645558502E-2"/>
                </c:manualLayout>
              </c:layout>
              <c:showVal val="1"/>
            </c:dLbl>
            <c:dLbl>
              <c:idx val="1"/>
              <c:layout>
                <c:manualLayout>
                  <c:x val="-6.1538461538461584E-2"/>
                  <c:y val="-5.9806508355321274E-2"/>
                </c:manualLayout>
              </c:layout>
              <c:showVal val="1"/>
            </c:dLbl>
            <c:dLbl>
              <c:idx val="3"/>
              <c:layout>
                <c:manualLayout>
                  <c:x val="-4.3589743589743567E-2"/>
                  <c:y val="-6.332453825857523E-2"/>
                </c:manualLayout>
              </c:layout>
              <c:showVal val="1"/>
            </c:dLbl>
            <c:dLbl>
              <c:idx val="4"/>
              <c:layout>
                <c:manualLayout>
                  <c:x val="-4.8717948717948822E-2"/>
                  <c:y val="-5.2770448548812694E-2"/>
                </c:manualLayout>
              </c:layout>
              <c:showVal val="1"/>
            </c:dLbl>
            <c:txPr>
              <a:bodyPr/>
              <a:lstStyle/>
              <a:p>
                <a:pPr>
                  <a:defRPr sz="900" b="1" i="0" baseline="0"/>
                </a:pPr>
                <a:endParaRPr lang="ro-RO"/>
              </a:p>
            </c:txPr>
            <c:showVal val="1"/>
          </c:dLbls>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0.16600000000000001</c:v>
                </c:pt>
                <c:pt idx="1">
                  <c:v>0.15200000000000041</c:v>
                </c:pt>
                <c:pt idx="2">
                  <c:v>0.192</c:v>
                </c:pt>
                <c:pt idx="3">
                  <c:v>0.15200000000000041</c:v>
                </c:pt>
                <c:pt idx="4">
                  <c:v>0.16400000000000001</c:v>
                </c:pt>
              </c:numCache>
            </c:numRef>
          </c:val>
        </c:ser>
        <c:ser>
          <c:idx val="1"/>
          <c:order val="1"/>
          <c:tx>
            <c:strRef>
              <c:f>Sheet1!$C$1</c:f>
              <c:strCache>
                <c:ptCount val="1"/>
                <c:pt idx="0">
                  <c:v>media anuală</c:v>
                </c:pt>
              </c:strCache>
            </c:strRef>
          </c:tx>
          <c:spPr>
            <a:ln w="28575">
              <a:solidFill>
                <a:srgbClr val="D47ACE"/>
              </a:solidFill>
            </a:ln>
          </c:spPr>
          <c:marker>
            <c:symbol val="square"/>
            <c:size val="13"/>
            <c:spPr>
              <a:solidFill>
                <a:srgbClr val="FFFF00"/>
              </a:solidFill>
              <a:ln w="6350">
                <a:solidFill>
                  <a:srgbClr val="D47ACE"/>
                </a:solidFill>
              </a:ln>
            </c:spPr>
          </c:marker>
          <c:dPt>
            <c:idx val="0"/>
            <c:marker>
              <c:symbol val="circle"/>
              <c:size val="7"/>
            </c:marker>
          </c:dPt>
          <c:dPt>
            <c:idx val="1"/>
            <c:marker>
              <c:symbol val="circle"/>
              <c:size val="7"/>
            </c:marker>
          </c:dPt>
          <c:dPt>
            <c:idx val="2"/>
            <c:marker>
              <c:symbol val="circle"/>
              <c:size val="7"/>
            </c:marker>
          </c:dPt>
          <c:dPt>
            <c:idx val="3"/>
            <c:marker>
              <c:symbol val="circle"/>
              <c:size val="7"/>
            </c:marker>
          </c:dPt>
          <c:dPt>
            <c:idx val="4"/>
            <c:marker>
              <c:symbol val="circle"/>
              <c:size val="7"/>
            </c:marker>
          </c:dPt>
          <c:dLbls>
            <c:dLbl>
              <c:idx val="0"/>
              <c:layout>
                <c:manualLayout>
                  <c:x val="-5.3846153846153821E-2"/>
                  <c:y val="6.684256816182936E-2"/>
                </c:manualLayout>
              </c:layout>
              <c:showVal val="1"/>
            </c:dLbl>
            <c:dLbl>
              <c:idx val="1"/>
              <c:layout>
                <c:manualLayout>
                  <c:x val="-5.3846153846153891E-2"/>
                  <c:y val="6.332453825857523E-2"/>
                </c:manualLayout>
              </c:layout>
              <c:showVal val="1"/>
            </c:dLbl>
            <c:dLbl>
              <c:idx val="2"/>
              <c:layout>
                <c:manualLayout>
                  <c:x val="-5.128205128205128E-2"/>
                  <c:y val="5.2770448548812694E-2"/>
                </c:manualLayout>
              </c:layout>
              <c:showVal val="1"/>
            </c:dLbl>
            <c:dLbl>
              <c:idx val="3"/>
              <c:layout>
                <c:manualLayout>
                  <c:x val="-5.6410256410256411E-2"/>
                  <c:y val="6.332453825857523E-2"/>
                </c:manualLayout>
              </c:layout>
              <c:showVal val="1"/>
            </c:dLbl>
            <c:dLbl>
              <c:idx val="4"/>
              <c:layout>
                <c:manualLayout>
                  <c:x val="-6.1538461538461493E-2"/>
                  <c:y val="5.6288478452066908E-2"/>
                </c:manualLayout>
              </c:layout>
              <c:showVal val="1"/>
            </c:dLbl>
            <c:txPr>
              <a:bodyPr/>
              <a:lstStyle/>
              <a:p>
                <a:pPr>
                  <a:defRPr sz="900" b="1" i="0" baseline="0"/>
                </a:pPr>
                <a:endParaRPr lang="ro-RO"/>
              </a:p>
            </c:txPr>
            <c:showVal val="1"/>
          </c:dLbls>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0.10500000000000002</c:v>
                </c:pt>
                <c:pt idx="1">
                  <c:v>0.10500000000000002</c:v>
                </c:pt>
                <c:pt idx="2">
                  <c:v>0.10500000000000002</c:v>
                </c:pt>
                <c:pt idx="3">
                  <c:v>0.10600000000000002</c:v>
                </c:pt>
                <c:pt idx="4">
                  <c:v>0.10800000000000012</c:v>
                </c:pt>
              </c:numCache>
            </c:numRef>
          </c:val>
        </c:ser>
        <c:marker val="1"/>
        <c:axId val="172476288"/>
        <c:axId val="172477824"/>
      </c:lineChart>
      <c:catAx>
        <c:axId val="172476288"/>
        <c:scaling>
          <c:orientation val="minMax"/>
        </c:scaling>
        <c:axPos val="b"/>
        <c:numFmt formatCode="General" sourceLinked="1"/>
        <c:majorTickMark val="none"/>
        <c:tickLblPos val="nextTo"/>
        <c:spPr>
          <a:noFill/>
          <a:ln cap="rnd"/>
        </c:spPr>
        <c:txPr>
          <a:bodyPr/>
          <a:lstStyle/>
          <a:p>
            <a:pPr>
              <a:defRPr sz="900" b="1"/>
            </a:pPr>
            <a:endParaRPr lang="ro-RO"/>
          </a:p>
        </c:txPr>
        <c:crossAx val="172477824"/>
        <c:crossesAt val="0"/>
        <c:auto val="1"/>
        <c:lblAlgn val="ctr"/>
        <c:lblOffset val="100"/>
      </c:catAx>
      <c:valAx>
        <c:axId val="172477824"/>
        <c:scaling>
          <c:orientation val="minMax"/>
          <c:max val="0.2"/>
        </c:scaling>
        <c:axPos val="l"/>
        <c:majorGridlines/>
        <c:title>
          <c:tx>
            <c:rich>
              <a:bodyPr/>
              <a:lstStyle/>
              <a:p>
                <a:pPr>
                  <a:defRPr/>
                </a:pPr>
                <a:r>
                  <a:rPr lang="ro-RO">
                    <a:latin typeface="Arial"/>
                    <a:cs typeface="Arial"/>
                  </a:rPr>
                  <a:t>µSv/h</a:t>
                </a:r>
                <a:endParaRPr lang="ro-RO"/>
              </a:p>
            </c:rich>
          </c:tx>
        </c:title>
        <c:numFmt formatCode="#,##0.000" sourceLinked="0"/>
        <c:majorTickMark val="none"/>
        <c:tickLblPos val="nextTo"/>
        <c:spPr>
          <a:noFill/>
        </c:spPr>
        <c:txPr>
          <a:bodyPr/>
          <a:lstStyle/>
          <a:p>
            <a:pPr>
              <a:defRPr sz="900" b="1"/>
            </a:pPr>
            <a:endParaRPr lang="ro-RO"/>
          </a:p>
        </c:txPr>
        <c:crossAx val="172476288"/>
        <c:crosses val="autoZero"/>
        <c:crossBetween val="between"/>
        <c:majorUnit val="2.0000000000000011E-2"/>
        <c:minorUnit val="5.0000000000000114E-3"/>
      </c:valAx>
      <c:spPr>
        <a:noFill/>
        <a:ln w="25400">
          <a:solidFill>
            <a:sysClr val="windowText" lastClr="000000"/>
          </a:solidFill>
        </a:ln>
      </c:spPr>
    </c:plotArea>
    <c:legend>
      <c:legendPos val="b"/>
      <c:legendEntry>
        <c:idx val="0"/>
        <c:txPr>
          <a:bodyPr/>
          <a:lstStyle/>
          <a:p>
            <a:pPr>
              <a:defRPr sz="900" b="1" i="0" baseline="0"/>
            </a:pPr>
            <a:endParaRPr lang="ro-RO"/>
          </a:p>
        </c:txPr>
      </c:legendEntry>
      <c:legendEntry>
        <c:idx val="1"/>
        <c:txPr>
          <a:bodyPr/>
          <a:lstStyle/>
          <a:p>
            <a:pPr>
              <a:defRPr sz="900" b="1" i="0" baseline="0"/>
            </a:pPr>
            <a:endParaRPr lang="ro-RO"/>
          </a:p>
        </c:txPr>
      </c:legendEntry>
    </c:legend>
    <c:plotVisOnly val="1"/>
  </c:chart>
  <c:spPr>
    <a:noFill/>
  </c:spPr>
  <c:txPr>
    <a:bodyPr/>
    <a:lstStyle/>
    <a:p>
      <a:pPr>
        <a:defRPr sz="1000">
          <a:latin typeface="Arial" pitchFamily="34" charset="0"/>
          <a:cs typeface="Arial" pitchFamily="34" charset="0"/>
        </a:defRPr>
      </a:pPr>
      <a:endParaRPr lang="ro-RO"/>
    </a:p>
  </c:txPr>
  <c:externalData r:id="rId1"/>
</c:chartSpace>
</file>

<file path=word/charts/chart121.xml><?xml version="1.0" encoding="utf-8"?>
<c:chartSpace xmlns:c="http://schemas.openxmlformats.org/drawingml/2006/chart" xmlns:a="http://schemas.openxmlformats.org/drawingml/2006/main" xmlns:r="http://schemas.openxmlformats.org/officeDocument/2006/relationships">
  <c:date1904 val="1"/>
  <c:lang val="ro-RO"/>
  <c:chart>
    <c:view3D>
      <c:rAngAx val="1"/>
    </c:view3D>
    <c:plotArea>
      <c:layout/>
      <c:bar3DChart>
        <c:barDir val="col"/>
        <c:grouping val="clustered"/>
        <c:ser>
          <c:idx val="0"/>
          <c:order val="0"/>
          <c:tx>
            <c:strRef>
              <c:f>Sheet1!$B$1</c:f>
              <c:strCache>
                <c:ptCount val="1"/>
                <c:pt idx="0">
                  <c:v>Total populație stabilă/Total gospodării din care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2.73</c:v>
                </c:pt>
                <c:pt idx="1">
                  <c:v>2.7</c:v>
                </c:pt>
                <c:pt idx="2">
                  <c:v>2.67</c:v>
                </c:pt>
                <c:pt idx="3">
                  <c:v>2.65</c:v>
                </c:pt>
                <c:pt idx="4">
                  <c:v>2.62</c:v>
                </c:pt>
              </c:numCache>
            </c:numRef>
          </c:val>
        </c:ser>
        <c:ser>
          <c:idx val="1"/>
          <c:order val="1"/>
          <c:tx>
            <c:strRef>
              <c:f>Sheet1!$C$1</c:f>
              <c:strCache>
                <c:ptCount val="1"/>
                <c:pt idx="0">
                  <c:v>Total populație stabilă/Total gospodării Urban</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2.82</c:v>
                </c:pt>
                <c:pt idx="1">
                  <c:v>2.7800000000000002</c:v>
                </c:pt>
                <c:pt idx="2">
                  <c:v>2.7600000000000002</c:v>
                </c:pt>
                <c:pt idx="3">
                  <c:v>2.73</c:v>
                </c:pt>
                <c:pt idx="4">
                  <c:v>2.7</c:v>
                </c:pt>
              </c:numCache>
            </c:numRef>
          </c:val>
        </c:ser>
        <c:ser>
          <c:idx val="2"/>
          <c:order val="2"/>
          <c:tx>
            <c:strRef>
              <c:f>Sheet1!$D$1</c:f>
              <c:strCache>
                <c:ptCount val="1"/>
                <c:pt idx="0">
                  <c:v>Total populație stabilă/Total gospodării Rural</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2.59</c:v>
                </c:pt>
                <c:pt idx="1">
                  <c:v>2.5499999999999998</c:v>
                </c:pt>
                <c:pt idx="2">
                  <c:v>2.5299999999999998</c:v>
                </c:pt>
                <c:pt idx="3">
                  <c:v>2.5</c:v>
                </c:pt>
                <c:pt idx="4">
                  <c:v>2.48</c:v>
                </c:pt>
              </c:numCache>
            </c:numRef>
          </c:val>
        </c:ser>
        <c:shape val="box"/>
        <c:axId val="172029056"/>
        <c:axId val="172030592"/>
        <c:axId val="0"/>
      </c:bar3DChart>
      <c:catAx>
        <c:axId val="172029056"/>
        <c:scaling>
          <c:orientation val="minMax"/>
        </c:scaling>
        <c:axPos val="b"/>
        <c:numFmt formatCode="General" sourceLinked="1"/>
        <c:tickLblPos val="nextTo"/>
        <c:crossAx val="172030592"/>
        <c:crosses val="autoZero"/>
        <c:auto val="1"/>
        <c:lblAlgn val="ctr"/>
        <c:lblOffset val="100"/>
      </c:catAx>
      <c:valAx>
        <c:axId val="172030592"/>
        <c:scaling>
          <c:orientation val="minMax"/>
        </c:scaling>
        <c:axPos val="l"/>
        <c:majorGridlines/>
        <c:numFmt formatCode="General" sourceLinked="1"/>
        <c:tickLblPos val="nextTo"/>
        <c:crossAx val="172029056"/>
        <c:crosses val="autoZero"/>
        <c:crossBetween val="between"/>
      </c:valAx>
    </c:plotArea>
    <c:legend>
      <c:legendPos val="r"/>
    </c:legend>
    <c:plotVisOnly val="1"/>
  </c:chart>
  <c:spPr>
    <a:solidFill>
      <a:srgbClr val="FFC000"/>
    </a:solidFill>
  </c:spPr>
  <c:externalData r:id="rId1"/>
</c:chartSpace>
</file>

<file path=word/charts/chart122.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stacked"/>
        <c:ser>
          <c:idx val="0"/>
          <c:order val="0"/>
          <c:tx>
            <c:strRef>
              <c:f>Sheet1!$B$1</c:f>
              <c:strCache>
                <c:ptCount val="1"/>
                <c:pt idx="0">
                  <c:v>Autobuze si microbuze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195</c:v>
                </c:pt>
                <c:pt idx="1">
                  <c:v>200</c:v>
                </c:pt>
                <c:pt idx="2">
                  <c:v>157</c:v>
                </c:pt>
                <c:pt idx="3">
                  <c:v>164</c:v>
                </c:pt>
                <c:pt idx="4">
                  <c:v>178</c:v>
                </c:pt>
              </c:numCache>
            </c:numRef>
          </c:val>
        </c:ser>
        <c:ser>
          <c:idx val="1"/>
          <c:order val="1"/>
          <c:tx>
            <c:strRef>
              <c:f>Sheet1!$C$1</c:f>
              <c:strCache>
                <c:ptCount val="1"/>
                <c:pt idx="0">
                  <c:v>Tramvaie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49</c:v>
                </c:pt>
                <c:pt idx="1">
                  <c:v>49</c:v>
                </c:pt>
                <c:pt idx="2">
                  <c:v>37</c:v>
                </c:pt>
                <c:pt idx="3">
                  <c:v>31</c:v>
                </c:pt>
                <c:pt idx="4">
                  <c:v>31</c:v>
                </c:pt>
              </c:numCache>
            </c:numRef>
          </c:val>
        </c:ser>
        <c:overlap val="100"/>
        <c:axId val="173345408"/>
        <c:axId val="173355392"/>
      </c:barChart>
      <c:catAx>
        <c:axId val="173345408"/>
        <c:scaling>
          <c:orientation val="minMax"/>
        </c:scaling>
        <c:axPos val="b"/>
        <c:numFmt formatCode="General" sourceLinked="1"/>
        <c:tickLblPos val="nextTo"/>
        <c:crossAx val="173355392"/>
        <c:crosses val="autoZero"/>
        <c:auto val="1"/>
        <c:lblAlgn val="ctr"/>
        <c:lblOffset val="100"/>
      </c:catAx>
      <c:valAx>
        <c:axId val="173355392"/>
        <c:scaling>
          <c:orientation val="minMax"/>
        </c:scaling>
        <c:axPos val="l"/>
        <c:majorGridlines/>
        <c:numFmt formatCode="General" sourceLinked="1"/>
        <c:tickLblPos val="nextTo"/>
        <c:crossAx val="173345408"/>
        <c:crosses val="autoZero"/>
        <c:crossBetween val="between"/>
      </c:valAx>
    </c:plotArea>
    <c:legend>
      <c:legendPos val="r"/>
    </c:legend>
    <c:plotVisOnly val="1"/>
  </c:chart>
  <c:spPr>
    <a:solidFill>
      <a:srgbClr val="FFC000"/>
    </a:solidFill>
  </c:spPr>
  <c:externalData r:id="rId1"/>
</c:chartSpace>
</file>

<file path=word/charts/chart12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 XI.1.3.1. - 2 Numărul pasagerilor transportaţi în transportul public local, pe tipuri de vehicule - mii pasageri</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endParaRPr lang="ro-RO" sz="1200" b="0">
              <a:latin typeface="Arial" pitchFamily="34" charset="0"/>
              <a:cs typeface="Arial" pitchFamily="34" charset="0"/>
            </a:endParaRPr>
          </a:p>
        </c:rich>
      </c:tx>
    </c:title>
    <c:plotArea>
      <c:layout/>
      <c:barChart>
        <c:barDir val="col"/>
        <c:grouping val="clustered"/>
        <c:ser>
          <c:idx val="0"/>
          <c:order val="0"/>
          <c:tx>
            <c:strRef>
              <c:f>Sheet1!$B$1</c:f>
              <c:strCache>
                <c:ptCount val="1"/>
                <c:pt idx="0">
                  <c:v>Tramvaie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14378</c:v>
                </c:pt>
                <c:pt idx="1">
                  <c:v>7000</c:v>
                </c:pt>
                <c:pt idx="2">
                  <c:v>1807</c:v>
                </c:pt>
                <c:pt idx="3">
                  <c:v>4898</c:v>
                </c:pt>
                <c:pt idx="4">
                  <c:v>6082</c:v>
                </c:pt>
              </c:numCache>
            </c:numRef>
          </c:val>
        </c:ser>
        <c:ser>
          <c:idx val="1"/>
          <c:order val="1"/>
          <c:tx>
            <c:strRef>
              <c:f>Sheet1!$C$1</c:f>
              <c:strCache>
                <c:ptCount val="1"/>
                <c:pt idx="0">
                  <c:v>Autobuze si microbuze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30072.6</c:v>
                </c:pt>
                <c:pt idx="1">
                  <c:v>32458.3</c:v>
                </c:pt>
                <c:pt idx="2">
                  <c:v>29791.9</c:v>
                </c:pt>
                <c:pt idx="3">
                  <c:v>27369.8</c:v>
                </c:pt>
                <c:pt idx="4">
                  <c:v>27069.5</c:v>
                </c:pt>
              </c:numCache>
            </c:numRef>
          </c:val>
        </c:ser>
        <c:axId val="174731648"/>
        <c:axId val="174733184"/>
      </c:barChart>
      <c:catAx>
        <c:axId val="174731648"/>
        <c:scaling>
          <c:orientation val="minMax"/>
        </c:scaling>
        <c:axPos val="b"/>
        <c:numFmt formatCode="General" sourceLinked="1"/>
        <c:tickLblPos val="nextTo"/>
        <c:crossAx val="174733184"/>
        <c:crosses val="autoZero"/>
        <c:auto val="1"/>
        <c:lblAlgn val="ctr"/>
        <c:lblOffset val="100"/>
      </c:catAx>
      <c:valAx>
        <c:axId val="174733184"/>
        <c:scaling>
          <c:orientation val="minMax"/>
        </c:scaling>
        <c:axPos val="l"/>
        <c:majorGridlines/>
        <c:numFmt formatCode="General" sourceLinked="1"/>
        <c:tickLblPos val="nextTo"/>
        <c:crossAx val="174731648"/>
        <c:crosses val="autoZero"/>
        <c:crossBetween val="between"/>
      </c:valAx>
      <c:spPr>
        <a:ln>
          <a:solidFill>
            <a:schemeClr val="accent1"/>
          </a:solidFill>
        </a:ln>
      </c:spPr>
    </c:plotArea>
    <c:legend>
      <c:legendPos val="r"/>
    </c:legend>
    <c:plotVisOnly val="1"/>
    <c:dispBlanksAs val="gap"/>
  </c:chart>
  <c:spPr>
    <a:solidFill>
      <a:srgbClr val="FFFF00"/>
    </a:solidFill>
  </c:spPr>
  <c:externalData r:id="rId2"/>
</c:chartSpace>
</file>

<file path=word/charts/chart12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 XI.1.3.1. - 3 Numărul pasagerilor transportaţi în transportul public local, pe tipuri de vehicule </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 mii pasageri - km</a:t>
            </a:r>
          </a:p>
          <a:p>
            <a:pPr marL="0" marR="0" indent="0" algn="ctr" defTabSz="914400" rtl="0" eaLnBrk="1" fontAlgn="auto" latinLnBrk="0" hangingPunct="1">
              <a:lnSpc>
                <a:spcPct val="100000"/>
              </a:lnSpc>
              <a:spcBef>
                <a:spcPts val="0"/>
              </a:spcBef>
              <a:spcAft>
                <a:spcPts val="0"/>
              </a:spcAft>
              <a:buClrTx/>
              <a:buSzTx/>
              <a:buFontTx/>
              <a:buNone/>
              <a:tabLst/>
              <a:defRPr sz="1800" b="0" i="0" u="none" strike="noStrike" kern="1200" baseline="0">
                <a:solidFill>
                  <a:sysClr val="windowText" lastClr="000000"/>
                </a:solidFill>
                <a:latin typeface="+mn-lt"/>
                <a:ea typeface="+mn-ea"/>
                <a:cs typeface="+mn-cs"/>
              </a:defRPr>
            </a:pPr>
            <a:endParaRPr lang="ro-RO" sz="1200" b="0">
              <a:latin typeface="Arial" pitchFamily="34" charset="0"/>
              <a:cs typeface="Arial" pitchFamily="34" charset="0"/>
            </a:endParaRPr>
          </a:p>
        </c:rich>
      </c:tx>
    </c:title>
    <c:plotArea>
      <c:layout/>
      <c:barChart>
        <c:barDir val="col"/>
        <c:grouping val="clustered"/>
        <c:ser>
          <c:idx val="0"/>
          <c:order val="0"/>
          <c:tx>
            <c:strRef>
              <c:f>Sheet1!$B$1</c:f>
              <c:strCache>
                <c:ptCount val="1"/>
                <c:pt idx="0">
                  <c:v>Tramvaie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64703</c:v>
                </c:pt>
                <c:pt idx="1">
                  <c:v>28501</c:v>
                </c:pt>
                <c:pt idx="2">
                  <c:v>3975</c:v>
                </c:pt>
                <c:pt idx="3">
                  <c:v>10775</c:v>
                </c:pt>
                <c:pt idx="4">
                  <c:v>13379</c:v>
                </c:pt>
              </c:numCache>
            </c:numRef>
          </c:val>
        </c:ser>
        <c:ser>
          <c:idx val="1"/>
          <c:order val="1"/>
          <c:tx>
            <c:strRef>
              <c:f>Sheet1!$C$1</c:f>
              <c:strCache>
                <c:ptCount val="1"/>
                <c:pt idx="0">
                  <c:v>Autobuze si microbuze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150497.60000000001</c:v>
                </c:pt>
                <c:pt idx="1">
                  <c:v>160422</c:v>
                </c:pt>
                <c:pt idx="2">
                  <c:v>144459.70000000001</c:v>
                </c:pt>
                <c:pt idx="3">
                  <c:v>131755.20000000001</c:v>
                </c:pt>
                <c:pt idx="4">
                  <c:v>131151</c:v>
                </c:pt>
              </c:numCache>
            </c:numRef>
          </c:val>
        </c:ser>
        <c:axId val="174770432"/>
        <c:axId val="174772224"/>
      </c:barChart>
      <c:catAx>
        <c:axId val="174770432"/>
        <c:scaling>
          <c:orientation val="minMax"/>
        </c:scaling>
        <c:axPos val="b"/>
        <c:numFmt formatCode="General" sourceLinked="1"/>
        <c:tickLblPos val="nextTo"/>
        <c:crossAx val="174772224"/>
        <c:crosses val="autoZero"/>
        <c:auto val="1"/>
        <c:lblAlgn val="ctr"/>
        <c:lblOffset val="100"/>
      </c:catAx>
      <c:valAx>
        <c:axId val="174772224"/>
        <c:scaling>
          <c:orientation val="minMax"/>
        </c:scaling>
        <c:axPos val="l"/>
        <c:majorGridlines/>
        <c:numFmt formatCode="General" sourceLinked="1"/>
        <c:tickLblPos val="nextTo"/>
        <c:crossAx val="174770432"/>
        <c:crosses val="autoZero"/>
        <c:crossBetween val="between"/>
      </c:valAx>
    </c:plotArea>
    <c:legend>
      <c:legendPos val="r"/>
    </c:legend>
    <c:plotVisOnly val="1"/>
  </c:chart>
  <c:spPr>
    <a:solidFill>
      <a:srgbClr val="FFFF00"/>
    </a:solidFill>
  </c:spPr>
  <c:externalData r:id="rId1"/>
</c:chartSpace>
</file>

<file path=word/charts/chart125.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200" b="1" i="0" u="none" strike="noStrike" kern="1200" baseline="0">
                <a:solidFill>
                  <a:sysClr val="windowText" lastClr="000000"/>
                </a:solidFill>
                <a:latin typeface="Arial" pitchFamily="34" charset="0"/>
                <a:ea typeface="+mn-ea"/>
                <a:cs typeface="+mn-cs"/>
              </a:defRPr>
            </a:pPr>
            <a:r>
              <a:rPr lang="ro-RO" sz="1100" b="1"/>
              <a:t>Fig. nr.XI.3-1 </a:t>
            </a:r>
            <a:r>
              <a:rPr lang="ro-RO" sz="1200" baseline="0">
                <a:latin typeface="Arial" pitchFamily="34" charset="0"/>
              </a:rPr>
              <a:t>Emisii de GES în sectorul rezidențial și comercial</a:t>
            </a:r>
          </a:p>
        </c:rich>
      </c:tx>
    </c:title>
    <c:view3D>
      <c:perspective val="30"/>
    </c:view3D>
    <c:plotArea>
      <c:layout/>
      <c:bar3DChart>
        <c:barDir val="col"/>
        <c:grouping val="standard"/>
        <c:ser>
          <c:idx val="0"/>
          <c:order val="0"/>
          <c:tx>
            <c:strRef>
              <c:f>Sheet1!$B$1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74.919152180330627</c:v>
                </c:pt>
                <c:pt idx="1">
                  <c:v>165.72735272124365</c:v>
                </c:pt>
                <c:pt idx="2">
                  <c:v>76.714314883139977</c:v>
                </c:pt>
                <c:pt idx="3">
                  <c:v>46.774493148420063</c:v>
                </c:pt>
                <c:pt idx="4">
                  <c:v>24.75</c:v>
                </c:pt>
              </c:numCache>
            </c:numRef>
          </c:val>
        </c:ser>
        <c:shape val="cone"/>
        <c:axId val="173613056"/>
        <c:axId val="173614592"/>
        <c:axId val="173606208"/>
      </c:bar3DChart>
      <c:catAx>
        <c:axId val="173613056"/>
        <c:scaling>
          <c:orientation val="minMax"/>
        </c:scaling>
        <c:axPos val="b"/>
        <c:numFmt formatCode="General" sourceLinked="1"/>
        <c:majorTickMark val="none"/>
        <c:tickLblPos val="nextTo"/>
        <c:crossAx val="173614592"/>
        <c:crossesAt val="0"/>
        <c:auto val="1"/>
        <c:lblAlgn val="ctr"/>
        <c:lblOffset val="100"/>
      </c:catAx>
      <c:valAx>
        <c:axId val="173614592"/>
        <c:scaling>
          <c:orientation val="minMax"/>
          <c:min val="0"/>
        </c:scaling>
        <c:axPos val="l"/>
        <c:majorGridlines/>
        <c:minorGridlines>
          <c:spPr>
            <a:ln>
              <a:solidFill>
                <a:sysClr val="window" lastClr="FFFFFF"/>
              </a:solidFill>
            </a:ln>
          </c:spPr>
        </c:minorGridlines>
        <c:title>
          <c:tx>
            <c:rich>
              <a:bodyPr rot="-5400000" vert="horz"/>
              <a:lstStyle/>
              <a:p>
                <a:pPr>
                  <a:defRPr/>
                </a:pPr>
                <a:r>
                  <a:rPr lang="ro-RO"/>
                  <a:t>mii</a:t>
                </a:r>
                <a:r>
                  <a:rPr lang="ro-RO" baseline="0"/>
                  <a:t> tone CO</a:t>
                </a:r>
                <a:r>
                  <a:rPr lang="ro-RO" baseline="-25000"/>
                  <a:t>2 </a:t>
                </a:r>
                <a:r>
                  <a:rPr lang="ro-RO" baseline="0"/>
                  <a:t>eq</a:t>
                </a:r>
              </a:p>
            </c:rich>
          </c:tx>
        </c:title>
        <c:numFmt formatCode="General" sourceLinked="1"/>
        <c:majorTickMark val="none"/>
        <c:tickLblPos val="nextTo"/>
        <c:crossAx val="173613056"/>
        <c:crosses val="autoZero"/>
        <c:crossBetween val="between"/>
      </c:valAx>
      <c:serAx>
        <c:axId val="173606208"/>
        <c:scaling>
          <c:orientation val="minMax"/>
        </c:scaling>
        <c:delete val="1"/>
        <c:axPos val="b"/>
        <c:tickLblPos val="none"/>
        <c:crossAx val="173614592"/>
        <c:crossesAt val="0"/>
      </c:serAx>
    </c:plotArea>
    <c:plotVisOnly val="1"/>
  </c:chart>
  <c:spPr>
    <a:solidFill>
      <a:srgbClr val="FFFF00"/>
    </a:solidFill>
  </c:spPr>
  <c:externalData r:id="rId1"/>
</c:chartSpace>
</file>

<file path=word/charts/chart13.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4.3545797651206024E-2"/>
          <c:y val="4.7855983650898819E-2"/>
          <c:w val="0.92531065003735846"/>
          <c:h val="0.81264050009016064"/>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cat>
            <c:strRef>
              <c:f>Sheet1!$B$1:$F$1</c:f>
              <c:strCache>
                <c:ptCount val="5"/>
                <c:pt idx="0">
                  <c:v>Medie an 2010</c:v>
                </c:pt>
                <c:pt idx="1">
                  <c:v>Medie an 2011</c:v>
                </c:pt>
                <c:pt idx="2">
                  <c:v>Medie an 2012</c:v>
                </c:pt>
                <c:pt idx="3">
                  <c:v>Media an 2013</c:v>
                </c:pt>
                <c:pt idx="4">
                  <c:v>Media an 2014</c:v>
                </c:pt>
              </c:strCache>
            </c:strRef>
          </c:cat>
          <c:val>
            <c:numRef>
              <c:f>Sheet1!$B$2:$F$2</c:f>
              <c:numCache>
                <c:formatCode>General</c:formatCode>
                <c:ptCount val="5"/>
                <c:pt idx="0">
                  <c:v>6.8</c:v>
                </c:pt>
                <c:pt idx="1">
                  <c:v>4.84</c:v>
                </c:pt>
                <c:pt idx="2">
                  <c:v>5.2700000000000014</c:v>
                </c:pt>
                <c:pt idx="3">
                  <c:v>5.64</c:v>
                </c:pt>
                <c:pt idx="4">
                  <c:v>4.24</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cat>
            <c:strRef>
              <c:f>Sheet1!$B$1:$F$1</c:f>
              <c:strCache>
                <c:ptCount val="5"/>
                <c:pt idx="0">
                  <c:v>Medie an 2010</c:v>
                </c:pt>
                <c:pt idx="1">
                  <c:v>Medie an 2011</c:v>
                </c:pt>
                <c:pt idx="2">
                  <c:v>Medie an 2012</c:v>
                </c:pt>
                <c:pt idx="3">
                  <c:v>Media an 2013</c:v>
                </c:pt>
                <c:pt idx="4">
                  <c:v>Media an 2014</c:v>
                </c:pt>
              </c:strCache>
            </c:strRef>
          </c:cat>
          <c:val>
            <c:numRef>
              <c:f>Sheet1!$B$3:$F$3</c:f>
              <c:numCache>
                <c:formatCode>General</c:formatCode>
                <c:ptCount val="5"/>
                <c:pt idx="0">
                  <c:v>5.3199999999999985</c:v>
                </c:pt>
                <c:pt idx="1">
                  <c:v>6.59</c:v>
                </c:pt>
                <c:pt idx="2">
                  <c:v>7.01</c:v>
                </c:pt>
                <c:pt idx="3">
                  <c:v>7.75</c:v>
                </c:pt>
                <c:pt idx="4">
                  <c:v>6.23</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cat>
            <c:strRef>
              <c:f>Sheet1!$B$1:$F$1</c:f>
              <c:strCache>
                <c:ptCount val="5"/>
                <c:pt idx="0">
                  <c:v>Medie an 2010</c:v>
                </c:pt>
                <c:pt idx="1">
                  <c:v>Medie an 2011</c:v>
                </c:pt>
                <c:pt idx="2">
                  <c:v>Medie an 2012</c:v>
                </c:pt>
                <c:pt idx="3">
                  <c:v>Media an 2013</c:v>
                </c:pt>
                <c:pt idx="4">
                  <c:v>Media an 2014</c:v>
                </c:pt>
              </c:strCache>
            </c:strRef>
          </c:cat>
          <c:val>
            <c:numRef>
              <c:f>Sheet1!$B$4:$F$4</c:f>
              <c:numCache>
                <c:formatCode>General</c:formatCode>
                <c:ptCount val="5"/>
                <c:pt idx="0">
                  <c:v>9.94</c:v>
                </c:pt>
                <c:pt idx="1">
                  <c:v>13.15</c:v>
                </c:pt>
                <c:pt idx="2">
                  <c:v>15.25</c:v>
                </c:pt>
                <c:pt idx="3">
                  <c:v>16.89</c:v>
                </c:pt>
                <c:pt idx="4">
                  <c:v>16.39</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cat>
            <c:strRef>
              <c:f>Sheet1!$B$1:$F$1</c:f>
              <c:strCache>
                <c:ptCount val="5"/>
                <c:pt idx="0">
                  <c:v>Medie an 2010</c:v>
                </c:pt>
                <c:pt idx="1">
                  <c:v>Medie an 2011</c:v>
                </c:pt>
                <c:pt idx="2">
                  <c:v>Medie an 2012</c:v>
                </c:pt>
                <c:pt idx="3">
                  <c:v>Media an 2013</c:v>
                </c:pt>
                <c:pt idx="4">
                  <c:v>Media an 2014</c:v>
                </c:pt>
              </c:strCache>
            </c:strRef>
          </c:cat>
          <c:val>
            <c:numRef>
              <c:f>Sheet1!$B$5:$F$5</c:f>
              <c:numCache>
                <c:formatCode>General</c:formatCode>
                <c:ptCount val="5"/>
                <c:pt idx="0">
                  <c:v>8.82</c:v>
                </c:pt>
                <c:pt idx="1">
                  <c:v>9.67</c:v>
                </c:pt>
                <c:pt idx="2">
                  <c:v>13.91</c:v>
                </c:pt>
                <c:pt idx="3">
                  <c:v>8.56</c:v>
                </c:pt>
                <c:pt idx="4">
                  <c:v>6.6099999999999985</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cat>
            <c:strRef>
              <c:f>Sheet1!$B$1:$F$1</c:f>
              <c:strCache>
                <c:ptCount val="5"/>
                <c:pt idx="0">
                  <c:v>Medie an 2010</c:v>
                </c:pt>
                <c:pt idx="1">
                  <c:v>Medie an 2011</c:v>
                </c:pt>
                <c:pt idx="2">
                  <c:v>Medie an 2012</c:v>
                </c:pt>
                <c:pt idx="3">
                  <c:v>Media an 2013</c:v>
                </c:pt>
                <c:pt idx="4">
                  <c:v>Media an 2014</c:v>
                </c:pt>
              </c:strCache>
            </c:strRef>
          </c:cat>
          <c:val>
            <c:numRef>
              <c:f>Sheet1!$B$6:$F$6</c:f>
              <c:numCache>
                <c:formatCode>General</c:formatCode>
                <c:ptCount val="5"/>
                <c:pt idx="0">
                  <c:v>4.9700000000000024</c:v>
                </c:pt>
                <c:pt idx="1">
                  <c:v>4.09</c:v>
                </c:pt>
                <c:pt idx="2">
                  <c:v>5.34</c:v>
                </c:pt>
                <c:pt idx="3">
                  <c:v>6.52</c:v>
                </c:pt>
                <c:pt idx="4">
                  <c:v>5.88</c:v>
                </c:pt>
              </c:numCache>
            </c:numRef>
          </c:val>
        </c:ser>
        <c:ser>
          <c:idx val="6"/>
          <c:order val="5"/>
          <c:tx>
            <c:strRef>
              <c:f>Sheet1!$A$7</c:f>
              <c:strCache>
                <c:ptCount val="1"/>
                <c:pt idx="0">
                  <c:v>SC Hercules</c:v>
                </c:pt>
              </c:strCache>
            </c:strRef>
          </c:tx>
          <c:spPr>
            <a:solidFill>
              <a:srgbClr val="0066CC"/>
            </a:solidFill>
            <a:ln w="9290">
              <a:solidFill>
                <a:srgbClr val="000000"/>
              </a:solidFill>
              <a:prstDash val="solid"/>
            </a:ln>
          </c:spPr>
          <c:cat>
            <c:strRef>
              <c:f>Sheet1!$B$1:$F$1</c:f>
              <c:strCache>
                <c:ptCount val="5"/>
                <c:pt idx="0">
                  <c:v>Medie an 2010</c:v>
                </c:pt>
                <c:pt idx="1">
                  <c:v>Medie an 2011</c:v>
                </c:pt>
                <c:pt idx="2">
                  <c:v>Medie an 2012</c:v>
                </c:pt>
                <c:pt idx="3">
                  <c:v>Media an 2013</c:v>
                </c:pt>
                <c:pt idx="4">
                  <c:v>Media an 2014</c:v>
                </c:pt>
              </c:strCache>
            </c:strRef>
          </c:cat>
          <c:val>
            <c:numRef>
              <c:f>Sheet1!$B$7:$F$7</c:f>
              <c:numCache>
                <c:formatCode>General</c:formatCode>
                <c:ptCount val="5"/>
                <c:pt idx="0">
                  <c:v>8.1300000000000008</c:v>
                </c:pt>
                <c:pt idx="1">
                  <c:v>12.6</c:v>
                </c:pt>
                <c:pt idx="2">
                  <c:v>8.25</c:v>
                </c:pt>
                <c:pt idx="3">
                  <c:v>10.16</c:v>
                </c:pt>
                <c:pt idx="4">
                  <c:v>8.56</c:v>
                </c:pt>
              </c:numCache>
            </c:numRef>
          </c:val>
        </c:ser>
        <c:ser>
          <c:idx val="0"/>
          <c:order val="6"/>
          <c:tx>
            <c:strRef>
              <c:f>Sheet1!$A$8</c:f>
              <c:strCache>
                <c:ptCount val="1"/>
                <c:pt idx="0">
                  <c:v>Termoelectrica Chiscani</c:v>
                </c:pt>
              </c:strCache>
            </c:strRef>
          </c:tx>
          <c:cat>
            <c:strRef>
              <c:f>Sheet1!$B$1:$F$1</c:f>
              <c:strCache>
                <c:ptCount val="5"/>
                <c:pt idx="0">
                  <c:v>Medie an 2010</c:v>
                </c:pt>
                <c:pt idx="1">
                  <c:v>Medie an 2011</c:v>
                </c:pt>
                <c:pt idx="2">
                  <c:v>Medie an 2012</c:v>
                </c:pt>
                <c:pt idx="3">
                  <c:v>Media an 2013</c:v>
                </c:pt>
                <c:pt idx="4">
                  <c:v>Media an 2014</c:v>
                </c:pt>
              </c:strCache>
            </c:strRef>
          </c:cat>
          <c:val>
            <c:numRef>
              <c:f>Sheet1!$B$8:$F$8</c:f>
              <c:numCache>
                <c:formatCode>General</c:formatCode>
                <c:ptCount val="5"/>
                <c:pt idx="0">
                  <c:v>4.18</c:v>
                </c:pt>
                <c:pt idx="1">
                  <c:v>5.51</c:v>
                </c:pt>
                <c:pt idx="2">
                  <c:v>5.78</c:v>
                </c:pt>
                <c:pt idx="3">
                  <c:v>5.8599999999999985</c:v>
                </c:pt>
                <c:pt idx="4">
                  <c:v>5.88</c:v>
                </c:pt>
              </c:numCache>
            </c:numRef>
          </c:val>
        </c:ser>
        <c:ser>
          <c:idx val="7"/>
          <c:order val="7"/>
          <c:tx>
            <c:strRef>
              <c:f>Sheet1!$A$9</c:f>
              <c:strCache>
                <c:ptCount val="1"/>
                <c:pt idx="0">
                  <c:v>Str.Galați</c:v>
                </c:pt>
              </c:strCache>
            </c:strRef>
          </c:tx>
          <c:cat>
            <c:strRef>
              <c:f>Sheet1!$B$1:$F$1</c:f>
              <c:strCache>
                <c:ptCount val="5"/>
                <c:pt idx="0">
                  <c:v>Medie an 2010</c:v>
                </c:pt>
                <c:pt idx="1">
                  <c:v>Medie an 2011</c:v>
                </c:pt>
                <c:pt idx="2">
                  <c:v>Medie an 2012</c:v>
                </c:pt>
                <c:pt idx="3">
                  <c:v>Media an 2013</c:v>
                </c:pt>
                <c:pt idx="4">
                  <c:v>Media an 2014</c:v>
                </c:pt>
              </c:strCache>
            </c:strRef>
          </c:cat>
          <c:val>
            <c:numRef>
              <c:f>Sheet1!$B$9:$F$9</c:f>
              <c:numCache>
                <c:formatCode>General</c:formatCode>
                <c:ptCount val="5"/>
                <c:pt idx="0">
                  <c:v>0</c:v>
                </c:pt>
                <c:pt idx="1">
                  <c:v>0</c:v>
                </c:pt>
                <c:pt idx="2">
                  <c:v>11.12</c:v>
                </c:pt>
                <c:pt idx="3">
                  <c:v>11.78</c:v>
                </c:pt>
                <c:pt idx="4">
                  <c:v>7.68</c:v>
                </c:pt>
              </c:numCache>
            </c:numRef>
          </c:val>
        </c:ser>
        <c:ser>
          <c:idx val="8"/>
          <c:order val="8"/>
          <c:tx>
            <c:strRef>
              <c:f>Sheet1!$A$10</c:f>
              <c:strCache>
                <c:ptCount val="1"/>
                <c:pt idx="0">
                  <c:v>Cazasu</c:v>
                </c:pt>
              </c:strCache>
            </c:strRef>
          </c:tx>
          <c:cat>
            <c:strRef>
              <c:f>Sheet1!$B$1:$F$1</c:f>
              <c:strCache>
                <c:ptCount val="5"/>
                <c:pt idx="0">
                  <c:v>Medie an 2010</c:v>
                </c:pt>
                <c:pt idx="1">
                  <c:v>Medie an 2011</c:v>
                </c:pt>
                <c:pt idx="2">
                  <c:v>Medie an 2012</c:v>
                </c:pt>
                <c:pt idx="3">
                  <c:v>Media an 2013</c:v>
                </c:pt>
                <c:pt idx="4">
                  <c:v>Media an 2014</c:v>
                </c:pt>
              </c:strCache>
            </c:strRef>
          </c:cat>
          <c:val>
            <c:numRef>
              <c:f>Sheet1!$B$10:$F$10</c:f>
              <c:numCache>
                <c:formatCode>General</c:formatCode>
                <c:ptCount val="5"/>
                <c:pt idx="0">
                  <c:v>0</c:v>
                </c:pt>
                <c:pt idx="1">
                  <c:v>0</c:v>
                </c:pt>
                <c:pt idx="2">
                  <c:v>4.57</c:v>
                </c:pt>
                <c:pt idx="3">
                  <c:v>4.3</c:v>
                </c:pt>
                <c:pt idx="4">
                  <c:v>4.07</c:v>
                </c:pt>
              </c:numCache>
            </c:numRef>
          </c:val>
        </c:ser>
        <c:ser>
          <c:idx val="9"/>
          <c:order val="9"/>
          <c:tx>
            <c:strRef>
              <c:f>Sheet1!$A$11</c:f>
              <c:strCache>
                <c:ptCount val="1"/>
                <c:pt idx="0">
                  <c:v>Primaria Brăila</c:v>
                </c:pt>
              </c:strCache>
            </c:strRef>
          </c:tx>
          <c:cat>
            <c:strRef>
              <c:f>Sheet1!$B$1:$F$1</c:f>
              <c:strCache>
                <c:ptCount val="5"/>
                <c:pt idx="0">
                  <c:v>Medie an 2010</c:v>
                </c:pt>
                <c:pt idx="1">
                  <c:v>Medie an 2011</c:v>
                </c:pt>
                <c:pt idx="2">
                  <c:v>Medie an 2012</c:v>
                </c:pt>
                <c:pt idx="3">
                  <c:v>Media an 2013</c:v>
                </c:pt>
                <c:pt idx="4">
                  <c:v>Media an 2014</c:v>
                </c:pt>
              </c:strCache>
            </c:strRef>
          </c:cat>
          <c:val>
            <c:numRef>
              <c:f>Sheet1!$B$11:$F$11</c:f>
              <c:numCache>
                <c:formatCode>General</c:formatCode>
                <c:ptCount val="5"/>
                <c:pt idx="0">
                  <c:v>0</c:v>
                </c:pt>
                <c:pt idx="1">
                  <c:v>0</c:v>
                </c:pt>
                <c:pt idx="2">
                  <c:v>11.94</c:v>
                </c:pt>
                <c:pt idx="3">
                  <c:v>10.9</c:v>
                </c:pt>
                <c:pt idx="4">
                  <c:v>10.07</c:v>
                </c:pt>
              </c:numCache>
            </c:numRef>
          </c:val>
        </c:ser>
        <c:axId val="60731392"/>
        <c:axId val="60732928"/>
      </c:barChart>
      <c:catAx>
        <c:axId val="60731392"/>
        <c:scaling>
          <c:orientation val="minMax"/>
        </c:scaling>
        <c:axPos val="b"/>
        <c:numFmt formatCode="#,##0.00" sourceLinked="0"/>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Arial" pitchFamily="34" charset="0"/>
                <a:ea typeface="Calibri"/>
                <a:cs typeface="Arial" pitchFamily="34" charset="0"/>
              </a:defRPr>
            </a:pPr>
            <a:endParaRPr lang="ro-RO"/>
          </a:p>
        </c:txPr>
        <c:crossAx val="60732928"/>
        <c:crosses val="autoZero"/>
        <c:auto val="1"/>
        <c:lblAlgn val="ctr"/>
        <c:lblOffset val="100"/>
        <c:tickLblSkip val="1"/>
        <c:tickMarkSkip val="1"/>
      </c:catAx>
      <c:valAx>
        <c:axId val="60732928"/>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786" b="1" i="0" u="none" strike="noStrike" baseline="0">
                <a:solidFill>
                  <a:srgbClr val="000000"/>
                </a:solidFill>
                <a:latin typeface="Calibri"/>
                <a:ea typeface="Calibri"/>
                <a:cs typeface="Calibri"/>
              </a:defRPr>
            </a:pPr>
            <a:endParaRPr lang="ro-RO"/>
          </a:p>
        </c:txPr>
        <c:crossAx val="60731392"/>
        <c:crosses val="autoZero"/>
        <c:crossBetween val="between"/>
      </c:valAx>
      <c:spPr>
        <a:solidFill>
          <a:srgbClr val="C0C0C0"/>
        </a:soli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1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baseline="0">
                <a:latin typeface="Arial" pitchFamily="34" charset="0"/>
              </a:defRPr>
            </a:pPr>
            <a:r>
              <a:rPr lang="ro-RO" sz="1200" baseline="0">
                <a:latin typeface="Arial" pitchFamily="34" charset="0"/>
              </a:rPr>
              <a:t>Contribuția sectoarelor de activitate din energie la emisiile de poluanți cu efect de acidifiere </a:t>
            </a:r>
          </a:p>
        </c:rich>
      </c:tx>
    </c:title>
    <c:view3D>
      <c:perspective val="30"/>
    </c:view3D>
    <c:plotArea>
      <c:layout/>
      <c:bar3DChart>
        <c:barDir val="col"/>
        <c:grouping val="clustered"/>
        <c:ser>
          <c:idx val="0"/>
          <c:order val="0"/>
          <c:tx>
            <c:strRef>
              <c:f>Sheet1!$B$1</c:f>
              <c:strCache>
                <c:ptCount val="1"/>
                <c:pt idx="0">
                  <c:v>Nox</c:v>
                </c:pt>
              </c:strCache>
            </c:strRef>
          </c:tx>
          <c:cat>
            <c:strRef>
              <c:f>Sheet1!$A$2:$A$5</c:f>
              <c:strCache>
                <c:ptCount val="4"/>
                <c:pt idx="0">
                  <c:v>Producția de energie electrica și termică</c:v>
                </c:pt>
                <c:pt idx="1">
                  <c:v>Arderi pentru metale </c:v>
                </c:pt>
                <c:pt idx="2">
                  <c:v>Încălzire instituții</c:v>
                </c:pt>
                <c:pt idx="3">
                  <c:v>Alte motoare staționare</c:v>
                </c:pt>
              </c:strCache>
            </c:strRef>
          </c:cat>
          <c:val>
            <c:numRef>
              <c:f>Sheet1!$B$2:$B$5</c:f>
              <c:numCache>
                <c:formatCode>General</c:formatCode>
                <c:ptCount val="4"/>
                <c:pt idx="0">
                  <c:v>0</c:v>
                </c:pt>
                <c:pt idx="1">
                  <c:v>8.0000000000000043E-2</c:v>
                </c:pt>
                <c:pt idx="2">
                  <c:v>15.55</c:v>
                </c:pt>
                <c:pt idx="3">
                  <c:v>0.28000000000000008</c:v>
                </c:pt>
              </c:numCache>
            </c:numRef>
          </c:val>
        </c:ser>
        <c:ser>
          <c:idx val="1"/>
          <c:order val="1"/>
          <c:tx>
            <c:strRef>
              <c:f>Sheet1!$C$1</c:f>
              <c:strCache>
                <c:ptCount val="1"/>
                <c:pt idx="0">
                  <c:v>SO2</c:v>
                </c:pt>
              </c:strCache>
            </c:strRef>
          </c:tx>
          <c:cat>
            <c:strRef>
              <c:f>Sheet1!$A$2:$A$5</c:f>
              <c:strCache>
                <c:ptCount val="4"/>
                <c:pt idx="0">
                  <c:v>Producția de energie electrica și termică</c:v>
                </c:pt>
                <c:pt idx="1">
                  <c:v>Arderi pentru metale </c:v>
                </c:pt>
                <c:pt idx="2">
                  <c:v>Încălzire instituții</c:v>
                </c:pt>
                <c:pt idx="3">
                  <c:v>Alte motoare staționare</c:v>
                </c:pt>
              </c:strCache>
            </c:strRef>
          </c:cat>
          <c:val>
            <c:numRef>
              <c:f>Sheet1!$C$2:$C$5</c:f>
              <c:numCache>
                <c:formatCode>General</c:formatCode>
                <c:ptCount val="4"/>
                <c:pt idx="0">
                  <c:v>0</c:v>
                </c:pt>
                <c:pt idx="1">
                  <c:v>0.34000000000000008</c:v>
                </c:pt>
                <c:pt idx="2">
                  <c:v>19.5</c:v>
                </c:pt>
                <c:pt idx="3">
                  <c:v>19.350000000000001</c:v>
                </c:pt>
              </c:numCache>
            </c:numRef>
          </c:val>
        </c:ser>
        <c:ser>
          <c:idx val="2"/>
          <c:order val="2"/>
          <c:tx>
            <c:strRef>
              <c:f>Sheet1!$D$1</c:f>
              <c:strCache>
                <c:ptCount val="1"/>
                <c:pt idx="0">
                  <c:v>NH3</c:v>
                </c:pt>
              </c:strCache>
            </c:strRef>
          </c:tx>
          <c:cat>
            <c:strRef>
              <c:f>Sheet1!$A$2:$A$5</c:f>
              <c:strCache>
                <c:ptCount val="4"/>
                <c:pt idx="0">
                  <c:v>Producția de energie electrica și termică</c:v>
                </c:pt>
                <c:pt idx="1">
                  <c:v>Arderi pentru metale </c:v>
                </c:pt>
                <c:pt idx="2">
                  <c:v>Încălzire instituții</c:v>
                </c:pt>
                <c:pt idx="3">
                  <c:v>Alte motoare staționare</c:v>
                </c:pt>
              </c:strCache>
            </c:strRef>
          </c:cat>
          <c:val>
            <c:numRef>
              <c:f>Sheet1!$D$2:$D$5</c:f>
              <c:numCache>
                <c:formatCode>General</c:formatCode>
                <c:ptCount val="4"/>
                <c:pt idx="0">
                  <c:v>0</c:v>
                </c:pt>
                <c:pt idx="1">
                  <c:v>1.500000000000008E-4</c:v>
                </c:pt>
                <c:pt idx="2">
                  <c:v>1.0000000000000005E-2</c:v>
                </c:pt>
                <c:pt idx="3">
                  <c:v>0</c:v>
                </c:pt>
              </c:numCache>
            </c:numRef>
          </c:val>
        </c:ser>
        <c:shape val="cylinder"/>
        <c:axId val="60748928"/>
        <c:axId val="60750464"/>
        <c:axId val="0"/>
      </c:bar3DChart>
      <c:catAx>
        <c:axId val="60748928"/>
        <c:scaling>
          <c:orientation val="minMax"/>
        </c:scaling>
        <c:axPos val="b"/>
        <c:numFmt formatCode="General" sourceLinked="1"/>
        <c:majorTickMark val="none"/>
        <c:tickLblPos val="nextTo"/>
        <c:crossAx val="60750464"/>
        <c:crossesAt val="0"/>
        <c:auto val="1"/>
        <c:lblAlgn val="ctr"/>
        <c:lblOffset val="100"/>
      </c:catAx>
      <c:valAx>
        <c:axId val="60750464"/>
        <c:scaling>
          <c:orientation val="minMax"/>
        </c:scaling>
        <c:axPos val="l"/>
        <c:title>
          <c:tx>
            <c:rich>
              <a:bodyPr rot="0" vert="horz"/>
              <a:lstStyle/>
              <a:p>
                <a:pPr>
                  <a:defRPr/>
                </a:pPr>
                <a:r>
                  <a:rPr lang="ro-RO"/>
                  <a:t>%</a:t>
                </a:r>
              </a:p>
            </c:rich>
          </c:tx>
          <c:layout>
            <c:manualLayout>
              <c:xMode val="edge"/>
              <c:yMode val="edge"/>
              <c:x val="0.14886786351706152"/>
              <c:y val="9.709037976248755E-2"/>
            </c:manualLayout>
          </c:layout>
        </c:title>
        <c:numFmt formatCode="General" sourceLinked="1"/>
        <c:majorTickMark val="none"/>
        <c:tickLblPos val="nextTo"/>
        <c:crossAx val="60748928"/>
        <c:crosses val="autoZero"/>
        <c:crossBetween val="between"/>
        <c:majorUnit val="5"/>
        <c:minorUnit val="0.2"/>
      </c:valAx>
    </c:plotArea>
    <c:legend>
      <c:legendPos val="r"/>
    </c:legend>
    <c:plotVisOnly val="1"/>
  </c:chart>
  <c:spPr>
    <a:ln>
      <a:noFill/>
    </a:ln>
  </c:spPr>
  <c:externalData r:id="rId1"/>
  <c:userShapes r:id="rId2"/>
</c:chartSpace>
</file>

<file path=word/charts/chart15.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din energie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Producția de energie și căldură</c:v>
                </c:pt>
                <c:pt idx="1">
                  <c:v>Arderi energetice în alte domenii</c:v>
                </c:pt>
                <c:pt idx="2">
                  <c:v>Încălzirea rezidențială</c:v>
                </c:pt>
                <c:pt idx="3">
                  <c:v>Încălzirea spațiilor</c:v>
                </c:pt>
              </c:strCache>
            </c:strRef>
          </c:cat>
          <c:val>
            <c:numRef>
              <c:f>Sheet1!$B$2:$B$5</c:f>
              <c:numCache>
                <c:formatCode>General</c:formatCode>
                <c:ptCount val="4"/>
                <c:pt idx="0">
                  <c:v>0</c:v>
                </c:pt>
                <c:pt idx="1">
                  <c:v>36.590000000000003</c:v>
                </c:pt>
                <c:pt idx="2">
                  <c:v>20.74</c:v>
                </c:pt>
                <c:pt idx="3">
                  <c:v>15.55</c:v>
                </c:pt>
              </c:numCache>
            </c:numRef>
          </c:val>
        </c:ser>
        <c:ser>
          <c:idx val="1"/>
          <c:order val="1"/>
          <c:tx>
            <c:strRef>
              <c:f>Sheet1!$C$1</c:f>
              <c:strCache>
                <c:ptCount val="1"/>
                <c:pt idx="0">
                  <c:v>NMCOV</c:v>
                </c:pt>
              </c:strCache>
            </c:strRef>
          </c:tx>
          <c:cat>
            <c:strRef>
              <c:f>Sheet1!$A$2:$A$5</c:f>
              <c:strCache>
                <c:ptCount val="4"/>
                <c:pt idx="0">
                  <c:v>Producția de energie și căldură</c:v>
                </c:pt>
                <c:pt idx="1">
                  <c:v>Arderi energetice în alte domenii</c:v>
                </c:pt>
                <c:pt idx="2">
                  <c:v>Încălzirea rezidențială</c:v>
                </c:pt>
                <c:pt idx="3">
                  <c:v>Încălzirea spațiilor</c:v>
                </c:pt>
              </c:strCache>
            </c:strRef>
          </c:cat>
          <c:val>
            <c:numRef>
              <c:f>Sheet1!$C$2:$C$5</c:f>
              <c:numCache>
                <c:formatCode>General</c:formatCode>
                <c:ptCount val="4"/>
                <c:pt idx="0">
                  <c:v>0</c:v>
                </c:pt>
                <c:pt idx="1">
                  <c:v>0.70000000000000062</c:v>
                </c:pt>
                <c:pt idx="2">
                  <c:v>0.56000000000000005</c:v>
                </c:pt>
                <c:pt idx="3">
                  <c:v>0.14000000000000001</c:v>
                </c:pt>
              </c:numCache>
            </c:numRef>
          </c:val>
        </c:ser>
        <c:ser>
          <c:idx val="2"/>
          <c:order val="2"/>
          <c:tx>
            <c:strRef>
              <c:f>Sheet1!$D$1</c:f>
              <c:strCache>
                <c:ptCount val="1"/>
                <c:pt idx="0">
                  <c:v>CO</c:v>
                </c:pt>
              </c:strCache>
            </c:strRef>
          </c:tx>
          <c:cat>
            <c:strRef>
              <c:f>Sheet1!$A$2:$A$5</c:f>
              <c:strCache>
                <c:ptCount val="4"/>
                <c:pt idx="0">
                  <c:v>Producția de energie și căldură</c:v>
                </c:pt>
                <c:pt idx="1">
                  <c:v>Arderi energetice în alte domenii</c:v>
                </c:pt>
                <c:pt idx="2">
                  <c:v>Încălzirea rezidențială</c:v>
                </c:pt>
                <c:pt idx="3">
                  <c:v>Încălzirea spațiilor</c:v>
                </c:pt>
              </c:strCache>
            </c:strRef>
          </c:cat>
          <c:val>
            <c:numRef>
              <c:f>Sheet1!$D$2:$D$5</c:f>
              <c:numCache>
                <c:formatCode>General</c:formatCode>
                <c:ptCount val="4"/>
                <c:pt idx="0">
                  <c:v>0</c:v>
                </c:pt>
                <c:pt idx="1">
                  <c:v>9.33</c:v>
                </c:pt>
                <c:pt idx="2">
                  <c:v>6.6</c:v>
                </c:pt>
                <c:pt idx="3">
                  <c:v>2.6890000000000001</c:v>
                </c:pt>
              </c:numCache>
            </c:numRef>
          </c:val>
        </c:ser>
        <c:shape val="cone"/>
        <c:axId val="59814656"/>
        <c:axId val="59816192"/>
        <c:axId val="59826176"/>
      </c:bar3DChart>
      <c:catAx>
        <c:axId val="59814656"/>
        <c:scaling>
          <c:orientation val="minMax"/>
        </c:scaling>
        <c:axPos val="b"/>
        <c:numFmt formatCode="General" sourceLinked="1"/>
        <c:majorTickMark val="none"/>
        <c:tickLblPos val="nextTo"/>
        <c:crossAx val="59816192"/>
        <c:crossesAt val="0"/>
        <c:auto val="1"/>
        <c:lblAlgn val="ctr"/>
        <c:lblOffset val="100"/>
      </c:catAx>
      <c:valAx>
        <c:axId val="59816192"/>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9.2623543552383267E-2"/>
              <c:y val="0.20639896467235241"/>
            </c:manualLayout>
          </c:layout>
        </c:title>
        <c:numFmt formatCode="General" sourceLinked="1"/>
        <c:majorTickMark val="none"/>
        <c:tickLblPos val="nextTo"/>
        <c:spPr>
          <a:noFill/>
        </c:spPr>
        <c:crossAx val="59814656"/>
        <c:crosses val="autoZero"/>
        <c:crossBetween val="between"/>
        <c:majorUnit val="20"/>
        <c:minorUnit val="4.0000000000000114E-3"/>
      </c:valAx>
      <c:serAx>
        <c:axId val="59826176"/>
        <c:scaling>
          <c:orientation val="minMax"/>
        </c:scaling>
        <c:delete val="1"/>
        <c:axPos val="b"/>
        <c:tickLblPos val="none"/>
        <c:crossAx val="59816192"/>
        <c:crossesAt val="0"/>
      </c:serAx>
    </c:plotArea>
    <c:legend>
      <c:legendPos val="r"/>
    </c:legend>
    <c:plotVisOnly val="1"/>
  </c:chart>
  <c:externalData r:id="rId1"/>
</c:chartSpace>
</file>

<file path=word/charts/chart1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10.34</c:v>
                </c:pt>
                <c:pt idx="2">
                  <c:v>7.4</c:v>
                </c:pt>
              </c:numCache>
            </c:numRef>
          </c:val>
        </c:ser>
        <c:ser>
          <c:idx val="1"/>
          <c:order val="1"/>
          <c:tx>
            <c:strRef>
              <c:f>Sheet1!$C$1</c:f>
              <c:strCache>
                <c:ptCount val="1"/>
                <c:pt idx="0">
                  <c:v>PM10</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9.3700000000000028</c:v>
                </c:pt>
                <c:pt idx="2">
                  <c:v>6.6599999999999975</c:v>
                </c:pt>
              </c:numCache>
            </c:numRef>
          </c:val>
        </c:ser>
        <c:shape val="cone"/>
        <c:axId val="130593536"/>
        <c:axId val="130595072"/>
        <c:axId val="59828864"/>
      </c:bar3DChart>
      <c:catAx>
        <c:axId val="130593536"/>
        <c:scaling>
          <c:orientation val="minMax"/>
        </c:scaling>
        <c:axPos val="b"/>
        <c:numFmt formatCode="General" sourceLinked="1"/>
        <c:majorTickMark val="none"/>
        <c:tickLblPos val="nextTo"/>
        <c:crossAx val="130595072"/>
        <c:crossesAt val="0"/>
        <c:auto val="1"/>
        <c:lblAlgn val="ctr"/>
        <c:lblOffset val="100"/>
      </c:catAx>
      <c:valAx>
        <c:axId val="130595072"/>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8.2654696200358146E-2"/>
              <c:y val="0.22117274121898053"/>
            </c:manualLayout>
          </c:layout>
        </c:title>
        <c:numFmt formatCode="General" sourceLinked="1"/>
        <c:majorTickMark val="none"/>
        <c:tickLblPos val="nextTo"/>
        <c:spPr>
          <a:noFill/>
        </c:spPr>
        <c:crossAx val="130593536"/>
        <c:crosses val="autoZero"/>
        <c:crossBetween val="between"/>
        <c:majorUnit val="10"/>
        <c:minorUnit val="4.0000000000000114E-3"/>
      </c:valAx>
      <c:serAx>
        <c:axId val="59828864"/>
        <c:scaling>
          <c:orientation val="minMax"/>
        </c:scaling>
        <c:delete val="1"/>
        <c:axPos val="b"/>
        <c:tickLblPos val="none"/>
        <c:crossAx val="130595072"/>
        <c:crossesAt val="0"/>
      </c:serAx>
    </c:plotArea>
    <c:legend>
      <c:legendPos val="r"/>
    </c:legend>
    <c:plotVisOnly val="1"/>
  </c:chart>
  <c:externalData r:id="rId1"/>
</c:chartSpace>
</file>

<file path=word/charts/chart1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metale grele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Pb</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Sheet1!$B$2:$B$5</c:f>
              <c:numCache>
                <c:formatCode>General</c:formatCode>
                <c:ptCount val="4"/>
                <c:pt idx="0">
                  <c:v>0</c:v>
                </c:pt>
                <c:pt idx="1">
                  <c:v>1.0000000000000005E-2</c:v>
                </c:pt>
                <c:pt idx="2">
                  <c:v>8.0000000000000043E-2</c:v>
                </c:pt>
                <c:pt idx="3">
                  <c:v>2.23</c:v>
                </c:pt>
              </c:numCache>
            </c:numRef>
          </c:val>
        </c:ser>
        <c:ser>
          <c:idx val="1"/>
          <c:order val="1"/>
          <c:tx>
            <c:strRef>
              <c:f>Sheet1!$C$1</c:f>
              <c:strCache>
                <c:ptCount val="1"/>
                <c:pt idx="0">
                  <c:v>Cd</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Sheet1!$C$2:$C$5</c:f>
              <c:numCache>
                <c:formatCode>General</c:formatCode>
                <c:ptCount val="4"/>
                <c:pt idx="0">
                  <c:v>0</c:v>
                </c:pt>
                <c:pt idx="1">
                  <c:v>0.16</c:v>
                </c:pt>
                <c:pt idx="2">
                  <c:v>51.47</c:v>
                </c:pt>
                <c:pt idx="3">
                  <c:v>19.03</c:v>
                </c:pt>
              </c:numCache>
            </c:numRef>
          </c:val>
        </c:ser>
        <c:ser>
          <c:idx val="2"/>
          <c:order val="2"/>
          <c:tx>
            <c:strRef>
              <c:f>Sheet1!$D$1</c:f>
              <c:strCache>
                <c:ptCount val="1"/>
                <c:pt idx="0">
                  <c:v>Hg</c:v>
                </c:pt>
              </c:strCache>
            </c:strRef>
          </c:tx>
          <c:cat>
            <c:strRef>
              <c:f>Sheet1!$A$2:$A$5</c:f>
              <c:strCache>
                <c:ptCount val="4"/>
                <c:pt idx="0">
                  <c:v>Producția de energie și căldură</c:v>
                </c:pt>
                <c:pt idx="1">
                  <c:v>Energie pentru producerea de fier și oțel</c:v>
                </c:pt>
                <c:pt idx="2">
                  <c:v>Consum energetic în transportul naval</c:v>
                </c:pt>
                <c:pt idx="3">
                  <c:v>Încălzire rezidențială</c:v>
                </c:pt>
              </c:strCache>
            </c:strRef>
          </c:cat>
          <c:val>
            <c:numRef>
              <c:f>Sheet1!$D$2:$D$5</c:f>
              <c:numCache>
                <c:formatCode>General</c:formatCode>
                <c:ptCount val="4"/>
                <c:pt idx="0">
                  <c:v>0</c:v>
                </c:pt>
                <c:pt idx="1">
                  <c:v>2.0000000000000011E-2</c:v>
                </c:pt>
                <c:pt idx="2">
                  <c:v>97.02</c:v>
                </c:pt>
                <c:pt idx="3">
                  <c:v>1.5</c:v>
                </c:pt>
              </c:numCache>
            </c:numRef>
          </c:val>
        </c:ser>
        <c:shape val="cone"/>
        <c:axId val="118240768"/>
        <c:axId val="118242304"/>
        <c:axId val="118231936"/>
      </c:bar3DChart>
      <c:catAx>
        <c:axId val="118240768"/>
        <c:scaling>
          <c:orientation val="minMax"/>
        </c:scaling>
        <c:axPos val="b"/>
        <c:numFmt formatCode="General" sourceLinked="1"/>
        <c:majorTickMark val="none"/>
        <c:tickLblPos val="nextTo"/>
        <c:crossAx val="118242304"/>
        <c:crossesAt val="0"/>
        <c:auto val="1"/>
        <c:lblAlgn val="ctr"/>
        <c:lblOffset val="100"/>
      </c:catAx>
      <c:valAx>
        <c:axId val="118242304"/>
        <c:scaling>
          <c:orientation val="minMax"/>
          <c:max val="10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2253012677212829"/>
              <c:y val="0.20270564583682626"/>
            </c:manualLayout>
          </c:layout>
        </c:title>
        <c:numFmt formatCode="General" sourceLinked="1"/>
        <c:majorTickMark val="none"/>
        <c:tickLblPos val="nextTo"/>
        <c:spPr>
          <a:noFill/>
        </c:spPr>
        <c:crossAx val="118240768"/>
        <c:crosses val="autoZero"/>
        <c:crossBetween val="between"/>
        <c:majorUnit val="20"/>
        <c:minorUnit val="4.0000000000000114E-3"/>
      </c:valAx>
      <c:serAx>
        <c:axId val="118231936"/>
        <c:scaling>
          <c:orientation val="minMax"/>
        </c:scaling>
        <c:delete val="1"/>
        <c:axPos val="b"/>
        <c:tickLblPos val="none"/>
        <c:crossAx val="118242304"/>
        <c:crossesAt val="0"/>
      </c:serAx>
    </c:plotArea>
    <c:legend>
      <c:legendPos val="r"/>
    </c:legend>
    <c:plotVisOnly val="1"/>
  </c:chart>
  <c:externalData r:id="rId1"/>
</c:chartSpace>
</file>

<file path=word/charts/chart1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energie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PAH</c:v>
                </c:pt>
              </c:strCache>
            </c:strRef>
          </c:tx>
          <c:cat>
            <c:strRef>
              <c:f>Sheet1!$A$2:$A$4</c:f>
              <c:strCache>
                <c:ptCount val="3"/>
                <c:pt idx="0">
                  <c:v>Producția de energie și căldură</c:v>
                </c:pt>
                <c:pt idx="1">
                  <c:v>Arderi energetice în alte domenii</c:v>
                </c:pt>
                <c:pt idx="2">
                  <c:v>Încălzire rezidențială</c:v>
                </c:pt>
              </c:strCache>
            </c:strRef>
          </c:cat>
          <c:val>
            <c:numRef>
              <c:f>Sheet1!$B$2:$B$4</c:f>
              <c:numCache>
                <c:formatCode>General</c:formatCode>
                <c:ptCount val="3"/>
                <c:pt idx="0">
                  <c:v>0</c:v>
                </c:pt>
                <c:pt idx="1">
                  <c:v>0</c:v>
                </c:pt>
                <c:pt idx="2">
                  <c:v>0</c:v>
                </c:pt>
              </c:numCache>
            </c:numRef>
          </c:val>
        </c:ser>
        <c:ser>
          <c:idx val="1"/>
          <c:order val="1"/>
          <c:tx>
            <c:strRef>
              <c:f>Sheet1!$C$1</c:f>
              <c:strCache>
                <c:ptCount val="1"/>
                <c:pt idx="0">
                  <c:v>PCBs</c:v>
                </c:pt>
              </c:strCache>
            </c:strRef>
          </c:tx>
          <c:cat>
            <c:strRef>
              <c:f>Sheet1!$A$2:$A$4</c:f>
              <c:strCache>
                <c:ptCount val="3"/>
                <c:pt idx="0">
                  <c:v>Producția de energie și căldură</c:v>
                </c:pt>
                <c:pt idx="1">
                  <c:v>Arderi energetice în alte domenii</c:v>
                </c:pt>
                <c:pt idx="2">
                  <c:v>Încălzire rezidențială</c:v>
                </c:pt>
              </c:strCache>
            </c:strRef>
          </c:cat>
          <c:val>
            <c:numRef>
              <c:f>Sheet1!$C$2:$C$4</c:f>
              <c:numCache>
                <c:formatCode>General</c:formatCode>
                <c:ptCount val="3"/>
                <c:pt idx="0">
                  <c:v>0</c:v>
                </c:pt>
                <c:pt idx="1">
                  <c:v>24.72</c:v>
                </c:pt>
                <c:pt idx="2">
                  <c:v>22.310000000000031</c:v>
                </c:pt>
              </c:numCache>
            </c:numRef>
          </c:val>
        </c:ser>
        <c:ser>
          <c:idx val="2"/>
          <c:order val="2"/>
          <c:tx>
            <c:strRef>
              <c:f>Sheet1!$D$1</c:f>
              <c:strCache>
                <c:ptCount val="1"/>
                <c:pt idx="0">
                  <c:v>HCB</c:v>
                </c:pt>
              </c:strCache>
            </c:strRef>
          </c:tx>
          <c:cat>
            <c:strRef>
              <c:f>Sheet1!$A$2:$A$4</c:f>
              <c:strCache>
                <c:ptCount val="3"/>
                <c:pt idx="0">
                  <c:v>Producția de energie și căldură</c:v>
                </c:pt>
                <c:pt idx="1">
                  <c:v>Arderi energetice în alte domenii</c:v>
                </c:pt>
                <c:pt idx="2">
                  <c:v>Încălzire rezidențială</c:v>
                </c:pt>
              </c:strCache>
            </c:strRef>
          </c:cat>
          <c:val>
            <c:numRef>
              <c:f>Sheet1!$D$2:$D$4</c:f>
              <c:numCache>
                <c:formatCode>General</c:formatCode>
                <c:ptCount val="3"/>
                <c:pt idx="0">
                  <c:v>0</c:v>
                </c:pt>
                <c:pt idx="1">
                  <c:v>99.48</c:v>
                </c:pt>
                <c:pt idx="2">
                  <c:v>88.78</c:v>
                </c:pt>
              </c:numCache>
            </c:numRef>
          </c:val>
        </c:ser>
        <c:shape val="cone"/>
        <c:axId val="118265728"/>
        <c:axId val="118276096"/>
        <c:axId val="118234624"/>
      </c:bar3DChart>
      <c:catAx>
        <c:axId val="118265728"/>
        <c:scaling>
          <c:orientation val="minMax"/>
        </c:scaling>
        <c:axPos val="b"/>
        <c:numFmt formatCode="General" sourceLinked="1"/>
        <c:majorTickMark val="none"/>
        <c:tickLblPos val="nextTo"/>
        <c:crossAx val="118276096"/>
        <c:crossesAt val="0"/>
        <c:auto val="1"/>
        <c:lblAlgn val="ctr"/>
        <c:lblOffset val="100"/>
      </c:catAx>
      <c:valAx>
        <c:axId val="118276096"/>
        <c:scaling>
          <c:orientation val="minMax"/>
          <c:max val="10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624054750165575"/>
              <c:y val="0.21009240880901095"/>
            </c:manualLayout>
          </c:layout>
        </c:title>
        <c:numFmt formatCode="General" sourceLinked="1"/>
        <c:majorTickMark val="none"/>
        <c:tickLblPos val="nextTo"/>
        <c:spPr>
          <a:noFill/>
        </c:spPr>
        <c:crossAx val="118265728"/>
        <c:crosses val="autoZero"/>
        <c:crossBetween val="between"/>
        <c:majorUnit val="20"/>
        <c:minorUnit val="4.0000000000000114E-3"/>
      </c:valAx>
      <c:serAx>
        <c:axId val="118234624"/>
        <c:scaling>
          <c:orientation val="minMax"/>
        </c:scaling>
        <c:delete val="1"/>
        <c:axPos val="b"/>
        <c:tickLblPos val="none"/>
        <c:crossAx val="118276096"/>
        <c:crossesAt val="0"/>
      </c:serAx>
    </c:plotArea>
    <c:legend>
      <c:legendPos val="r"/>
    </c:legend>
    <c:plotVisOnly val="1"/>
  </c:chart>
  <c:externalData r:id="rId1"/>
</c:chartSpace>
</file>

<file path=word/charts/chart19.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Contribuția sectoarelor de activitate la emisiile de poluanți cu efect de acidifiere </a:t>
            </a: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Energie</c:v>
                </c:pt>
                <c:pt idx="1">
                  <c:v>Transporturi</c:v>
                </c:pt>
                <c:pt idx="2">
                  <c:v>Procese industriale</c:v>
                </c:pt>
                <c:pt idx="3">
                  <c:v>Agricultură</c:v>
                </c:pt>
              </c:strCache>
            </c:strRef>
          </c:cat>
          <c:val>
            <c:numRef>
              <c:f>Sheet1!$B$2:$B$5</c:f>
              <c:numCache>
                <c:formatCode>General</c:formatCode>
                <c:ptCount val="4"/>
                <c:pt idx="0">
                  <c:v>0</c:v>
                </c:pt>
                <c:pt idx="1">
                  <c:v>61.7</c:v>
                </c:pt>
                <c:pt idx="2">
                  <c:v>3.4699999999999998</c:v>
                </c:pt>
                <c:pt idx="3">
                  <c:v>0</c:v>
                </c:pt>
              </c:numCache>
            </c:numRef>
          </c:val>
        </c:ser>
        <c:ser>
          <c:idx val="1"/>
          <c:order val="1"/>
          <c:tx>
            <c:strRef>
              <c:f>Sheet1!$C$1</c:f>
              <c:strCache>
                <c:ptCount val="1"/>
                <c:pt idx="0">
                  <c:v>SO2</c:v>
                </c:pt>
              </c:strCache>
            </c:strRef>
          </c:tx>
          <c:cat>
            <c:strRef>
              <c:f>Sheet1!$A$2:$A$5</c:f>
              <c:strCache>
                <c:ptCount val="4"/>
                <c:pt idx="0">
                  <c:v>Energie</c:v>
                </c:pt>
                <c:pt idx="1">
                  <c:v>Transporturi</c:v>
                </c:pt>
                <c:pt idx="2">
                  <c:v>Procese industriale</c:v>
                </c:pt>
                <c:pt idx="3">
                  <c:v>Agricultură</c:v>
                </c:pt>
              </c:strCache>
            </c:strRef>
          </c:cat>
          <c:val>
            <c:numRef>
              <c:f>Sheet1!$C$2:$C$5</c:f>
              <c:numCache>
                <c:formatCode>General</c:formatCode>
                <c:ptCount val="4"/>
                <c:pt idx="0">
                  <c:v>0</c:v>
                </c:pt>
                <c:pt idx="1">
                  <c:v>0</c:v>
                </c:pt>
                <c:pt idx="2">
                  <c:v>0.37000000000000038</c:v>
                </c:pt>
                <c:pt idx="3">
                  <c:v>0</c:v>
                </c:pt>
              </c:numCache>
            </c:numRef>
          </c:val>
        </c:ser>
        <c:ser>
          <c:idx val="2"/>
          <c:order val="2"/>
          <c:tx>
            <c:strRef>
              <c:f>Sheet1!$D$1</c:f>
              <c:strCache>
                <c:ptCount val="1"/>
                <c:pt idx="0">
                  <c:v>NH3</c:v>
                </c:pt>
              </c:strCache>
            </c:strRef>
          </c:tx>
          <c:cat>
            <c:strRef>
              <c:f>Sheet1!$A$2:$A$5</c:f>
              <c:strCache>
                <c:ptCount val="4"/>
                <c:pt idx="0">
                  <c:v>Energie</c:v>
                </c:pt>
                <c:pt idx="1">
                  <c:v>Transporturi</c:v>
                </c:pt>
                <c:pt idx="2">
                  <c:v>Procese industriale</c:v>
                </c:pt>
                <c:pt idx="3">
                  <c:v>Agricultură</c:v>
                </c:pt>
              </c:strCache>
            </c:strRef>
          </c:cat>
          <c:val>
            <c:numRef>
              <c:f>Sheet1!$D$2:$D$5</c:f>
              <c:numCache>
                <c:formatCode>General</c:formatCode>
                <c:ptCount val="4"/>
                <c:pt idx="0">
                  <c:v>0</c:v>
                </c:pt>
                <c:pt idx="1">
                  <c:v>0.13</c:v>
                </c:pt>
                <c:pt idx="2">
                  <c:v>4.0000000000000114E-3</c:v>
                </c:pt>
                <c:pt idx="3">
                  <c:v>99.740000000000023</c:v>
                </c:pt>
              </c:numCache>
            </c:numRef>
          </c:val>
        </c:ser>
        <c:shape val="cone"/>
        <c:axId val="137026560"/>
        <c:axId val="137028352"/>
        <c:axId val="59812032"/>
      </c:bar3DChart>
      <c:catAx>
        <c:axId val="137026560"/>
        <c:scaling>
          <c:orientation val="minMax"/>
        </c:scaling>
        <c:axPos val="b"/>
        <c:numFmt formatCode="General" sourceLinked="1"/>
        <c:majorTickMark val="none"/>
        <c:tickLblPos val="nextTo"/>
        <c:crossAx val="137028352"/>
        <c:crossesAt val="0"/>
        <c:auto val="1"/>
        <c:lblAlgn val="ctr"/>
        <c:lblOffset val="100"/>
      </c:catAx>
      <c:valAx>
        <c:axId val="137028352"/>
        <c:scaling>
          <c:orientation val="minMax"/>
          <c:max val="100"/>
        </c:scaling>
        <c:axPos val="l"/>
        <c:title>
          <c:tx>
            <c:rich>
              <a:bodyPr rot="0" vert="horz"/>
              <a:lstStyle/>
              <a:p>
                <a:pPr>
                  <a:defRPr/>
                </a:pPr>
                <a:r>
                  <a:rPr lang="ro-RO"/>
                  <a:t>%</a:t>
                </a:r>
              </a:p>
            </c:rich>
          </c:tx>
          <c:layout>
            <c:manualLayout>
              <c:xMode val="edge"/>
              <c:yMode val="edge"/>
              <c:x val="0.10508460274241473"/>
              <c:y val="0.1990120763990374"/>
            </c:manualLayout>
          </c:layout>
        </c:title>
        <c:numFmt formatCode="General" sourceLinked="1"/>
        <c:majorTickMark val="none"/>
        <c:tickLblPos val="nextTo"/>
        <c:crossAx val="137026560"/>
        <c:crosses val="autoZero"/>
        <c:crossBetween val="between"/>
        <c:majorUnit val="20"/>
        <c:minorUnit val="0.2"/>
      </c:valAx>
      <c:serAx>
        <c:axId val="59812032"/>
        <c:scaling>
          <c:orientation val="minMax"/>
        </c:scaling>
        <c:delete val="1"/>
        <c:axPos val="b"/>
        <c:tickLblPos val="none"/>
        <c:crossAx val="137028352"/>
        <c:crossesAt val="0"/>
      </c:serAx>
    </c:plotArea>
    <c:legend>
      <c:legendPos val="r"/>
    </c:legend>
    <c:plotVisOnly val="1"/>
  </c:chart>
  <c:externalData r:id="rId1"/>
</c:chartSpace>
</file>

<file path=word/charts/chart2.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0"/>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1627906976744186"/>
          <c:y val="4.9450549450549483E-2"/>
          <c:w val="0.63759689922481244"/>
          <c:h val="0.65934065934066521"/>
        </c:manualLayout>
      </c:layout>
      <c:bar3DChart>
        <c:barDir val="col"/>
        <c:grouping val="clustered"/>
        <c:ser>
          <c:idx val="6"/>
          <c:order val="0"/>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pt idx="1">
                  <c:v>0.22</c:v>
                </c:pt>
                <c:pt idx="2">
                  <c:v>0.21000000000000021</c:v>
                </c:pt>
                <c:pt idx="3">
                  <c:v>0.11</c:v>
                </c:pt>
                <c:pt idx="4">
                  <c:v>0.05</c:v>
                </c:pt>
              </c:numCache>
            </c:numRef>
          </c:val>
        </c:ser>
        <c:gapWidth val="260"/>
        <c:gapDepth val="0"/>
        <c:shape val="box"/>
        <c:axId val="201742976"/>
        <c:axId val="203166080"/>
        <c:axId val="0"/>
      </c:bar3DChart>
      <c:catAx>
        <c:axId val="201742976"/>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03166080"/>
        <c:crosses val="autoZero"/>
        <c:auto val="1"/>
        <c:lblAlgn val="ctr"/>
        <c:lblOffset val="100"/>
        <c:tickLblSkip val="1"/>
        <c:tickMarkSkip val="1"/>
      </c:catAx>
      <c:valAx>
        <c:axId val="203166080"/>
        <c:scaling>
          <c:orientation val="minMax"/>
        </c:scaling>
        <c:axPos val="l"/>
        <c:majorGridlines>
          <c:spPr>
            <a:ln w="3175">
              <a:solidFill>
                <a:srgbClr val="000000"/>
              </a:solidFill>
              <a:prstDash val="solid"/>
            </a:ln>
          </c:spPr>
        </c:majorGridlines>
        <c:title>
          <c:tx>
            <c:rich>
              <a:bodyPr/>
              <a:lstStyle/>
              <a:p>
                <a:pPr>
                  <a:defRPr sz="1075"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1.8178697244593475E-2"/>
              <c:y val="0.12232884951881016"/>
            </c:manualLayout>
          </c:layout>
          <c:spPr>
            <a:noFill/>
            <a:ln w="25400">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01742976"/>
        <c:crosses val="autoZero"/>
        <c:crossBetween val="between"/>
      </c:valAx>
      <c:spPr>
        <a:noFill/>
        <a:ln w="25400">
          <a:noFill/>
        </a:ln>
      </c:spPr>
    </c:plotArea>
    <c:legend>
      <c:legendPos val="r"/>
      <c:layout>
        <c:manualLayout>
          <c:xMode val="edge"/>
          <c:yMode val="edge"/>
          <c:x val="0.75297705657515934"/>
          <c:y val="0.27655675853018369"/>
          <c:w val="0.19241699350318894"/>
          <c:h val="0.18700896762904634"/>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20.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Contribuția sectoarelor de activitate din industrie la emisiile de poluanți cu efect de acidifiere </a:t>
            </a:r>
          </a:p>
        </c:rich>
      </c:tx>
    </c:title>
    <c:view3D>
      <c:perspective val="30"/>
    </c:view3D>
    <c:plotArea>
      <c:layout/>
      <c:bar3DChart>
        <c:barDir val="col"/>
        <c:grouping val="standard"/>
        <c:ser>
          <c:idx val="1"/>
          <c:order val="0"/>
          <c:tx>
            <c:strRef>
              <c:f>Sheet1!$C$1</c:f>
              <c:strCache>
                <c:ptCount val="1"/>
                <c:pt idx="0">
                  <c:v>Nox</c:v>
                </c:pt>
              </c:strCache>
            </c:strRef>
          </c:tx>
          <c:cat>
            <c:strRef>
              <c:f>Sheet1!$A$2</c:f>
              <c:strCache>
                <c:ptCount val="1"/>
                <c:pt idx="0">
                  <c:v>Producția de fier și oțel</c:v>
                </c:pt>
              </c:strCache>
            </c:strRef>
          </c:cat>
          <c:val>
            <c:numRef>
              <c:f>Sheet1!$C$2</c:f>
              <c:numCache>
                <c:formatCode>General</c:formatCode>
                <c:ptCount val="1"/>
                <c:pt idx="0">
                  <c:v>8.0000000000000043E-2</c:v>
                </c:pt>
              </c:numCache>
            </c:numRef>
          </c:val>
        </c:ser>
        <c:ser>
          <c:idx val="2"/>
          <c:order val="1"/>
          <c:tx>
            <c:strRef>
              <c:f>Sheet1!$D$1</c:f>
              <c:strCache>
                <c:ptCount val="1"/>
                <c:pt idx="0">
                  <c:v>SO2</c:v>
                </c:pt>
              </c:strCache>
            </c:strRef>
          </c:tx>
          <c:cat>
            <c:strRef>
              <c:f>Sheet1!$A$2</c:f>
              <c:strCache>
                <c:ptCount val="1"/>
                <c:pt idx="0">
                  <c:v>Producția de fier și oțel</c:v>
                </c:pt>
              </c:strCache>
            </c:strRef>
          </c:cat>
          <c:val>
            <c:numRef>
              <c:f>Sheet1!$D$2</c:f>
              <c:numCache>
                <c:formatCode>General</c:formatCode>
                <c:ptCount val="1"/>
                <c:pt idx="0">
                  <c:v>0.34</c:v>
                </c:pt>
              </c:numCache>
            </c:numRef>
          </c:val>
        </c:ser>
        <c:ser>
          <c:idx val="3"/>
          <c:order val="2"/>
          <c:tx>
            <c:strRef>
              <c:f>Sheet1!$B$1</c:f>
              <c:strCache>
                <c:ptCount val="1"/>
                <c:pt idx="0">
                  <c:v>NH3</c:v>
                </c:pt>
              </c:strCache>
            </c:strRef>
          </c:tx>
          <c:cat>
            <c:strRef>
              <c:f>Sheet1!$A$2</c:f>
              <c:strCache>
                <c:ptCount val="1"/>
                <c:pt idx="0">
                  <c:v>Producția de fier și oțel</c:v>
                </c:pt>
              </c:strCache>
            </c:strRef>
          </c:cat>
          <c:val>
            <c:numRef>
              <c:f>Sheet1!$B$2</c:f>
              <c:numCache>
                <c:formatCode>General</c:formatCode>
                <c:ptCount val="1"/>
                <c:pt idx="0">
                  <c:v>1.4999999999999999E-4</c:v>
                </c:pt>
              </c:numCache>
            </c:numRef>
          </c:val>
        </c:ser>
        <c:shape val="cone"/>
        <c:axId val="134057984"/>
        <c:axId val="134059520"/>
        <c:axId val="58905920"/>
      </c:bar3DChart>
      <c:catAx>
        <c:axId val="134057984"/>
        <c:scaling>
          <c:orientation val="minMax"/>
        </c:scaling>
        <c:axPos val="b"/>
        <c:numFmt formatCode="General" sourceLinked="1"/>
        <c:majorTickMark val="none"/>
        <c:tickLblPos val="nextTo"/>
        <c:crossAx val="134059520"/>
        <c:crossesAt val="0"/>
        <c:auto val="1"/>
        <c:lblAlgn val="ctr"/>
        <c:lblOffset val="100"/>
      </c:catAx>
      <c:valAx>
        <c:axId val="134059520"/>
        <c:scaling>
          <c:orientation val="minMax"/>
        </c:scaling>
        <c:axPos val="l"/>
        <c:title>
          <c:tx>
            <c:rich>
              <a:bodyPr rot="0" vert="horz"/>
              <a:lstStyle/>
              <a:p>
                <a:pPr>
                  <a:defRPr/>
                </a:pPr>
                <a:r>
                  <a:rPr lang="ro-RO"/>
                  <a:t>%</a:t>
                </a:r>
              </a:p>
            </c:rich>
          </c:tx>
          <c:layout>
            <c:manualLayout>
              <c:xMode val="edge"/>
              <c:yMode val="edge"/>
              <c:x val="0.25960173669880049"/>
              <c:y val="0.26180062672221388"/>
            </c:manualLayout>
          </c:layout>
        </c:title>
        <c:numFmt formatCode="General" sourceLinked="1"/>
        <c:majorTickMark val="none"/>
        <c:tickLblPos val="nextTo"/>
        <c:crossAx val="134057984"/>
        <c:crosses val="autoZero"/>
        <c:crossBetween val="between"/>
      </c:valAx>
      <c:serAx>
        <c:axId val="58905920"/>
        <c:scaling>
          <c:orientation val="minMax"/>
        </c:scaling>
        <c:delete val="1"/>
        <c:axPos val="b"/>
        <c:tickLblPos val="none"/>
        <c:crossAx val="134059520"/>
        <c:crossesAt val="0"/>
      </c:serAx>
    </c:plotArea>
    <c:legend>
      <c:legendPos val="r"/>
    </c:legend>
    <c:plotVisOnly val="1"/>
  </c:chart>
  <c:externalData r:id="rId1"/>
</c:chartSpace>
</file>

<file path=word/charts/chart21.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Evoluția emisiilor de poluanți cu efect de acidifiere </a:t>
            </a:r>
          </a:p>
        </c:rich>
      </c:tx>
    </c:title>
    <c:plotArea>
      <c:layout>
        <c:manualLayout>
          <c:layoutTarget val="inner"/>
          <c:xMode val="edge"/>
          <c:yMode val="edge"/>
          <c:x val="0.16795231437191846"/>
          <c:y val="0.12523567518049236"/>
          <c:w val="0.66074678048421565"/>
          <c:h val="0.8007046626096993"/>
        </c:manualLayout>
      </c:layout>
      <c:barChart>
        <c:barDir val="col"/>
        <c:grouping val="clustered"/>
        <c:ser>
          <c:idx val="0"/>
          <c:order val="0"/>
          <c:tx>
            <c:strRef>
              <c:f>Sheet1!$B$1</c:f>
              <c:strCache>
                <c:ptCount val="1"/>
                <c:pt idx="0">
                  <c:v>Nox</c:v>
                </c:pt>
              </c:strCache>
            </c:strRef>
          </c:tx>
          <c:cat>
            <c:numRef>
              <c:f>Sheet1!$A$2:$A$7</c:f>
              <c:numCache>
                <c:formatCode>General</c:formatCode>
                <c:ptCount val="6"/>
                <c:pt idx="0">
                  <c:v>2007</c:v>
                </c:pt>
                <c:pt idx="1">
                  <c:v>2008</c:v>
                </c:pt>
                <c:pt idx="2">
                  <c:v>2009</c:v>
                </c:pt>
                <c:pt idx="3">
                  <c:v>2010</c:v>
                </c:pt>
                <c:pt idx="4">
                  <c:v>2011</c:v>
                </c:pt>
                <c:pt idx="5">
                  <c:v>2014</c:v>
                </c:pt>
              </c:numCache>
            </c:numRef>
          </c:cat>
          <c:val>
            <c:numRef>
              <c:f>Sheet1!$B$2:$B$7</c:f>
              <c:numCache>
                <c:formatCode>General</c:formatCode>
                <c:ptCount val="6"/>
                <c:pt idx="0">
                  <c:v>4.38</c:v>
                </c:pt>
                <c:pt idx="1">
                  <c:v>3.25</c:v>
                </c:pt>
                <c:pt idx="2">
                  <c:v>5.1099999999999985</c:v>
                </c:pt>
                <c:pt idx="3">
                  <c:v>0.74300000000000266</c:v>
                </c:pt>
                <c:pt idx="4">
                  <c:v>4.3539999999999965</c:v>
                </c:pt>
                <c:pt idx="5">
                  <c:v>1.1585000000000001</c:v>
                </c:pt>
              </c:numCache>
            </c:numRef>
          </c:val>
        </c:ser>
        <c:ser>
          <c:idx val="1"/>
          <c:order val="1"/>
          <c:tx>
            <c:strRef>
              <c:f>Sheet1!$C$1</c:f>
              <c:strCache>
                <c:ptCount val="1"/>
                <c:pt idx="0">
                  <c:v>SO2</c:v>
                </c:pt>
              </c:strCache>
            </c:strRef>
          </c:tx>
          <c:spPr>
            <a:solidFill>
              <a:schemeClr val="accent3"/>
            </a:solidFill>
          </c:spPr>
          <c:cat>
            <c:numRef>
              <c:f>Sheet1!$A$2:$A$7</c:f>
              <c:numCache>
                <c:formatCode>General</c:formatCode>
                <c:ptCount val="6"/>
                <c:pt idx="0">
                  <c:v>2007</c:v>
                </c:pt>
                <c:pt idx="1">
                  <c:v>2008</c:v>
                </c:pt>
                <c:pt idx="2">
                  <c:v>2009</c:v>
                </c:pt>
                <c:pt idx="3">
                  <c:v>2010</c:v>
                </c:pt>
                <c:pt idx="4">
                  <c:v>2011</c:v>
                </c:pt>
                <c:pt idx="5">
                  <c:v>2014</c:v>
                </c:pt>
              </c:numCache>
            </c:numRef>
          </c:cat>
          <c:val>
            <c:numRef>
              <c:f>Sheet1!$C$2:$C$7</c:f>
              <c:numCache>
                <c:formatCode>General</c:formatCode>
                <c:ptCount val="6"/>
                <c:pt idx="0">
                  <c:v>1.46</c:v>
                </c:pt>
                <c:pt idx="1">
                  <c:v>0.98299999999999998</c:v>
                </c:pt>
                <c:pt idx="2">
                  <c:v>5.48</c:v>
                </c:pt>
                <c:pt idx="3">
                  <c:v>0.28000000000000008</c:v>
                </c:pt>
                <c:pt idx="4">
                  <c:v>0.31500000000000133</c:v>
                </c:pt>
                <c:pt idx="5">
                  <c:v>2.7000000000000153E-3</c:v>
                </c:pt>
              </c:numCache>
            </c:numRef>
          </c:val>
        </c:ser>
        <c:ser>
          <c:idx val="2"/>
          <c:order val="2"/>
          <c:tx>
            <c:strRef>
              <c:f>Sheet1!$D$1</c:f>
              <c:strCache>
                <c:ptCount val="1"/>
                <c:pt idx="0">
                  <c:v>NH3</c:v>
                </c:pt>
              </c:strCache>
            </c:strRef>
          </c:tx>
          <c:spPr>
            <a:solidFill>
              <a:srgbClr val="FFFF00"/>
            </a:solidFill>
          </c:spPr>
          <c:cat>
            <c:numRef>
              <c:f>Sheet1!$A$2:$A$7</c:f>
              <c:numCache>
                <c:formatCode>General</c:formatCode>
                <c:ptCount val="6"/>
                <c:pt idx="0">
                  <c:v>2007</c:v>
                </c:pt>
                <c:pt idx="1">
                  <c:v>2008</c:v>
                </c:pt>
                <c:pt idx="2">
                  <c:v>2009</c:v>
                </c:pt>
                <c:pt idx="3">
                  <c:v>2010</c:v>
                </c:pt>
                <c:pt idx="4">
                  <c:v>2011</c:v>
                </c:pt>
                <c:pt idx="5">
                  <c:v>2014</c:v>
                </c:pt>
              </c:numCache>
            </c:numRef>
          </c:cat>
          <c:val>
            <c:numRef>
              <c:f>Sheet1!$D$2:$D$7</c:f>
              <c:numCache>
                <c:formatCode>General</c:formatCode>
                <c:ptCount val="6"/>
                <c:pt idx="0">
                  <c:v>3.88</c:v>
                </c:pt>
                <c:pt idx="1">
                  <c:v>3.92</c:v>
                </c:pt>
                <c:pt idx="2">
                  <c:v>3.67</c:v>
                </c:pt>
                <c:pt idx="3">
                  <c:v>2.0000000000000052E-3</c:v>
                </c:pt>
                <c:pt idx="4">
                  <c:v>7.2751000000000001</c:v>
                </c:pt>
                <c:pt idx="5">
                  <c:v>7.1099999999999985</c:v>
                </c:pt>
              </c:numCache>
            </c:numRef>
          </c:val>
        </c:ser>
        <c:ser>
          <c:idx val="3"/>
          <c:order val="3"/>
          <c:tx>
            <c:strRef>
              <c:f>Sheet1!$E$1</c:f>
              <c:strCache>
                <c:ptCount val="1"/>
                <c:pt idx="0">
                  <c:v>Echivalent acidifiere</c:v>
                </c:pt>
              </c:strCache>
            </c:strRef>
          </c:tx>
          <c:spPr>
            <a:solidFill>
              <a:schemeClr val="accent2"/>
            </a:solidFill>
          </c:spPr>
          <c:cat>
            <c:numRef>
              <c:f>Sheet1!$A$2:$A$7</c:f>
              <c:numCache>
                <c:formatCode>General</c:formatCode>
                <c:ptCount val="6"/>
                <c:pt idx="0">
                  <c:v>2007</c:v>
                </c:pt>
                <c:pt idx="1">
                  <c:v>2008</c:v>
                </c:pt>
                <c:pt idx="2">
                  <c:v>2009</c:v>
                </c:pt>
                <c:pt idx="3">
                  <c:v>2010</c:v>
                </c:pt>
                <c:pt idx="4">
                  <c:v>2011</c:v>
                </c:pt>
                <c:pt idx="5">
                  <c:v>2014</c:v>
                </c:pt>
              </c:numCache>
            </c:numRef>
          </c:cat>
          <c:val>
            <c:numRef>
              <c:f>Sheet1!$E$2:$E$7</c:f>
              <c:numCache>
                <c:formatCode>General</c:formatCode>
                <c:ptCount val="6"/>
                <c:pt idx="0">
                  <c:v>0.36888800000000244</c:v>
                </c:pt>
                <c:pt idx="1">
                  <c:v>0.33178890000000266</c:v>
                </c:pt>
                <c:pt idx="2">
                  <c:v>0.49820700000000001</c:v>
                </c:pt>
                <c:pt idx="3">
                  <c:v>2.5004700000000001E-2</c:v>
                </c:pt>
                <c:pt idx="4">
                  <c:v>0.53211717999999697</c:v>
                </c:pt>
                <c:pt idx="5">
                  <c:v>0.44329195999999993</c:v>
                </c:pt>
              </c:numCache>
            </c:numRef>
          </c:val>
        </c:ser>
        <c:axId val="154399872"/>
        <c:axId val="154401408"/>
      </c:barChart>
      <c:catAx>
        <c:axId val="154399872"/>
        <c:scaling>
          <c:orientation val="minMax"/>
        </c:scaling>
        <c:axPos val="b"/>
        <c:numFmt formatCode="General" sourceLinked="1"/>
        <c:majorTickMark val="none"/>
        <c:tickLblPos val="nextTo"/>
        <c:crossAx val="154401408"/>
        <c:crossesAt val="0"/>
        <c:auto val="1"/>
        <c:lblAlgn val="ctr"/>
        <c:lblOffset val="100"/>
      </c:catAx>
      <c:valAx>
        <c:axId val="154401408"/>
        <c:scaling>
          <c:orientation val="minMax"/>
        </c:scaling>
        <c:axPos val="l"/>
        <c:title>
          <c:tx>
            <c:rich>
              <a:bodyPr rot="0" vert="horz"/>
              <a:lstStyle/>
              <a:p>
                <a:pPr>
                  <a:defRPr/>
                </a:pPr>
                <a:r>
                  <a:rPr lang="en-US"/>
                  <a:t>mii tone</a:t>
                </a:r>
                <a:endParaRPr lang="ro-RO"/>
              </a:p>
            </c:rich>
          </c:tx>
          <c:layout>
            <c:manualLayout>
              <c:xMode val="edge"/>
              <c:yMode val="edge"/>
              <c:x val="9.7607967228395501E-2"/>
              <c:y val="6.2354643342712533E-2"/>
            </c:manualLayout>
          </c:layout>
        </c:title>
        <c:numFmt formatCode="General" sourceLinked="1"/>
        <c:majorTickMark val="none"/>
        <c:tickLblPos val="nextTo"/>
        <c:crossAx val="154399872"/>
        <c:crosses val="autoZero"/>
        <c:crossBetween val="between"/>
        <c:majorUnit val="2"/>
        <c:minorUnit val="0.2"/>
      </c:valAx>
    </c:plotArea>
    <c:legend>
      <c:legendPos val="r"/>
      <c:layout>
        <c:manualLayout>
          <c:xMode val="edge"/>
          <c:yMode val="edge"/>
          <c:x val="0.82038264294864549"/>
          <c:y val="0.41683174993554167"/>
          <c:w val="0.17961735705135504"/>
          <c:h val="0.34368313532596972"/>
        </c:manualLayout>
      </c:layout>
    </c:legend>
    <c:plotVisOnly val="1"/>
  </c:chart>
  <c:externalData r:id="rId1"/>
</c:chartSpace>
</file>

<file path=word/charts/chart22.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poluanți </a:t>
            </a:r>
            <a:r>
              <a:rPr lang="ro-RO" sz="1200" baseline="0">
                <a:latin typeface="Arial" pitchFamily="34" charset="0"/>
                <a:cs typeface="Arial" pitchFamily="34" charset="0"/>
              </a:rPr>
              <a:t>precursori ai ozonului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Nox</c:v>
                </c:pt>
              </c:strCache>
            </c:strRef>
          </c:tx>
          <c:cat>
            <c:strRef>
              <c:f>Sheet1!$A$2:$A$4</c:f>
              <c:strCache>
                <c:ptCount val="3"/>
                <c:pt idx="0">
                  <c:v>Producția de fier și oțel</c:v>
                </c:pt>
                <c:pt idx="1">
                  <c:v>Industria alimentară</c:v>
                </c:pt>
                <c:pt idx="2">
                  <c:v>Asfaltarea drumurilor</c:v>
                </c:pt>
              </c:strCache>
            </c:strRef>
          </c:cat>
          <c:val>
            <c:numRef>
              <c:f>Sheet1!$B$2:$B$4</c:f>
              <c:numCache>
                <c:formatCode>General</c:formatCode>
                <c:ptCount val="3"/>
                <c:pt idx="0">
                  <c:v>8.0000000000000043E-2</c:v>
                </c:pt>
                <c:pt idx="1">
                  <c:v>0</c:v>
                </c:pt>
                <c:pt idx="2">
                  <c:v>8.0000000000000264E-4</c:v>
                </c:pt>
              </c:numCache>
            </c:numRef>
          </c:val>
        </c:ser>
        <c:ser>
          <c:idx val="1"/>
          <c:order val="1"/>
          <c:tx>
            <c:strRef>
              <c:f>Sheet1!$C$1</c:f>
              <c:strCache>
                <c:ptCount val="1"/>
                <c:pt idx="0">
                  <c:v>NMCOV</c:v>
                </c:pt>
              </c:strCache>
            </c:strRef>
          </c:tx>
          <c:cat>
            <c:strRef>
              <c:f>Sheet1!$A$2:$A$4</c:f>
              <c:strCache>
                <c:ptCount val="3"/>
                <c:pt idx="0">
                  <c:v>Producția de fier și oțel</c:v>
                </c:pt>
                <c:pt idx="1">
                  <c:v>Industria alimentară</c:v>
                </c:pt>
                <c:pt idx="2">
                  <c:v>Asfaltarea drumurilor</c:v>
                </c:pt>
              </c:strCache>
            </c:strRef>
          </c:cat>
          <c:val>
            <c:numRef>
              <c:f>Sheet1!$C$2:$C$4</c:f>
              <c:numCache>
                <c:formatCode>General</c:formatCode>
                <c:ptCount val="3"/>
                <c:pt idx="0">
                  <c:v>2.5000000000000092E-3</c:v>
                </c:pt>
                <c:pt idx="1">
                  <c:v>3.8699999999999997</c:v>
                </c:pt>
                <c:pt idx="2">
                  <c:v>0</c:v>
                </c:pt>
              </c:numCache>
            </c:numRef>
          </c:val>
        </c:ser>
        <c:ser>
          <c:idx val="2"/>
          <c:order val="2"/>
          <c:tx>
            <c:strRef>
              <c:f>Sheet1!$D$1</c:f>
              <c:strCache>
                <c:ptCount val="1"/>
                <c:pt idx="0">
                  <c:v>CO</c:v>
                </c:pt>
              </c:strCache>
            </c:strRef>
          </c:tx>
          <c:cat>
            <c:strRef>
              <c:f>Sheet1!$A$2:$A$4</c:f>
              <c:strCache>
                <c:ptCount val="3"/>
                <c:pt idx="0">
                  <c:v>Producția de fier și oțel</c:v>
                </c:pt>
                <c:pt idx="1">
                  <c:v>Industria alimentară</c:v>
                </c:pt>
                <c:pt idx="2">
                  <c:v>Asfaltarea drumurilor</c:v>
                </c:pt>
              </c:strCache>
            </c:strRef>
          </c:cat>
          <c:val>
            <c:numRef>
              <c:f>Sheet1!$D$2:$D$4</c:f>
              <c:numCache>
                <c:formatCode>General</c:formatCode>
                <c:ptCount val="3"/>
                <c:pt idx="0">
                  <c:v>1.7000000000000001E-2</c:v>
                </c:pt>
                <c:pt idx="1">
                  <c:v>5.45</c:v>
                </c:pt>
                <c:pt idx="2">
                  <c:v>2.5999999999999999E-3</c:v>
                </c:pt>
              </c:numCache>
            </c:numRef>
          </c:val>
        </c:ser>
        <c:shape val="cone"/>
        <c:axId val="154960640"/>
        <c:axId val="154962176"/>
        <c:axId val="154388672"/>
      </c:bar3DChart>
      <c:catAx>
        <c:axId val="154960640"/>
        <c:scaling>
          <c:orientation val="minMax"/>
        </c:scaling>
        <c:axPos val="b"/>
        <c:numFmt formatCode="General" sourceLinked="1"/>
        <c:majorTickMark val="none"/>
        <c:tickLblPos val="nextTo"/>
        <c:crossAx val="154962176"/>
        <c:crossesAt val="0"/>
        <c:auto val="1"/>
        <c:lblAlgn val="ctr"/>
        <c:lblOffset val="100"/>
      </c:catAx>
      <c:valAx>
        <c:axId val="154962176"/>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2253012677212829"/>
              <c:y val="0.20270564583682599"/>
            </c:manualLayout>
          </c:layout>
        </c:title>
        <c:numFmt formatCode="General" sourceLinked="1"/>
        <c:majorTickMark val="none"/>
        <c:tickLblPos val="nextTo"/>
        <c:spPr>
          <a:noFill/>
        </c:spPr>
        <c:crossAx val="154960640"/>
        <c:crosses val="autoZero"/>
        <c:crossBetween val="between"/>
      </c:valAx>
      <c:serAx>
        <c:axId val="154388672"/>
        <c:scaling>
          <c:orientation val="minMax"/>
        </c:scaling>
        <c:delete val="1"/>
        <c:axPos val="b"/>
        <c:tickLblPos val="none"/>
        <c:crossAx val="154962176"/>
        <c:crossesAt val="0"/>
      </c:serAx>
    </c:plotArea>
    <c:legend>
      <c:legendPos val="r"/>
    </c:legend>
    <c:plotVisOnly val="1"/>
  </c:chart>
  <c:externalData r:id="rId1"/>
</c:chartSpace>
</file>

<file path=word/charts/chart23.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particule primare în suspensie</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PM2,5</c:v>
                </c:pt>
              </c:strCache>
            </c:strRef>
          </c:tx>
          <c:cat>
            <c:strRef>
              <c:f>Sheet1!$A$2</c:f>
              <c:strCache>
                <c:ptCount val="1"/>
                <c:pt idx="0">
                  <c:v>Producția de fier și oțel</c:v>
                </c:pt>
              </c:strCache>
            </c:strRef>
          </c:cat>
          <c:val>
            <c:numRef>
              <c:f>Sheet1!$B$2</c:f>
              <c:numCache>
                <c:formatCode>General</c:formatCode>
                <c:ptCount val="1"/>
                <c:pt idx="0">
                  <c:v>1.4999999999999998E-2</c:v>
                </c:pt>
              </c:numCache>
            </c:numRef>
          </c:val>
        </c:ser>
        <c:ser>
          <c:idx val="1"/>
          <c:order val="1"/>
          <c:tx>
            <c:strRef>
              <c:f>Sheet1!$C$1</c:f>
              <c:strCache>
                <c:ptCount val="1"/>
                <c:pt idx="0">
                  <c:v>PM10</c:v>
                </c:pt>
              </c:strCache>
            </c:strRef>
          </c:tx>
          <c:cat>
            <c:strRef>
              <c:f>Sheet1!$A$2</c:f>
              <c:strCache>
                <c:ptCount val="1"/>
                <c:pt idx="0">
                  <c:v>Producția de fier și oțel</c:v>
                </c:pt>
              </c:strCache>
            </c:strRef>
          </c:cat>
          <c:val>
            <c:numRef>
              <c:f>Sheet1!$C$2</c:f>
              <c:numCache>
                <c:formatCode>General</c:formatCode>
                <c:ptCount val="1"/>
                <c:pt idx="0">
                  <c:v>1.4E-2</c:v>
                </c:pt>
              </c:numCache>
            </c:numRef>
          </c:val>
        </c:ser>
        <c:shape val="cone"/>
        <c:axId val="136987392"/>
        <c:axId val="136988928"/>
        <c:axId val="154956224"/>
      </c:bar3DChart>
      <c:catAx>
        <c:axId val="136987392"/>
        <c:scaling>
          <c:orientation val="minMax"/>
        </c:scaling>
        <c:axPos val="b"/>
        <c:numFmt formatCode="General" sourceLinked="1"/>
        <c:majorTickMark val="none"/>
        <c:tickLblPos val="nextTo"/>
        <c:crossAx val="136988928"/>
        <c:crossesAt val="0"/>
        <c:auto val="1"/>
        <c:lblAlgn val="ctr"/>
        <c:lblOffset val="100"/>
      </c:catAx>
      <c:valAx>
        <c:axId val="136988928"/>
        <c:scaling>
          <c:orientation val="minMax"/>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5742105134054504"/>
              <c:y val="0.28765473567881744"/>
            </c:manualLayout>
          </c:layout>
        </c:title>
        <c:numFmt formatCode="General" sourceLinked="1"/>
        <c:majorTickMark val="none"/>
        <c:tickLblPos val="nextTo"/>
        <c:spPr>
          <a:noFill/>
        </c:spPr>
        <c:crossAx val="136987392"/>
        <c:crosses val="autoZero"/>
        <c:crossBetween val="between"/>
        <c:majorUnit val="2.0000000000000052E-3"/>
      </c:valAx>
      <c:serAx>
        <c:axId val="154956224"/>
        <c:scaling>
          <c:orientation val="minMax"/>
        </c:scaling>
        <c:delete val="1"/>
        <c:axPos val="b"/>
        <c:tickLblPos val="none"/>
        <c:crossAx val="136988928"/>
        <c:crossesAt val="0"/>
      </c:serAx>
    </c:plotArea>
    <c:legend>
      <c:legendPos val="r"/>
    </c:legend>
    <c:plotVisOnly val="1"/>
  </c:chart>
  <c:externalData r:id="rId1"/>
</c:chartSpace>
</file>

<file path=word/charts/chart24.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baseline="0">
                <a:latin typeface="Arial" pitchFamily="34" charset="0"/>
              </a:rPr>
              <a:t>Contribuția sectoarelor de activitate din industrie la emisiile de polu</a:t>
            </a:r>
            <a:r>
              <a:rPr lang="en-US" sz="1200" b="1" i="0" baseline="0">
                <a:latin typeface="Arial" pitchFamily="34" charset="0"/>
              </a:rPr>
              <a:t>a</a:t>
            </a:r>
            <a:r>
              <a:rPr lang="ro-RO" sz="1200" b="1" i="0" baseline="0">
                <a:latin typeface="Arial" pitchFamily="34" charset="0"/>
              </a:rPr>
              <a:t>nți organici peristenți</a:t>
            </a: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PCDD/PCDF</c:v>
                </c:pt>
              </c:strCache>
            </c:strRef>
          </c:tx>
          <c:cat>
            <c:strRef>
              <c:f>Sheet1!$A$2</c:f>
              <c:strCache>
                <c:ptCount val="1"/>
                <c:pt idx="0">
                  <c:v>Producția de fier și oțel</c:v>
                </c:pt>
              </c:strCache>
            </c:strRef>
          </c:cat>
          <c:val>
            <c:numRef>
              <c:f>Sheet1!$B$2</c:f>
              <c:numCache>
                <c:formatCode>General</c:formatCode>
                <c:ptCount val="1"/>
              </c:numCache>
            </c:numRef>
          </c:val>
        </c:ser>
        <c:ser>
          <c:idx val="1"/>
          <c:order val="1"/>
          <c:tx>
            <c:strRef>
              <c:f>Sheet1!$C$1</c:f>
              <c:strCache>
                <c:ptCount val="1"/>
                <c:pt idx="0">
                  <c:v>PAH</c:v>
                </c:pt>
              </c:strCache>
            </c:strRef>
          </c:tx>
          <c:cat>
            <c:strRef>
              <c:f>Sheet1!$A$2</c:f>
              <c:strCache>
                <c:ptCount val="1"/>
                <c:pt idx="0">
                  <c:v>Producția de fier și oțel</c:v>
                </c:pt>
              </c:strCache>
            </c:strRef>
          </c:cat>
          <c:val>
            <c:numRef>
              <c:f>Sheet1!$C$2</c:f>
              <c:numCache>
                <c:formatCode>General</c:formatCode>
                <c:ptCount val="1"/>
                <c:pt idx="0">
                  <c:v>3.82</c:v>
                </c:pt>
              </c:numCache>
            </c:numRef>
          </c:val>
        </c:ser>
        <c:ser>
          <c:idx val="2"/>
          <c:order val="2"/>
          <c:tx>
            <c:strRef>
              <c:f>Sheet1!$D$1</c:f>
              <c:strCache>
                <c:ptCount val="1"/>
                <c:pt idx="0">
                  <c:v>HCB</c:v>
                </c:pt>
              </c:strCache>
            </c:strRef>
          </c:tx>
          <c:cat>
            <c:strRef>
              <c:f>Sheet1!$A$2</c:f>
              <c:strCache>
                <c:ptCount val="1"/>
                <c:pt idx="0">
                  <c:v>Producția de fier și oțel</c:v>
                </c:pt>
              </c:strCache>
            </c:strRef>
          </c:cat>
          <c:val>
            <c:numRef>
              <c:f>Sheet1!$D$2</c:f>
              <c:numCache>
                <c:formatCode>General</c:formatCode>
                <c:ptCount val="1"/>
              </c:numCache>
            </c:numRef>
          </c:val>
        </c:ser>
        <c:ser>
          <c:idx val="3"/>
          <c:order val="3"/>
          <c:tx>
            <c:strRef>
              <c:f>Sheet1!$E$1</c:f>
              <c:strCache>
                <c:ptCount val="1"/>
                <c:pt idx="0">
                  <c:v>PCBs</c:v>
                </c:pt>
              </c:strCache>
            </c:strRef>
          </c:tx>
          <c:cat>
            <c:strRef>
              <c:f>Sheet1!$A$2</c:f>
              <c:strCache>
                <c:ptCount val="1"/>
                <c:pt idx="0">
                  <c:v>Producția de fier și oțel</c:v>
                </c:pt>
              </c:strCache>
            </c:strRef>
          </c:cat>
          <c:val>
            <c:numRef>
              <c:f>Sheet1!$E$2</c:f>
              <c:numCache>
                <c:formatCode>General</c:formatCode>
                <c:ptCount val="1"/>
                <c:pt idx="0">
                  <c:v>75.179999999999978</c:v>
                </c:pt>
              </c:numCache>
            </c:numRef>
          </c:val>
        </c:ser>
        <c:shape val="cone"/>
        <c:axId val="168057088"/>
        <c:axId val="168062976"/>
        <c:axId val="59812480"/>
      </c:bar3DChart>
      <c:catAx>
        <c:axId val="168057088"/>
        <c:scaling>
          <c:orientation val="minMax"/>
        </c:scaling>
        <c:axPos val="b"/>
        <c:numFmt formatCode="General" sourceLinked="1"/>
        <c:majorTickMark val="none"/>
        <c:tickLblPos val="nextTo"/>
        <c:crossAx val="168062976"/>
        <c:crossesAt val="0"/>
        <c:auto val="1"/>
        <c:lblAlgn val="ctr"/>
        <c:lblOffset val="100"/>
      </c:catAx>
      <c:valAx>
        <c:axId val="168062976"/>
        <c:scaling>
          <c:orientation val="minMax"/>
          <c:max val="100"/>
        </c:scaling>
        <c:axPos val="l"/>
        <c:majorGridlines/>
        <c:minorGridlines>
          <c:spPr>
            <a:ln>
              <a:solidFill>
                <a:schemeClr val="bg1"/>
              </a:solidFill>
            </a:ln>
          </c:spPr>
        </c:minorGridlines>
        <c:title>
          <c:tx>
            <c:rich>
              <a:bodyPr rot="0" vert="horz"/>
              <a:lstStyle/>
              <a:p>
                <a:pPr>
                  <a:defRPr/>
                </a:pPr>
                <a:r>
                  <a:rPr lang="ro-RO"/>
                  <a:t>%</a:t>
                </a:r>
              </a:p>
            </c:rich>
          </c:tx>
          <c:layout>
            <c:manualLayout>
              <c:xMode val="edge"/>
              <c:yMode val="edge"/>
              <c:x val="0.18981980523462624"/>
              <c:y val="0.26180062672221388"/>
            </c:manualLayout>
          </c:layout>
        </c:title>
        <c:numFmt formatCode="General" sourceLinked="1"/>
        <c:majorTickMark val="none"/>
        <c:tickLblPos val="nextTo"/>
        <c:spPr>
          <a:noFill/>
        </c:spPr>
        <c:crossAx val="168057088"/>
        <c:crosses val="autoZero"/>
        <c:crossBetween val="between"/>
        <c:majorUnit val="20"/>
        <c:minorUnit val="4.0000000000000114E-3"/>
      </c:valAx>
      <c:serAx>
        <c:axId val="59812480"/>
        <c:scaling>
          <c:orientation val="minMax"/>
        </c:scaling>
        <c:delete val="1"/>
        <c:axPos val="b"/>
        <c:tickLblPos val="none"/>
        <c:crossAx val="168062976"/>
        <c:crossesAt val="0"/>
      </c:serAx>
    </c:plotArea>
    <c:legend>
      <c:legendPos val="r"/>
    </c:legend>
    <c:plotVisOnly val="1"/>
  </c:chart>
  <c:externalData r:id="rId1"/>
</c:chartSpace>
</file>

<file path=word/charts/chart25.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sz="1200" baseline="0">
                <a:latin typeface="Arial" pitchFamily="34" charset="0"/>
              </a:defRPr>
            </a:pPr>
            <a:r>
              <a:rPr lang="ro-RO" sz="1200" baseline="0">
                <a:latin typeface="Arial" pitchFamily="34" charset="0"/>
                <a:cs typeface="Arial" pitchFamily="34" charset="0"/>
              </a:rPr>
              <a:t>Contribuția diverselor tipuri de vehicule la emisiile poluanților cu efect de acidifiere și eutrofizare </a:t>
            </a:r>
            <a:r>
              <a:rPr lang="ro-RO" sz="1200" baseline="0">
                <a:latin typeface="Arial" pitchFamily="34" charset="0"/>
              </a:rPr>
              <a:t> </a:t>
            </a:r>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35.340000000000003</c:v>
                </c:pt>
                <c:pt idx="1">
                  <c:v>10.71</c:v>
                </c:pt>
                <c:pt idx="2">
                  <c:v>53.93</c:v>
                </c:pt>
                <c:pt idx="3">
                  <c:v>1.4999999999999998E-2</c:v>
                </c:pt>
              </c:numCache>
            </c:numRef>
          </c:val>
        </c:ser>
        <c:ser>
          <c:idx val="1"/>
          <c:order val="1"/>
          <c:tx>
            <c:strRef>
              <c:f>Sheet1!$C$1</c:f>
              <c:strCache>
                <c:ptCount val="1"/>
                <c:pt idx="0">
                  <c:v>NH3</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90.36999999999999</c:v>
                </c:pt>
                <c:pt idx="1">
                  <c:v>5.9</c:v>
                </c:pt>
                <c:pt idx="2">
                  <c:v>3.72</c:v>
                </c:pt>
                <c:pt idx="3">
                  <c:v>1.4000000000000002E-2</c:v>
                </c:pt>
              </c:numCache>
            </c:numRef>
          </c:val>
        </c:ser>
        <c:shape val="cylinder"/>
        <c:axId val="75323648"/>
        <c:axId val="75325440"/>
        <c:axId val="221284096"/>
      </c:bar3DChart>
      <c:catAx>
        <c:axId val="75323648"/>
        <c:scaling>
          <c:orientation val="minMax"/>
        </c:scaling>
        <c:axPos val="b"/>
        <c:majorTickMark val="none"/>
        <c:tickLblPos val="nextTo"/>
        <c:crossAx val="75325440"/>
        <c:crosses val="autoZero"/>
        <c:auto val="1"/>
        <c:lblAlgn val="ctr"/>
        <c:lblOffset val="100"/>
      </c:catAx>
      <c:valAx>
        <c:axId val="75325440"/>
        <c:scaling>
          <c:orientation val="minMax"/>
        </c:scaling>
        <c:axPos val="l"/>
        <c:majorGridlines/>
        <c:title>
          <c:tx>
            <c:rich>
              <a:bodyPr rot="0" vert="horz"/>
              <a:lstStyle/>
              <a:p>
                <a:pPr>
                  <a:defRPr/>
                </a:pPr>
                <a:r>
                  <a:rPr lang="ro-RO"/>
                  <a:t>%</a:t>
                </a:r>
              </a:p>
            </c:rich>
          </c:tx>
          <c:layout>
            <c:manualLayout>
              <c:xMode val="edge"/>
              <c:yMode val="edge"/>
              <c:x val="9.619531735748317E-2"/>
              <c:y val="0.23958619534260434"/>
            </c:manualLayout>
          </c:layout>
        </c:title>
        <c:numFmt formatCode="General" sourceLinked="1"/>
        <c:majorTickMark val="none"/>
        <c:tickLblPos val="nextTo"/>
        <c:crossAx val="75323648"/>
        <c:crosses val="autoZero"/>
        <c:crossBetween val="between"/>
        <c:minorUnit val="25"/>
      </c:valAx>
      <c:serAx>
        <c:axId val="221284096"/>
        <c:scaling>
          <c:orientation val="minMax"/>
        </c:scaling>
        <c:delete val="1"/>
        <c:axPos val="b"/>
        <c:tickLblPos val="none"/>
        <c:crossAx val="75325440"/>
        <c:crosses val="autoZero"/>
      </c:serAx>
    </c:plotArea>
    <c:legend>
      <c:legendPos val="r"/>
    </c:legend>
    <c:plotVisOnly val="1"/>
  </c:chart>
  <c:externalData r:id="rId1"/>
</c:chartSpace>
</file>

<file path=word/charts/chart2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Contribuția tipurilor de vehicule la emisiile de poluanți atmosferici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35.340000000000003</c:v>
                </c:pt>
                <c:pt idx="1">
                  <c:v>10.71</c:v>
                </c:pt>
                <c:pt idx="2">
                  <c:v>53.93</c:v>
                </c:pt>
                <c:pt idx="3">
                  <c:v>1.4999999999999998E-2</c:v>
                </c:pt>
              </c:numCache>
            </c:numRef>
          </c:val>
        </c:ser>
        <c:ser>
          <c:idx val="1"/>
          <c:order val="1"/>
          <c:tx>
            <c:strRef>
              <c:f>Sheet1!$C$1</c:f>
              <c:strCache>
                <c:ptCount val="1"/>
                <c:pt idx="0">
                  <c:v>CO</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82.35</c:v>
                </c:pt>
                <c:pt idx="1">
                  <c:v>11.67</c:v>
                </c:pt>
                <c:pt idx="2">
                  <c:v>5.74</c:v>
                </c:pt>
                <c:pt idx="3">
                  <c:v>0.29000000000000031</c:v>
                </c:pt>
              </c:numCache>
            </c:numRef>
          </c:val>
        </c:ser>
        <c:ser>
          <c:idx val="2"/>
          <c:order val="2"/>
          <c:tx>
            <c:strRef>
              <c:f>Sheet1!$D$1</c:f>
              <c:strCache>
                <c:ptCount val="1"/>
                <c:pt idx="0">
                  <c:v>NMCOV</c:v>
                </c:pt>
              </c:strCache>
            </c:strRef>
          </c:tx>
          <c:cat>
            <c:strRef>
              <c:f>Sheet1!$A$2:$A$5</c:f>
              <c:strCache>
                <c:ptCount val="4"/>
                <c:pt idx="0">
                  <c:v>Transport pasageri</c:v>
                </c:pt>
                <c:pt idx="1">
                  <c:v>Vehicule usoare</c:v>
                </c:pt>
                <c:pt idx="2">
                  <c:v>Vehicule grele</c:v>
                </c:pt>
                <c:pt idx="3">
                  <c:v>Motorete si motociclete</c:v>
                </c:pt>
              </c:strCache>
            </c:strRef>
          </c:cat>
          <c:val>
            <c:numRef>
              <c:f>Sheet1!$D$2:$D$5</c:f>
              <c:numCache>
                <c:formatCode>General</c:formatCode>
                <c:ptCount val="4"/>
                <c:pt idx="0">
                  <c:v>78.16</c:v>
                </c:pt>
                <c:pt idx="1">
                  <c:v>10.08</c:v>
                </c:pt>
                <c:pt idx="2">
                  <c:v>11.18</c:v>
                </c:pt>
                <c:pt idx="3">
                  <c:v>1.4999999999999998E-2</c:v>
                </c:pt>
              </c:numCache>
            </c:numRef>
          </c:val>
        </c:ser>
        <c:shape val="cylinder"/>
        <c:axId val="221252608"/>
        <c:axId val="221278976"/>
        <c:axId val="221274560"/>
      </c:bar3DChart>
      <c:catAx>
        <c:axId val="221252608"/>
        <c:scaling>
          <c:orientation val="minMax"/>
        </c:scaling>
        <c:axPos val="b"/>
        <c:majorTickMark val="none"/>
        <c:tickLblPos val="nextTo"/>
        <c:crossAx val="221278976"/>
        <c:crosses val="autoZero"/>
        <c:auto val="1"/>
        <c:lblAlgn val="ctr"/>
        <c:lblOffset val="100"/>
      </c:catAx>
      <c:valAx>
        <c:axId val="221278976"/>
        <c:scaling>
          <c:orientation val="minMax"/>
        </c:scaling>
        <c:axPos val="l"/>
        <c:majorGridlines/>
        <c:title>
          <c:tx>
            <c:rich>
              <a:bodyPr rot="0" vert="horz"/>
              <a:lstStyle/>
              <a:p>
                <a:pPr>
                  <a:defRPr/>
                </a:pPr>
                <a:r>
                  <a:rPr lang="ro-RO"/>
                  <a:t>%</a:t>
                </a:r>
              </a:p>
            </c:rich>
          </c:tx>
          <c:layout>
            <c:manualLayout>
              <c:xMode val="edge"/>
              <c:yMode val="edge"/>
              <c:x val="9.3603489437238077E-2"/>
              <c:y val="0.22489557156419276"/>
            </c:manualLayout>
          </c:layout>
        </c:title>
        <c:numFmt formatCode="General" sourceLinked="1"/>
        <c:majorTickMark val="none"/>
        <c:tickLblPos val="nextTo"/>
        <c:crossAx val="221252608"/>
        <c:crosses val="autoZero"/>
        <c:crossBetween val="between"/>
        <c:minorUnit val="25"/>
      </c:valAx>
      <c:serAx>
        <c:axId val="221274560"/>
        <c:scaling>
          <c:orientation val="minMax"/>
        </c:scaling>
        <c:delete val="1"/>
        <c:axPos val="b"/>
        <c:tickLblPos val="none"/>
        <c:crossAx val="221278976"/>
        <c:crosses val="autoZero"/>
      </c:serAx>
    </c:plotArea>
    <c:legend>
      <c:legendPos val="r"/>
    </c:legend>
    <c:plotVisOnly val="1"/>
  </c:chart>
  <c:externalData r:id="rId1"/>
</c:chartSpace>
</file>

<file path=word/charts/chart2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Contribuții ale tipurilor de vehicule de transport la emisiile de particule primare în suspensie</a:t>
            </a:r>
            <a:endParaRPr lang="ro-RO" baseline="0"/>
          </a:p>
        </c:rich>
      </c:tx>
    </c:title>
    <c:view3D>
      <c:perspective val="30"/>
    </c:view3D>
    <c:plotArea>
      <c:layout/>
      <c:bar3DChart>
        <c:barDir val="col"/>
        <c:grouping val="standard"/>
        <c:ser>
          <c:idx val="0"/>
          <c:order val="0"/>
          <c:tx>
            <c:strRef>
              <c:f>Sheet1!$B$1</c:f>
              <c:strCache>
                <c:ptCount val="1"/>
                <c:pt idx="0">
                  <c:v>PM2,5</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43.59</c:v>
                </c:pt>
                <c:pt idx="1">
                  <c:v>21.59</c:v>
                </c:pt>
                <c:pt idx="2">
                  <c:v>34.730000000000011</c:v>
                </c:pt>
                <c:pt idx="3">
                  <c:v>9.0000000000000024E-2</c:v>
                </c:pt>
              </c:numCache>
            </c:numRef>
          </c:val>
        </c:ser>
        <c:ser>
          <c:idx val="1"/>
          <c:order val="1"/>
          <c:tx>
            <c:strRef>
              <c:f>Sheet1!$C$1</c:f>
              <c:strCache>
                <c:ptCount val="1"/>
                <c:pt idx="0">
                  <c:v>PM10</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44.28</c:v>
                </c:pt>
                <c:pt idx="1">
                  <c:v>20.74</c:v>
                </c:pt>
                <c:pt idx="2">
                  <c:v>34.9</c:v>
                </c:pt>
                <c:pt idx="3">
                  <c:v>8.0000000000000043E-2</c:v>
                </c:pt>
              </c:numCache>
            </c:numRef>
          </c:val>
        </c:ser>
        <c:shape val="cylinder"/>
        <c:axId val="75258880"/>
        <c:axId val="75309824"/>
        <c:axId val="221277248"/>
      </c:bar3DChart>
      <c:catAx>
        <c:axId val="75258880"/>
        <c:scaling>
          <c:orientation val="minMax"/>
        </c:scaling>
        <c:axPos val="b"/>
        <c:majorTickMark val="none"/>
        <c:tickLblPos val="nextTo"/>
        <c:crossAx val="75309824"/>
        <c:crosses val="autoZero"/>
        <c:auto val="1"/>
        <c:lblAlgn val="ctr"/>
        <c:lblOffset val="100"/>
      </c:catAx>
      <c:valAx>
        <c:axId val="75309824"/>
        <c:scaling>
          <c:orientation val="minMax"/>
        </c:scaling>
        <c:axPos val="l"/>
        <c:majorGridlines/>
        <c:title>
          <c:tx>
            <c:rich>
              <a:bodyPr rot="0" vert="horz"/>
              <a:lstStyle/>
              <a:p>
                <a:pPr>
                  <a:defRPr/>
                </a:pPr>
                <a:r>
                  <a:rPr lang="ro-RO"/>
                  <a:t>%</a:t>
                </a:r>
              </a:p>
            </c:rich>
          </c:tx>
          <c:layout>
            <c:manualLayout>
              <c:xMode val="edge"/>
              <c:yMode val="edge"/>
              <c:x val="9.9268034533658026E-2"/>
              <c:y val="0.1923920813089853"/>
            </c:manualLayout>
          </c:layout>
        </c:title>
        <c:numFmt formatCode="General" sourceLinked="1"/>
        <c:majorTickMark val="none"/>
        <c:tickLblPos val="nextTo"/>
        <c:crossAx val="75258880"/>
        <c:crosses val="autoZero"/>
        <c:crossBetween val="between"/>
        <c:minorUnit val="25"/>
      </c:valAx>
      <c:serAx>
        <c:axId val="221277248"/>
        <c:scaling>
          <c:orientation val="minMax"/>
        </c:scaling>
        <c:delete val="1"/>
        <c:axPos val="b"/>
        <c:tickLblPos val="none"/>
        <c:crossAx val="75309824"/>
        <c:crosses val="autoZero"/>
      </c:serAx>
    </c:plotArea>
    <c:legend>
      <c:legendPos val="r"/>
    </c:legend>
    <c:plotVisOnly val="1"/>
  </c:chart>
  <c:externalData r:id="rId1"/>
</c:chartSpace>
</file>

<file path=word/charts/chart2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Contribuția tipurilor de vehicule de transport la emisiile de metale grele</a:t>
            </a:r>
            <a:endParaRPr lang="ro-RO" baseline="0"/>
          </a:p>
        </c:rich>
      </c:tx>
    </c:title>
    <c:view3D>
      <c:perspective val="30"/>
    </c:view3D>
    <c:plotArea>
      <c:layout/>
      <c:bar3DChart>
        <c:barDir val="col"/>
        <c:grouping val="standard"/>
        <c:ser>
          <c:idx val="0"/>
          <c:order val="0"/>
          <c:tx>
            <c:strRef>
              <c:f>Sheet1!$B$1</c:f>
              <c:strCache>
                <c:ptCount val="1"/>
                <c:pt idx="0">
                  <c:v>Pb</c:v>
                </c:pt>
              </c:strCache>
            </c:strRef>
          </c:tx>
          <c:cat>
            <c:strRef>
              <c:f>Sheet1!$A$2:$A$5</c:f>
              <c:strCache>
                <c:ptCount val="4"/>
                <c:pt idx="0">
                  <c:v>Transport pasageri</c:v>
                </c:pt>
                <c:pt idx="1">
                  <c:v>Vehicule usoare</c:v>
                </c:pt>
                <c:pt idx="2">
                  <c:v>Vehicule grele</c:v>
                </c:pt>
                <c:pt idx="3">
                  <c:v>Motorete si motociclete</c:v>
                </c:pt>
              </c:strCache>
            </c:strRef>
          </c:cat>
          <c:val>
            <c:numRef>
              <c:f>Sheet1!$B$2:$B$5</c:f>
              <c:numCache>
                <c:formatCode>General</c:formatCode>
                <c:ptCount val="4"/>
                <c:pt idx="0">
                  <c:v>33.47</c:v>
                </c:pt>
                <c:pt idx="1">
                  <c:v>10.47</c:v>
                </c:pt>
                <c:pt idx="2">
                  <c:v>47.37</c:v>
                </c:pt>
                <c:pt idx="3">
                  <c:v>8.68</c:v>
                </c:pt>
              </c:numCache>
            </c:numRef>
          </c:val>
        </c:ser>
        <c:ser>
          <c:idx val="1"/>
          <c:order val="1"/>
          <c:tx>
            <c:strRef>
              <c:f>Sheet1!$C$1</c:f>
              <c:strCache>
                <c:ptCount val="1"/>
                <c:pt idx="0">
                  <c:v>Cd</c:v>
                </c:pt>
              </c:strCache>
            </c:strRef>
          </c:tx>
          <c:cat>
            <c:strRef>
              <c:f>Sheet1!$A$2:$A$5</c:f>
              <c:strCache>
                <c:ptCount val="4"/>
                <c:pt idx="0">
                  <c:v>Transport pasageri</c:v>
                </c:pt>
                <c:pt idx="1">
                  <c:v>Vehicule usoare</c:v>
                </c:pt>
                <c:pt idx="2">
                  <c:v>Vehicule grele</c:v>
                </c:pt>
                <c:pt idx="3">
                  <c:v>Motorete si motociclete</c:v>
                </c:pt>
              </c:strCache>
            </c:strRef>
          </c:cat>
          <c:val>
            <c:numRef>
              <c:f>Sheet1!$C$2:$C$5</c:f>
              <c:numCache>
                <c:formatCode>General</c:formatCode>
                <c:ptCount val="4"/>
                <c:pt idx="0">
                  <c:v>51.760000000000012</c:v>
                </c:pt>
                <c:pt idx="1">
                  <c:v>3.82</c:v>
                </c:pt>
                <c:pt idx="2">
                  <c:v>31.4</c:v>
                </c:pt>
                <c:pt idx="3">
                  <c:v>3.82</c:v>
                </c:pt>
              </c:numCache>
            </c:numRef>
          </c:val>
        </c:ser>
        <c:shape val="cylinder"/>
        <c:axId val="75283456"/>
        <c:axId val="82076416"/>
        <c:axId val="75285376"/>
      </c:bar3DChart>
      <c:catAx>
        <c:axId val="75283456"/>
        <c:scaling>
          <c:orientation val="minMax"/>
        </c:scaling>
        <c:axPos val="b"/>
        <c:majorTickMark val="none"/>
        <c:tickLblPos val="nextTo"/>
        <c:crossAx val="82076416"/>
        <c:crosses val="autoZero"/>
        <c:auto val="1"/>
        <c:lblAlgn val="ctr"/>
        <c:lblOffset val="100"/>
      </c:catAx>
      <c:valAx>
        <c:axId val="82076416"/>
        <c:scaling>
          <c:orientation val="minMax"/>
        </c:scaling>
        <c:axPos val="l"/>
        <c:majorGridlines/>
        <c:title>
          <c:tx>
            <c:rich>
              <a:bodyPr rot="0" vert="horz"/>
              <a:lstStyle/>
              <a:p>
                <a:pPr>
                  <a:defRPr/>
                </a:pPr>
                <a:r>
                  <a:rPr lang="ro-RO"/>
                  <a:t>%</a:t>
                </a:r>
              </a:p>
            </c:rich>
          </c:tx>
          <c:layout>
            <c:manualLayout>
              <c:xMode val="edge"/>
              <c:yMode val="edge"/>
              <c:x val="9.0023114199332704E-2"/>
              <c:y val="0.19061400569609654"/>
            </c:manualLayout>
          </c:layout>
        </c:title>
        <c:numFmt formatCode="General" sourceLinked="1"/>
        <c:majorTickMark val="none"/>
        <c:tickLblPos val="nextTo"/>
        <c:crossAx val="75283456"/>
        <c:crosses val="autoZero"/>
        <c:crossBetween val="between"/>
        <c:minorUnit val="25"/>
      </c:valAx>
      <c:serAx>
        <c:axId val="75285376"/>
        <c:scaling>
          <c:orientation val="minMax"/>
        </c:scaling>
        <c:delete val="1"/>
        <c:axPos val="b"/>
        <c:tickLblPos val="none"/>
        <c:crossAx val="82076416"/>
        <c:crosses val="autoZero"/>
      </c:serAx>
    </c:plotArea>
    <c:legend>
      <c:legendPos val="r"/>
    </c:legend>
    <c:plotVisOnly val="1"/>
  </c:chart>
  <c:externalData r:id="rId1"/>
</c:chartSpace>
</file>

<file path=word/charts/chart29.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Contribuții ale sectoarelor de activitate din agricultură la emisiile de poluanți cu efect de acidifiere </a:t>
            </a:r>
          </a:p>
        </c:rich>
      </c:tx>
    </c:title>
    <c:view3D>
      <c:perspective val="30"/>
    </c:view3D>
    <c:plotArea>
      <c:layout>
        <c:manualLayout>
          <c:layoutTarget val="inner"/>
          <c:xMode val="edge"/>
          <c:yMode val="edge"/>
          <c:x val="0.12926448795670506"/>
          <c:y val="0.14491274012160846"/>
          <c:w val="0.72739739390983205"/>
          <c:h val="0.62038467287261079"/>
        </c:manualLayout>
      </c:layout>
      <c:bar3DChart>
        <c:barDir val="col"/>
        <c:grouping val="standard"/>
        <c:ser>
          <c:idx val="0"/>
          <c:order val="0"/>
          <c:tx>
            <c:strRef>
              <c:f>Sheet1!$B$1</c:f>
              <c:strCache>
                <c:ptCount val="1"/>
                <c:pt idx="0">
                  <c:v>Nox</c:v>
                </c:pt>
              </c:strCache>
            </c:strRef>
          </c:tx>
          <c:cat>
            <c:strRef>
              <c:f>Sheet1!$A$2:$A$5</c:f>
              <c:strCache>
                <c:ptCount val="4"/>
                <c:pt idx="0">
                  <c:v>Bovine</c:v>
                </c:pt>
                <c:pt idx="1">
                  <c:v>Ovine</c:v>
                </c:pt>
                <c:pt idx="2">
                  <c:v>Porcine</c:v>
                </c:pt>
                <c:pt idx="3">
                  <c:v>Găini ouatoare</c:v>
                </c:pt>
              </c:strCache>
            </c:strRef>
          </c:cat>
          <c:val>
            <c:numRef>
              <c:f>Sheet1!$B$2:$B$5</c:f>
              <c:numCache>
                <c:formatCode>General</c:formatCode>
                <c:ptCount val="4"/>
                <c:pt idx="0">
                  <c:v>0</c:v>
                </c:pt>
                <c:pt idx="1">
                  <c:v>0</c:v>
                </c:pt>
                <c:pt idx="2">
                  <c:v>0</c:v>
                </c:pt>
                <c:pt idx="3">
                  <c:v>0</c:v>
                </c:pt>
              </c:numCache>
            </c:numRef>
          </c:val>
        </c:ser>
        <c:ser>
          <c:idx val="1"/>
          <c:order val="1"/>
          <c:tx>
            <c:strRef>
              <c:f>Sheet1!$C$1</c:f>
              <c:strCache>
                <c:ptCount val="1"/>
                <c:pt idx="0">
                  <c:v>NH3</c:v>
                </c:pt>
              </c:strCache>
            </c:strRef>
          </c:tx>
          <c:cat>
            <c:strRef>
              <c:f>Sheet1!$A$2:$A$5</c:f>
              <c:strCache>
                <c:ptCount val="4"/>
                <c:pt idx="0">
                  <c:v>Bovine</c:v>
                </c:pt>
                <c:pt idx="1">
                  <c:v>Ovine</c:v>
                </c:pt>
                <c:pt idx="2">
                  <c:v>Porcine</c:v>
                </c:pt>
                <c:pt idx="3">
                  <c:v>Găini ouatoare</c:v>
                </c:pt>
              </c:strCache>
            </c:strRef>
          </c:cat>
          <c:val>
            <c:numRef>
              <c:f>Sheet1!$C$2:$C$5</c:f>
              <c:numCache>
                <c:formatCode>General</c:formatCode>
                <c:ptCount val="4"/>
                <c:pt idx="0">
                  <c:v>7.7</c:v>
                </c:pt>
                <c:pt idx="1">
                  <c:v>7.0229999999999855</c:v>
                </c:pt>
                <c:pt idx="2">
                  <c:v>54.760000000000012</c:v>
                </c:pt>
                <c:pt idx="3">
                  <c:v>9.84</c:v>
                </c:pt>
              </c:numCache>
            </c:numRef>
          </c:val>
        </c:ser>
        <c:shape val="cone"/>
        <c:axId val="81992704"/>
        <c:axId val="81994496"/>
        <c:axId val="75287616"/>
      </c:bar3DChart>
      <c:catAx>
        <c:axId val="81992704"/>
        <c:scaling>
          <c:orientation val="minMax"/>
        </c:scaling>
        <c:axPos val="b"/>
        <c:numFmt formatCode="General" sourceLinked="1"/>
        <c:majorTickMark val="none"/>
        <c:tickLblPos val="nextTo"/>
        <c:crossAx val="81994496"/>
        <c:crossesAt val="0"/>
        <c:auto val="1"/>
        <c:lblAlgn val="ctr"/>
        <c:lblOffset val="100"/>
      </c:catAx>
      <c:valAx>
        <c:axId val="81994496"/>
        <c:scaling>
          <c:orientation val="minMax"/>
          <c:max val="100"/>
        </c:scaling>
        <c:axPos val="l"/>
        <c:title>
          <c:tx>
            <c:rich>
              <a:bodyPr rot="0" vert="horz"/>
              <a:lstStyle/>
              <a:p>
                <a:pPr>
                  <a:defRPr/>
                </a:pPr>
                <a:r>
                  <a:rPr lang="ro-RO"/>
                  <a:t>%</a:t>
                </a:r>
              </a:p>
            </c:rich>
          </c:tx>
          <c:layout>
            <c:manualLayout>
              <c:xMode val="edge"/>
              <c:yMode val="edge"/>
              <c:x val="9.2116228834227584E-2"/>
              <c:y val="0.18768783742578873"/>
            </c:manualLayout>
          </c:layout>
        </c:title>
        <c:numFmt formatCode="General" sourceLinked="1"/>
        <c:majorTickMark val="none"/>
        <c:tickLblPos val="nextTo"/>
        <c:crossAx val="81992704"/>
        <c:crosses val="autoZero"/>
        <c:crossBetween val="between"/>
        <c:majorUnit val="20"/>
        <c:minorUnit val="0.2"/>
      </c:valAx>
      <c:serAx>
        <c:axId val="75287616"/>
        <c:scaling>
          <c:orientation val="minMax"/>
        </c:scaling>
        <c:delete val="1"/>
        <c:axPos val="b"/>
        <c:tickLblPos val="none"/>
        <c:crossAx val="81994496"/>
        <c:crossesAt val="0"/>
      </c:serAx>
    </c:plotArea>
    <c:legend>
      <c:legendPos val="r"/>
    </c:legend>
    <c:plotVisOnly val="1"/>
  </c:chart>
  <c:externalData r:id="rId1"/>
</c:chartSpace>
</file>

<file path=word/charts/chart3.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068965517241392"/>
          <c:y val="4.8913043478260865E-2"/>
          <c:w val="0.61877394636016114"/>
          <c:h val="0.72282608695652173"/>
        </c:manualLayout>
      </c:layout>
      <c:bar3DChart>
        <c:barDir val="col"/>
        <c:grouping val="clustered"/>
        <c:ser>
          <c:idx val="6"/>
          <c:order val="0"/>
          <c:tx>
            <c:strRef>
              <c:f>Sheet1!$A$8</c:f>
              <c:strCache>
                <c:ptCount val="1"/>
                <c:pt idx="0">
                  <c:v>Medii anuale2014</c:v>
                </c:pt>
              </c:strCache>
            </c:strRef>
          </c:tx>
          <c:cat>
            <c:strRef>
              <c:f>Sheet1!$B$1:$E$1</c:f>
              <c:strCache>
                <c:ptCount val="4"/>
                <c:pt idx="0">
                  <c:v>Br2</c:v>
                </c:pt>
                <c:pt idx="1">
                  <c:v>Br3</c:v>
                </c:pt>
                <c:pt idx="2">
                  <c:v>Br4</c:v>
                </c:pt>
                <c:pt idx="3">
                  <c:v>Br5</c:v>
                </c:pt>
              </c:strCache>
            </c:strRef>
          </c:cat>
          <c:val>
            <c:numRef>
              <c:f>Sheet1!$B$8:$E$8</c:f>
              <c:numCache>
                <c:formatCode>General</c:formatCode>
                <c:ptCount val="4"/>
                <c:pt idx="0">
                  <c:v>23.02</c:v>
                </c:pt>
                <c:pt idx="2">
                  <c:v>29.23</c:v>
                </c:pt>
                <c:pt idx="3">
                  <c:v>67.239999999999995</c:v>
                </c:pt>
              </c:numCache>
            </c:numRef>
          </c:val>
        </c:ser>
        <c:gapWidth val="340"/>
        <c:gapDepth val="0"/>
        <c:shape val="box"/>
        <c:axId val="203181440"/>
        <c:axId val="222729344"/>
        <c:axId val="0"/>
      </c:bar3DChart>
      <c:catAx>
        <c:axId val="203181440"/>
        <c:scaling>
          <c:orientation val="minMax"/>
        </c:scaling>
        <c:axPos val="b"/>
        <c:numFmt formatCode="General" sourceLinked="1"/>
        <c:tickLblPos val="low"/>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2729344"/>
        <c:crosses val="autoZero"/>
        <c:auto val="1"/>
        <c:lblAlgn val="ctr"/>
        <c:lblOffset val="100"/>
        <c:tickLblSkip val="1"/>
        <c:tickMarkSkip val="1"/>
      </c:catAx>
      <c:valAx>
        <c:axId val="222729344"/>
        <c:scaling>
          <c:orientation val="minMax"/>
        </c:scaling>
        <c:axPos val="l"/>
        <c:majorGridlines>
          <c:spPr>
            <a:ln w="3175">
              <a:solidFill>
                <a:srgbClr val="000000"/>
              </a:solidFill>
              <a:prstDash val="solid"/>
            </a:ln>
          </c:spPr>
        </c:majorGridlines>
        <c:title>
          <c:tx>
            <c:rich>
              <a:bodyPr/>
              <a:lstStyle/>
              <a:p>
                <a:pPr>
                  <a:defRPr sz="950"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4.7892720306514397E-2"/>
              <c:y val="0.13586956521739141"/>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03181440"/>
        <c:crosses val="autoZero"/>
        <c:crossBetween val="between"/>
      </c:valAx>
      <c:spPr>
        <a:noFill/>
        <a:ln w="25399">
          <a:noFill/>
        </a:ln>
      </c:spPr>
    </c:plotArea>
    <c:legend>
      <c:legendPos val="r"/>
      <c:layout>
        <c:manualLayout>
          <c:xMode val="edge"/>
          <c:yMode val="edge"/>
          <c:x val="0.74608943618890489"/>
          <c:y val="0.38073382579755005"/>
          <c:w val="0.21167406705740729"/>
          <c:h val="0.12298292610330921"/>
        </c:manualLayout>
      </c:layout>
      <c:spPr>
        <a:solidFill>
          <a:srgbClr val="FFFFFF"/>
        </a:solidFill>
        <a:ln w="3175">
          <a:solidFill>
            <a:srgbClr val="000000"/>
          </a:solidFill>
          <a:prstDash val="solid"/>
        </a:ln>
      </c:spPr>
      <c:txPr>
        <a:bodyPr/>
        <a:lstStyle/>
        <a:p>
          <a:pPr>
            <a:defRPr sz="82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800" b="1" i="0" u="none" strike="noStrike" baseline="0">
          <a:solidFill>
            <a:srgbClr val="000000"/>
          </a:solidFill>
          <a:latin typeface="Arial"/>
          <a:ea typeface="Arial"/>
          <a:cs typeface="Arial"/>
        </a:defRPr>
      </a:pPr>
      <a:endParaRPr lang="ro-RO"/>
    </a:p>
  </c:txPr>
  <c:externalData r:id="rId1"/>
</c:chartSpace>
</file>

<file path=word/charts/chart30.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0.7430000000000031</c:v>
                </c:pt>
                <c:pt idx="1">
                  <c:v>4.3539999999999965</c:v>
                </c:pt>
                <c:pt idx="2">
                  <c:v>2.356059999999975</c:v>
                </c:pt>
                <c:pt idx="3">
                  <c:v>1.2912899999999998</c:v>
                </c:pt>
                <c:pt idx="4">
                  <c:v>1.58</c:v>
                </c:pt>
              </c:numCache>
            </c:numRef>
          </c:val>
        </c:ser>
        <c:ser>
          <c:idx val="1"/>
          <c:order val="1"/>
          <c:tx>
            <c:strRef>
              <c:f>Sheet1!$C$1</c:f>
              <c:strCache>
                <c:ptCount val="1"/>
                <c:pt idx="0">
                  <c:v>SO2</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0.28000000000000008</c:v>
                </c:pt>
                <c:pt idx="1">
                  <c:v>0.31500000000000156</c:v>
                </c:pt>
                <c:pt idx="2">
                  <c:v>0.13172</c:v>
                </c:pt>
                <c:pt idx="3">
                  <c:v>4.0000000000000114E-3</c:v>
                </c:pt>
                <c:pt idx="4">
                  <c:v>2.5999999999999999E-3</c:v>
                </c:pt>
              </c:numCache>
            </c:numRef>
          </c:val>
        </c:ser>
        <c:ser>
          <c:idx val="2"/>
          <c:order val="2"/>
          <c:tx>
            <c:strRef>
              <c:f>Sheet1!$D$1</c:f>
              <c:strCache>
                <c:ptCount val="1"/>
                <c:pt idx="0">
                  <c:v>NH3</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2.0000000000000052E-3</c:v>
                </c:pt>
                <c:pt idx="1">
                  <c:v>7.2751000000000001</c:v>
                </c:pt>
                <c:pt idx="2">
                  <c:v>8.2520000000000007</c:v>
                </c:pt>
                <c:pt idx="3">
                  <c:v>6.02224</c:v>
                </c:pt>
                <c:pt idx="4">
                  <c:v>7.1099999999999985</c:v>
                </c:pt>
              </c:numCache>
            </c:numRef>
          </c:val>
        </c:ser>
        <c:shape val="cone"/>
        <c:axId val="82112512"/>
        <c:axId val="82114048"/>
        <c:axId val="75285824"/>
      </c:bar3DChart>
      <c:catAx>
        <c:axId val="82112512"/>
        <c:scaling>
          <c:orientation val="minMax"/>
        </c:scaling>
        <c:axPos val="b"/>
        <c:numFmt formatCode="General" sourceLinked="1"/>
        <c:majorTickMark val="none"/>
        <c:tickLblPos val="nextTo"/>
        <c:crossAx val="82114048"/>
        <c:crossesAt val="0"/>
        <c:auto val="1"/>
        <c:lblAlgn val="ctr"/>
        <c:lblOffset val="100"/>
      </c:catAx>
      <c:valAx>
        <c:axId val="82114048"/>
        <c:scaling>
          <c:orientation val="minMax"/>
        </c:scaling>
        <c:axPos val="l"/>
        <c:title>
          <c:tx>
            <c:rich>
              <a:bodyPr rot="0" vert="horz"/>
              <a:lstStyle/>
              <a:p>
                <a:pPr>
                  <a:defRPr/>
                </a:pPr>
                <a:r>
                  <a:rPr lang="ro-RO"/>
                  <a:t>Gg</a:t>
                </a:r>
              </a:p>
            </c:rich>
          </c:tx>
          <c:layout>
            <c:manualLayout>
              <c:xMode val="edge"/>
              <c:yMode val="edge"/>
              <c:x val="9.0131331714376844E-2"/>
              <c:y val="0.20270552053569491"/>
            </c:manualLayout>
          </c:layout>
        </c:title>
        <c:numFmt formatCode="General" sourceLinked="1"/>
        <c:majorTickMark val="none"/>
        <c:tickLblPos val="nextTo"/>
        <c:crossAx val="82112512"/>
        <c:crosses val="autoZero"/>
        <c:crossBetween val="between"/>
        <c:majorUnit val="2"/>
        <c:minorUnit val="0.2"/>
      </c:valAx>
      <c:serAx>
        <c:axId val="75285824"/>
        <c:scaling>
          <c:orientation val="minMax"/>
        </c:scaling>
        <c:delete val="1"/>
        <c:axPos val="b"/>
        <c:tickLblPos val="none"/>
        <c:crossAx val="82114048"/>
        <c:crossesAt val="0"/>
      </c:serAx>
    </c:plotArea>
    <c:legend>
      <c:legendPos val="r"/>
    </c:legend>
    <c:plotVisOnly val="1"/>
  </c:chart>
  <c:externalData r:id="rId1"/>
</c:chartSpace>
</file>

<file path=word/charts/chart31.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energie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0.39500000000000246</c:v>
                </c:pt>
                <c:pt idx="1">
                  <c:v>0.57199999999999995</c:v>
                </c:pt>
                <c:pt idx="2">
                  <c:v>0.17200000000000001</c:v>
                </c:pt>
                <c:pt idx="3">
                  <c:v>2.8000000000000001E-2</c:v>
                </c:pt>
                <c:pt idx="4">
                  <c:v>0</c:v>
                </c:pt>
              </c:numCache>
            </c:numRef>
          </c:val>
        </c:ser>
        <c:ser>
          <c:idx val="1"/>
          <c:order val="1"/>
          <c:tx>
            <c:strRef>
              <c:f>Sheet1!$C$1</c:f>
              <c:strCache>
                <c:ptCount val="1"/>
                <c:pt idx="0">
                  <c:v>SO2</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0.27300000000000002</c:v>
                </c:pt>
                <c:pt idx="1">
                  <c:v>0.29400000000000032</c:v>
                </c:pt>
                <c:pt idx="2">
                  <c:v>0.126</c:v>
                </c:pt>
                <c:pt idx="3">
                  <c:v>9.0000000000000247E-4</c:v>
                </c:pt>
                <c:pt idx="4">
                  <c:v>0</c:v>
                </c:pt>
              </c:numCache>
            </c:numRef>
          </c:val>
        </c:ser>
        <c:ser>
          <c:idx val="2"/>
          <c:order val="2"/>
          <c:tx>
            <c:strRef>
              <c:f>Sheet1!$D$1</c:f>
              <c:strCache>
                <c:ptCount val="1"/>
                <c:pt idx="0">
                  <c:v>NH3</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2.3000000000000269E-7</c:v>
                </c:pt>
                <c:pt idx="1">
                  <c:v>1.200000000000018E-8</c:v>
                </c:pt>
                <c:pt idx="2">
                  <c:v>2.000000000000024E-6</c:v>
                </c:pt>
                <c:pt idx="3">
                  <c:v>0</c:v>
                </c:pt>
                <c:pt idx="4">
                  <c:v>0</c:v>
                </c:pt>
              </c:numCache>
            </c:numRef>
          </c:val>
        </c:ser>
        <c:shape val="cone"/>
        <c:axId val="82191104"/>
        <c:axId val="82192640"/>
        <c:axId val="82174400"/>
      </c:bar3DChart>
      <c:catAx>
        <c:axId val="82191104"/>
        <c:scaling>
          <c:orientation val="minMax"/>
        </c:scaling>
        <c:axPos val="b"/>
        <c:numFmt formatCode="General" sourceLinked="1"/>
        <c:majorTickMark val="none"/>
        <c:tickLblPos val="nextTo"/>
        <c:crossAx val="82192640"/>
        <c:crossesAt val="0"/>
        <c:auto val="1"/>
        <c:lblAlgn val="ctr"/>
        <c:lblOffset val="100"/>
      </c:catAx>
      <c:valAx>
        <c:axId val="82192640"/>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8.5146908038364347E-2"/>
              <c:y val="0.1990120763990374"/>
            </c:manualLayout>
          </c:layout>
        </c:title>
        <c:numFmt formatCode="General" sourceLinked="1"/>
        <c:majorTickMark val="none"/>
        <c:tickLblPos val="nextTo"/>
        <c:crossAx val="82191104"/>
        <c:crosses val="autoZero"/>
        <c:crossBetween val="between"/>
        <c:majorUnit val="0.2"/>
      </c:valAx>
      <c:serAx>
        <c:axId val="82174400"/>
        <c:scaling>
          <c:orientation val="minMax"/>
        </c:scaling>
        <c:delete val="1"/>
        <c:axPos val="b"/>
        <c:tickLblPos val="none"/>
        <c:crossAx val="82192640"/>
        <c:crossesAt val="0"/>
      </c:serAx>
    </c:plotArea>
    <c:legend>
      <c:legendPos val="r"/>
    </c:legend>
    <c:plotVisOnly val="1"/>
  </c:chart>
  <c:externalData r:id="rId1"/>
</c:chartSpace>
</file>

<file path=word/charts/chart32.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industrie</a:t>
            </a:r>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8.3800000000000208E-2</c:v>
                </c:pt>
                <c:pt idx="1">
                  <c:v>6.4000000000000112E-2</c:v>
                </c:pt>
                <c:pt idx="2">
                  <c:v>1.3500000000000088E-2</c:v>
                </c:pt>
                <c:pt idx="3">
                  <c:v>1.4600000000000005E-2</c:v>
                </c:pt>
                <c:pt idx="4">
                  <c:v>5.9000000000000441E-3</c:v>
                </c:pt>
              </c:numCache>
            </c:numRef>
          </c:val>
        </c:ser>
        <c:ser>
          <c:idx val="1"/>
          <c:order val="1"/>
          <c:tx>
            <c:strRef>
              <c:f>Sheet1!$C$1</c:f>
              <c:strCache>
                <c:ptCount val="1"/>
                <c:pt idx="0">
                  <c:v>SO2</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4.7000000000000123E-3</c:v>
                </c:pt>
                <c:pt idx="1">
                  <c:v>7.9000000000000615E-3</c:v>
                </c:pt>
                <c:pt idx="2">
                  <c:v>6.6000000000000184E-4</c:v>
                </c:pt>
                <c:pt idx="3">
                  <c:v>2.1350000000000002E-3</c:v>
                </c:pt>
                <c:pt idx="4">
                  <c:v>9.0000000000000247E-4</c:v>
                </c:pt>
              </c:numCache>
            </c:numRef>
          </c:val>
        </c:ser>
        <c:ser>
          <c:idx val="2"/>
          <c:order val="2"/>
          <c:tx>
            <c:strRef>
              <c:f>Sheet1!$D$1</c:f>
              <c:strCache>
                <c:ptCount val="1"/>
                <c:pt idx="0">
                  <c:v>NH3</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1.1999999999999999E-3</c:v>
                </c:pt>
                <c:pt idx="1">
                  <c:v>1.2999999999999978E-3</c:v>
                </c:pt>
                <c:pt idx="2">
                  <c:v>5.5300000000000477E-4</c:v>
                </c:pt>
                <c:pt idx="3">
                  <c:v>6.5000000000000507E-4</c:v>
                </c:pt>
                <c:pt idx="4">
                  <c:v>3.2000000000000344E-4</c:v>
                </c:pt>
              </c:numCache>
            </c:numRef>
          </c:val>
        </c:ser>
        <c:shape val="cone"/>
        <c:axId val="82220544"/>
        <c:axId val="82222080"/>
        <c:axId val="82177088"/>
      </c:bar3DChart>
      <c:catAx>
        <c:axId val="82220544"/>
        <c:scaling>
          <c:orientation val="minMax"/>
        </c:scaling>
        <c:axPos val="b"/>
        <c:numFmt formatCode="General" sourceLinked="1"/>
        <c:majorTickMark val="none"/>
        <c:tickLblPos val="nextTo"/>
        <c:crossAx val="82222080"/>
        <c:crossesAt val="0"/>
        <c:auto val="1"/>
        <c:lblAlgn val="ctr"/>
        <c:lblOffset val="100"/>
      </c:catAx>
      <c:valAx>
        <c:axId val="82222080"/>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2253012677212829"/>
              <c:y val="0.20270564583682574"/>
            </c:manualLayout>
          </c:layout>
        </c:title>
        <c:numFmt formatCode="General" sourceLinked="1"/>
        <c:majorTickMark val="none"/>
        <c:tickLblPos val="nextTo"/>
        <c:crossAx val="82220544"/>
        <c:crosses val="autoZero"/>
        <c:crossBetween val="between"/>
        <c:majorUnit val="2.0000000000000011E-2"/>
      </c:valAx>
      <c:serAx>
        <c:axId val="82177088"/>
        <c:scaling>
          <c:orientation val="minMax"/>
        </c:scaling>
        <c:delete val="1"/>
        <c:axPos val="b"/>
        <c:tickLblPos val="none"/>
        <c:crossAx val="82222080"/>
        <c:crossesAt val="0"/>
      </c:serAx>
    </c:plotArea>
    <c:legend>
      <c:legendPos val="r"/>
    </c:legend>
    <c:plotVisOnly val="1"/>
  </c:chart>
  <c:externalData r:id="rId1"/>
</c:chartSpace>
</file>

<file path=word/charts/chart33.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transport</a:t>
            </a:r>
          </a:p>
        </c:rich>
      </c:tx>
    </c:title>
    <c:view3D>
      <c:perspective val="30"/>
    </c:view3D>
    <c:plotArea>
      <c:layout>
        <c:manualLayout>
          <c:layoutTarget val="inner"/>
          <c:xMode val="edge"/>
          <c:yMode val="edge"/>
          <c:x val="0.12674259813464275"/>
          <c:y val="0.15634231247410063"/>
          <c:w val="0.7459768912649809"/>
          <c:h val="0.74172206105815763"/>
        </c:manualLayout>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1.758</c:v>
                </c:pt>
                <c:pt idx="1">
                  <c:v>1.8360000000000001</c:v>
                </c:pt>
                <c:pt idx="2">
                  <c:v>1.9100000000000001</c:v>
                </c:pt>
                <c:pt idx="3">
                  <c:v>1.1240000000000001</c:v>
                </c:pt>
                <c:pt idx="4">
                  <c:v>0.97800000000000065</c:v>
                </c:pt>
              </c:numCache>
            </c:numRef>
          </c:val>
        </c:ser>
        <c:ser>
          <c:idx val="1"/>
          <c:order val="1"/>
          <c:tx>
            <c:strRef>
              <c:f>Sheet1!$C$1</c:f>
              <c:strCache>
                <c:ptCount val="1"/>
                <c:pt idx="0">
                  <c:v>NH3</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1.0999999999999998E-2</c:v>
                </c:pt>
                <c:pt idx="1">
                  <c:v>1.0999999999999998E-2</c:v>
                </c:pt>
                <c:pt idx="2">
                  <c:v>1.8499999999999999E-2</c:v>
                </c:pt>
                <c:pt idx="3">
                  <c:v>9.0000000000000028E-3</c:v>
                </c:pt>
                <c:pt idx="4">
                  <c:v>9.3000000000000548E-3</c:v>
                </c:pt>
              </c:numCache>
            </c:numRef>
          </c:val>
        </c:ser>
        <c:shape val="cone"/>
        <c:axId val="82019840"/>
        <c:axId val="82021376"/>
        <c:axId val="82224448"/>
      </c:bar3DChart>
      <c:catAx>
        <c:axId val="82019840"/>
        <c:scaling>
          <c:orientation val="minMax"/>
        </c:scaling>
        <c:axPos val="b"/>
        <c:numFmt formatCode="General" sourceLinked="1"/>
        <c:majorTickMark val="none"/>
        <c:tickLblPos val="nextTo"/>
        <c:crossAx val="82021376"/>
        <c:crossesAt val="0"/>
        <c:auto val="1"/>
        <c:lblAlgn val="ctr"/>
        <c:lblOffset val="100"/>
      </c:catAx>
      <c:valAx>
        <c:axId val="82021376"/>
        <c:scaling>
          <c:orientation val="minMax"/>
        </c:scaling>
        <c:axPos val="l"/>
        <c:majorGridlines/>
        <c:title>
          <c:tx>
            <c:rich>
              <a:bodyPr rot="0" vert="horz"/>
              <a:lstStyle/>
              <a:p>
                <a:pPr>
                  <a:defRPr/>
                </a:pPr>
                <a:r>
                  <a:rPr lang="ro-RO"/>
                  <a:t>Gg</a:t>
                </a:r>
              </a:p>
            </c:rich>
          </c:tx>
          <c:layout>
            <c:manualLayout>
              <c:xMode val="edge"/>
              <c:yMode val="edge"/>
              <c:x val="0.12253012677212829"/>
              <c:y val="0.20270564583682582"/>
            </c:manualLayout>
          </c:layout>
        </c:title>
        <c:numFmt formatCode="General" sourceLinked="1"/>
        <c:majorTickMark val="none"/>
        <c:tickLblPos val="nextTo"/>
        <c:crossAx val="82019840"/>
        <c:crosses val="autoZero"/>
        <c:crossBetween val="between"/>
        <c:majorUnit val="1"/>
      </c:valAx>
      <c:serAx>
        <c:axId val="82224448"/>
        <c:scaling>
          <c:orientation val="minMax"/>
        </c:scaling>
        <c:delete val="1"/>
        <c:axPos val="b"/>
        <c:tickLblPos val="none"/>
        <c:crossAx val="82021376"/>
        <c:crossesAt val="0"/>
      </c:serAx>
    </c:plotArea>
    <c:legend>
      <c:legendPos val="r"/>
    </c:legend>
    <c:plotVisOnly val="1"/>
  </c:chart>
  <c:externalData r:id="rId1"/>
</c:chartSpace>
</file>

<file path=word/charts/chart34.xml><?xml version="1.0" encoding="utf-8"?>
<c:chartSpace xmlns:c="http://schemas.openxmlformats.org/drawingml/2006/chart" xmlns:a="http://schemas.openxmlformats.org/drawingml/2006/main" xmlns:r="http://schemas.openxmlformats.org/officeDocument/2006/relationships">
  <c:date1904 val="1"/>
  <c:lang val="ro-RO"/>
  <c:style val="31"/>
  <c:chart>
    <c:title>
      <c:tx>
        <c:rich>
          <a:bodyPr/>
          <a:lstStyle/>
          <a:p>
            <a:pPr>
              <a:defRPr sz="1200" baseline="0">
                <a:latin typeface="Arial" pitchFamily="34" charset="0"/>
              </a:defRPr>
            </a:pPr>
            <a:r>
              <a:rPr lang="ro-RO" sz="1200" baseline="0">
                <a:latin typeface="Arial" pitchFamily="34" charset="0"/>
              </a:rPr>
              <a:t>Tendința emisiilor de poluanți cu efect de acidifiere și eutrofizare din sectorul de activitate agricultură</a:t>
            </a:r>
          </a:p>
          <a:p>
            <a:pPr>
              <a:defRPr sz="1200" baseline="0">
                <a:latin typeface="Arial" pitchFamily="34" charset="0"/>
              </a:defRPr>
            </a:pPr>
            <a:endParaRPr lang="ro-RO" sz="1200" baseline="0">
              <a:latin typeface="Arial" pitchFamily="34" charset="0"/>
            </a:endParaRPr>
          </a:p>
        </c:rich>
      </c:tx>
    </c:title>
    <c:view3D>
      <c:perspective val="30"/>
    </c:view3D>
    <c:plotArea>
      <c:layout/>
      <c:bar3DChart>
        <c:barDir val="col"/>
        <c:grouping val="standard"/>
        <c:ser>
          <c:idx val="0"/>
          <c:order val="0"/>
          <c:tx>
            <c:strRef>
              <c:f>Sheet1!$B$1</c:f>
              <c:strCache>
                <c:ptCount val="1"/>
                <c:pt idx="0">
                  <c:v>NH3</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7.2770000000000001</c:v>
                </c:pt>
                <c:pt idx="1">
                  <c:v>7.2510000000000003</c:v>
                </c:pt>
                <c:pt idx="2">
                  <c:v>8.2249999999999996</c:v>
                </c:pt>
                <c:pt idx="3">
                  <c:v>6.01</c:v>
                </c:pt>
                <c:pt idx="4">
                  <c:v>7.09</c:v>
                </c:pt>
              </c:numCache>
            </c:numRef>
          </c:val>
        </c:ser>
        <c:ser>
          <c:idx val="1"/>
          <c:order val="1"/>
          <c:tx>
            <c:strRef>
              <c:f>Sheet1!$C$1</c:f>
              <c:strCache>
                <c:ptCount val="1"/>
                <c:pt idx="0">
                  <c:v>N2O</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0.40100000000000002</c:v>
                </c:pt>
                <c:pt idx="1">
                  <c:v>9.0000000000000028E-3</c:v>
                </c:pt>
                <c:pt idx="2">
                  <c:v>0.64600000000000424</c:v>
                </c:pt>
                <c:pt idx="3">
                  <c:v>0.44900000000000001</c:v>
                </c:pt>
                <c:pt idx="4">
                  <c:v>0.44900000000000001</c:v>
                </c:pt>
              </c:numCache>
            </c:numRef>
          </c:val>
        </c:ser>
        <c:shape val="cone"/>
        <c:axId val="74712576"/>
        <c:axId val="74714112"/>
        <c:axId val="82162560"/>
      </c:bar3DChart>
      <c:catAx>
        <c:axId val="74712576"/>
        <c:scaling>
          <c:orientation val="minMax"/>
        </c:scaling>
        <c:axPos val="b"/>
        <c:numFmt formatCode="General" sourceLinked="1"/>
        <c:majorTickMark val="none"/>
        <c:tickLblPos val="nextTo"/>
        <c:crossAx val="74714112"/>
        <c:crossesAt val="0"/>
        <c:auto val="1"/>
        <c:lblAlgn val="ctr"/>
        <c:lblOffset val="100"/>
      </c:catAx>
      <c:valAx>
        <c:axId val="74714112"/>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0131331714376844E-2"/>
              <c:y val="0.26549407085887283"/>
            </c:manualLayout>
          </c:layout>
        </c:title>
        <c:numFmt formatCode="General" sourceLinked="1"/>
        <c:majorTickMark val="none"/>
        <c:tickLblPos val="nextTo"/>
        <c:crossAx val="74712576"/>
        <c:crosses val="autoZero"/>
        <c:crossBetween val="between"/>
        <c:majorUnit val="2"/>
      </c:valAx>
      <c:serAx>
        <c:axId val="82162560"/>
        <c:scaling>
          <c:orientation val="minMax"/>
        </c:scaling>
        <c:delete val="1"/>
        <c:axPos val="b"/>
        <c:tickLblPos val="none"/>
        <c:crossAx val="74714112"/>
        <c:crossesAt val="0"/>
      </c:serAx>
    </c:plotArea>
    <c:legend>
      <c:legendPos val="r"/>
    </c:legend>
    <c:plotVisOnly val="1"/>
  </c:chart>
  <c:externalData r:id="rId1"/>
</c:chartSpace>
</file>

<file path=word/charts/chart35.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precursori ai ozonului</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0.74300000000000377</c:v>
                </c:pt>
                <c:pt idx="1">
                  <c:v>4.3539999999999965</c:v>
                </c:pt>
                <c:pt idx="2">
                  <c:v>2.3560599999999701</c:v>
                </c:pt>
                <c:pt idx="3">
                  <c:v>1.2912899999999998</c:v>
                </c:pt>
                <c:pt idx="4">
                  <c:v>1.58</c:v>
                </c:pt>
              </c:numCache>
            </c:numRef>
          </c:val>
        </c:ser>
        <c:ser>
          <c:idx val="1"/>
          <c:order val="1"/>
          <c:tx>
            <c:strRef>
              <c:f>Sheet1!$C$1</c:f>
              <c:strCache>
                <c:ptCount val="1"/>
                <c:pt idx="0">
                  <c:v>NMCOV</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1.756</c:v>
                </c:pt>
                <c:pt idx="1">
                  <c:v>1.3879999999999915</c:v>
                </c:pt>
                <c:pt idx="2">
                  <c:v>3.9630000000000001</c:v>
                </c:pt>
                <c:pt idx="3">
                  <c:v>2.14</c:v>
                </c:pt>
                <c:pt idx="4">
                  <c:v>1.82</c:v>
                </c:pt>
              </c:numCache>
            </c:numRef>
          </c:val>
        </c:ser>
        <c:ser>
          <c:idx val="2"/>
          <c:order val="2"/>
          <c:tx>
            <c:strRef>
              <c:f>Sheet1!$D$1</c:f>
              <c:strCache>
                <c:ptCount val="1"/>
                <c:pt idx="0">
                  <c:v>CO</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3.3099999999999987</c:v>
                </c:pt>
                <c:pt idx="1">
                  <c:v>9.6550000000000047</c:v>
                </c:pt>
                <c:pt idx="2">
                  <c:v>5.3639999999999946</c:v>
                </c:pt>
                <c:pt idx="3">
                  <c:v>2.6829999999999998</c:v>
                </c:pt>
                <c:pt idx="4">
                  <c:v>2.73</c:v>
                </c:pt>
              </c:numCache>
            </c:numRef>
          </c:val>
        </c:ser>
        <c:shape val="cone"/>
        <c:axId val="82045184"/>
        <c:axId val="82599936"/>
        <c:axId val="82163904"/>
      </c:bar3DChart>
      <c:catAx>
        <c:axId val="82045184"/>
        <c:scaling>
          <c:orientation val="minMax"/>
        </c:scaling>
        <c:axPos val="b"/>
        <c:numFmt formatCode="General" sourceLinked="1"/>
        <c:majorTickMark val="none"/>
        <c:tickLblPos val="nextTo"/>
        <c:crossAx val="82599936"/>
        <c:crossesAt val="0"/>
        <c:auto val="1"/>
        <c:lblAlgn val="ctr"/>
        <c:lblOffset val="100"/>
      </c:catAx>
      <c:valAx>
        <c:axId val="82599936"/>
        <c:scaling>
          <c:orientation val="minMax"/>
          <c:max val="1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8.0162484362351891E-2"/>
              <c:y val="0.15838419089580702"/>
            </c:manualLayout>
          </c:layout>
        </c:title>
        <c:numFmt formatCode="General" sourceLinked="1"/>
        <c:majorTickMark val="none"/>
        <c:tickLblPos val="nextTo"/>
        <c:spPr>
          <a:noFill/>
        </c:spPr>
        <c:crossAx val="82045184"/>
        <c:crosses val="autoZero"/>
        <c:crossBetween val="between"/>
        <c:majorUnit val="2"/>
        <c:minorUnit val="4.0000000000000114E-3"/>
      </c:valAx>
      <c:serAx>
        <c:axId val="82163904"/>
        <c:scaling>
          <c:orientation val="minMax"/>
        </c:scaling>
        <c:delete val="1"/>
        <c:axPos val="b"/>
        <c:tickLblPos val="none"/>
        <c:crossAx val="82599936"/>
        <c:crossesAt val="0"/>
      </c:serAx>
    </c:plotArea>
    <c:legend>
      <c:legendPos val="r"/>
    </c:legend>
    <c:plotVisOnly val="1"/>
  </c:chart>
  <c:externalData r:id="rId1"/>
</c:chartSpace>
</file>

<file path=word/charts/chart36.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energie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0.39500000000000246</c:v>
                </c:pt>
                <c:pt idx="1">
                  <c:v>0.57199999999999995</c:v>
                </c:pt>
                <c:pt idx="2">
                  <c:v>0.17200000000000001</c:v>
                </c:pt>
                <c:pt idx="3">
                  <c:v>2.8000000000000001E-2</c:v>
                </c:pt>
                <c:pt idx="4">
                  <c:v>0</c:v>
                </c:pt>
              </c:numCache>
            </c:numRef>
          </c:val>
        </c:ser>
        <c:ser>
          <c:idx val="1"/>
          <c:order val="1"/>
          <c:tx>
            <c:strRef>
              <c:f>Sheet1!$C$1</c:f>
              <c:strCache>
                <c:ptCount val="1"/>
                <c:pt idx="0">
                  <c:v>NMCOV</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5.1000000000000004E-3</c:v>
                </c:pt>
                <c:pt idx="1">
                  <c:v>7.9000000000000615E-3</c:v>
                </c:pt>
                <c:pt idx="2">
                  <c:v>2.2000000000000092E-3</c:v>
                </c:pt>
                <c:pt idx="3">
                  <c:v>4.7000000000000134E-4</c:v>
                </c:pt>
                <c:pt idx="4">
                  <c:v>0</c:v>
                </c:pt>
              </c:numCache>
            </c:numRef>
          </c:val>
        </c:ser>
        <c:ser>
          <c:idx val="2"/>
          <c:order val="2"/>
          <c:tx>
            <c:strRef>
              <c:f>Sheet1!$D$1</c:f>
              <c:strCache>
                <c:ptCount val="1"/>
                <c:pt idx="0">
                  <c:v>CO</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0.12300000000000012</c:v>
                </c:pt>
                <c:pt idx="1">
                  <c:v>0.19600000000000001</c:v>
                </c:pt>
                <c:pt idx="2">
                  <c:v>5.1999999999999998E-2</c:v>
                </c:pt>
                <c:pt idx="3">
                  <c:v>1.2E-2</c:v>
                </c:pt>
                <c:pt idx="4">
                  <c:v>0</c:v>
                </c:pt>
              </c:numCache>
            </c:numRef>
          </c:val>
        </c:ser>
        <c:shape val="cone"/>
        <c:axId val="74755072"/>
        <c:axId val="82637568"/>
        <c:axId val="82580352"/>
      </c:bar3DChart>
      <c:catAx>
        <c:axId val="74755072"/>
        <c:scaling>
          <c:orientation val="minMax"/>
        </c:scaling>
        <c:axPos val="b"/>
        <c:numFmt formatCode="General" sourceLinked="1"/>
        <c:majorTickMark val="none"/>
        <c:tickLblPos val="nextTo"/>
        <c:crossAx val="82637568"/>
        <c:crossesAt val="0"/>
        <c:auto val="1"/>
        <c:lblAlgn val="ctr"/>
        <c:lblOffset val="100"/>
      </c:catAx>
      <c:valAx>
        <c:axId val="82637568"/>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0131331714376844E-2"/>
              <c:y val="0.20270552053569491"/>
            </c:manualLayout>
          </c:layout>
        </c:title>
        <c:numFmt formatCode="General" sourceLinked="1"/>
        <c:majorTickMark val="none"/>
        <c:tickLblPos val="nextTo"/>
        <c:spPr>
          <a:noFill/>
        </c:spPr>
        <c:crossAx val="74755072"/>
        <c:crosses val="autoZero"/>
        <c:crossBetween val="between"/>
        <c:majorUnit val="0.2"/>
      </c:valAx>
      <c:serAx>
        <c:axId val="82580352"/>
        <c:scaling>
          <c:orientation val="minMax"/>
        </c:scaling>
        <c:delete val="1"/>
        <c:axPos val="b"/>
        <c:tickLblPos val="none"/>
        <c:crossAx val="82637568"/>
        <c:crossesAt val="0"/>
      </c:serAx>
    </c:plotArea>
    <c:legend>
      <c:legendPos val="r"/>
    </c:legend>
    <c:plotVisOnly val="1"/>
  </c:chart>
  <c:externalData r:id="rId1"/>
</c:chartSpace>
</file>

<file path=word/charts/chart37.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industrie</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8.4000000000000047E-2</c:v>
                </c:pt>
                <c:pt idx="1">
                  <c:v>6.4000000000000112E-2</c:v>
                </c:pt>
                <c:pt idx="2">
                  <c:v>1.2999999999999998E-2</c:v>
                </c:pt>
                <c:pt idx="3">
                  <c:v>1.4E-2</c:v>
                </c:pt>
                <c:pt idx="4">
                  <c:v>6.0000000000000114E-3</c:v>
                </c:pt>
              </c:numCache>
            </c:numRef>
          </c:val>
        </c:ser>
        <c:ser>
          <c:idx val="1"/>
          <c:order val="1"/>
          <c:tx>
            <c:strRef>
              <c:f>Sheet1!$C$1</c:f>
              <c:strCache>
                <c:ptCount val="1"/>
                <c:pt idx="0">
                  <c:v>NMCOV</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0.13900000000000001</c:v>
                </c:pt>
                <c:pt idx="1">
                  <c:v>0.21100000000000024</c:v>
                </c:pt>
                <c:pt idx="2">
                  <c:v>0.28000000000000008</c:v>
                </c:pt>
                <c:pt idx="3">
                  <c:v>0.14400000000000004</c:v>
                </c:pt>
                <c:pt idx="4">
                  <c:v>9.0000000000000024E-2</c:v>
                </c:pt>
              </c:numCache>
            </c:numRef>
          </c:val>
        </c:ser>
        <c:ser>
          <c:idx val="2"/>
          <c:order val="2"/>
          <c:tx>
            <c:strRef>
              <c:f>Sheet1!$D$1</c:f>
              <c:strCache>
                <c:ptCount val="1"/>
                <c:pt idx="0">
                  <c:v>CO</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6.9000000000000034E-2</c:v>
                </c:pt>
                <c:pt idx="1">
                  <c:v>0.26600000000000001</c:v>
                </c:pt>
                <c:pt idx="2">
                  <c:v>1.0000000000000005E-2</c:v>
                </c:pt>
                <c:pt idx="3">
                  <c:v>2.8000000000000001E-2</c:v>
                </c:pt>
                <c:pt idx="4">
                  <c:v>4.0000000000000114E-3</c:v>
                </c:pt>
              </c:numCache>
            </c:numRef>
          </c:val>
        </c:ser>
        <c:shape val="cone"/>
        <c:axId val="82812928"/>
        <c:axId val="82814464"/>
        <c:axId val="75288064"/>
      </c:bar3DChart>
      <c:catAx>
        <c:axId val="82812928"/>
        <c:scaling>
          <c:orientation val="minMax"/>
        </c:scaling>
        <c:axPos val="b"/>
        <c:numFmt formatCode="General" sourceLinked="1"/>
        <c:majorTickMark val="none"/>
        <c:tickLblPos val="nextTo"/>
        <c:crossAx val="82814464"/>
        <c:crossesAt val="0"/>
        <c:auto val="1"/>
        <c:lblAlgn val="ctr"/>
        <c:lblOffset val="100"/>
      </c:catAx>
      <c:valAx>
        <c:axId val="82814464"/>
        <c:scaling>
          <c:orientation val="minMax"/>
          <c:max val="0.30000000000000032"/>
          <c:min val="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7607967228395501E-2"/>
              <c:y val="0.20270552053569491"/>
            </c:manualLayout>
          </c:layout>
        </c:title>
        <c:numFmt formatCode="General" sourceLinked="1"/>
        <c:majorTickMark val="none"/>
        <c:tickLblPos val="nextTo"/>
        <c:spPr>
          <a:noFill/>
        </c:spPr>
        <c:crossAx val="82812928"/>
        <c:crosses val="autoZero"/>
        <c:crossBetween val="between"/>
        <c:majorUnit val="0.1"/>
      </c:valAx>
      <c:serAx>
        <c:axId val="75288064"/>
        <c:scaling>
          <c:orientation val="minMax"/>
        </c:scaling>
        <c:delete val="1"/>
        <c:axPos val="b"/>
        <c:tickLblPos val="none"/>
        <c:crossAx val="82814464"/>
        <c:crossesAt val="0"/>
      </c:serAx>
    </c:plotArea>
    <c:legend>
      <c:legendPos val="r"/>
    </c:legend>
    <c:plotVisOnly val="1"/>
  </c:chart>
  <c:externalData r:id="rId1"/>
</c:chartSpace>
</file>

<file path=word/charts/chart38.xml><?xml version="1.0" encoding="utf-8"?>
<c:chartSpace xmlns:c="http://schemas.openxmlformats.org/drawingml/2006/chart" xmlns:a="http://schemas.openxmlformats.org/drawingml/2006/main" xmlns:r="http://schemas.openxmlformats.org/officeDocument/2006/relationships">
  <c:date1904 val="1"/>
  <c:lang val="ro-RO"/>
  <c:style val="26"/>
  <c:chart>
    <c:title>
      <c:tx>
        <c:rich>
          <a:bodyPr/>
          <a:lstStyle/>
          <a:p>
            <a:pPr>
              <a:defRPr baseline="0"/>
            </a:pPr>
            <a:r>
              <a:rPr lang="ro-RO" sz="1200" baseline="0">
                <a:latin typeface="Arial" pitchFamily="34" charset="0"/>
                <a:cs typeface="Arial" pitchFamily="34" charset="0"/>
              </a:rPr>
              <a:t>Tendința emisiilor de poluanți </a:t>
            </a:r>
            <a:r>
              <a:rPr lang="en-US" sz="1200" baseline="0">
                <a:latin typeface="Arial" pitchFamily="34" charset="0"/>
                <a:cs typeface="Arial" pitchFamily="34" charset="0"/>
              </a:rPr>
              <a:t>precursori ai ozonului </a:t>
            </a:r>
            <a:r>
              <a:rPr lang="ro-RO" sz="1200" baseline="0">
                <a:latin typeface="Arial" pitchFamily="34" charset="0"/>
                <a:cs typeface="Arial" pitchFamily="34" charset="0"/>
              </a:rPr>
              <a:t>din sectorul de activitate transport</a:t>
            </a:r>
            <a:endParaRPr lang="ro-RO" baseline="0"/>
          </a:p>
        </c:rich>
      </c:tx>
    </c:title>
    <c:view3D>
      <c:perspective val="30"/>
    </c:view3D>
    <c:plotArea>
      <c:layout/>
      <c:bar3DChart>
        <c:barDir val="col"/>
        <c:grouping val="standard"/>
        <c:ser>
          <c:idx val="0"/>
          <c:order val="0"/>
          <c:tx>
            <c:strRef>
              <c:f>Sheet1!$B$1</c:f>
              <c:strCache>
                <c:ptCount val="1"/>
                <c:pt idx="0">
                  <c:v>Nox</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1.758</c:v>
                </c:pt>
                <c:pt idx="1">
                  <c:v>1.8360000000000001</c:v>
                </c:pt>
                <c:pt idx="2">
                  <c:v>1.9100000000000001</c:v>
                </c:pt>
                <c:pt idx="3">
                  <c:v>1.1240000000000001</c:v>
                </c:pt>
                <c:pt idx="4">
                  <c:v>0.97800000000000065</c:v>
                </c:pt>
              </c:numCache>
            </c:numRef>
          </c:val>
        </c:ser>
        <c:ser>
          <c:idx val="1"/>
          <c:order val="1"/>
          <c:tx>
            <c:strRef>
              <c:f>Sheet1!$C$1</c:f>
              <c:strCache>
                <c:ptCount val="1"/>
                <c:pt idx="0">
                  <c:v>NMCOV</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0.89500000000000002</c:v>
                </c:pt>
                <c:pt idx="1">
                  <c:v>0.92200000000000004</c:v>
                </c:pt>
                <c:pt idx="2">
                  <c:v>0.76000000000000423</c:v>
                </c:pt>
                <c:pt idx="3">
                  <c:v>0.31300000000000189</c:v>
                </c:pt>
                <c:pt idx="4">
                  <c:v>3.0400000000000052E-2</c:v>
                </c:pt>
              </c:numCache>
            </c:numRef>
          </c:val>
        </c:ser>
        <c:ser>
          <c:idx val="2"/>
          <c:order val="2"/>
          <c:tx>
            <c:strRef>
              <c:f>Sheet1!$D$1</c:f>
              <c:strCache>
                <c:ptCount val="1"/>
                <c:pt idx="0">
                  <c:v>CO</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6.7750000000000004</c:v>
                </c:pt>
                <c:pt idx="1">
                  <c:v>7.1539999999999955</c:v>
                </c:pt>
                <c:pt idx="2">
                  <c:v>5.1760000000000002</c:v>
                </c:pt>
                <c:pt idx="3">
                  <c:v>2.5070000000000001</c:v>
                </c:pt>
                <c:pt idx="4">
                  <c:v>2.4699999999999998</c:v>
                </c:pt>
              </c:numCache>
            </c:numRef>
          </c:val>
        </c:ser>
        <c:shape val="cone"/>
        <c:axId val="82846464"/>
        <c:axId val="82848000"/>
        <c:axId val="82729152"/>
      </c:bar3DChart>
      <c:catAx>
        <c:axId val="82846464"/>
        <c:scaling>
          <c:orientation val="minMax"/>
        </c:scaling>
        <c:axPos val="b"/>
        <c:numFmt formatCode="General" sourceLinked="1"/>
        <c:majorTickMark val="none"/>
        <c:tickLblPos val="nextTo"/>
        <c:crossAx val="82848000"/>
        <c:crossesAt val="0"/>
        <c:auto val="1"/>
        <c:lblAlgn val="ctr"/>
        <c:lblOffset val="100"/>
      </c:catAx>
      <c:valAx>
        <c:axId val="82848000"/>
        <c:scaling>
          <c:orientation val="minMax"/>
          <c:min val="0"/>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9.2623543552383267E-2"/>
              <c:y val="0.20270552053569491"/>
            </c:manualLayout>
          </c:layout>
        </c:title>
        <c:numFmt formatCode="General" sourceLinked="1"/>
        <c:majorTickMark val="none"/>
        <c:tickLblPos val="nextTo"/>
        <c:spPr>
          <a:noFill/>
        </c:spPr>
        <c:crossAx val="82846464"/>
        <c:crosses val="autoZero"/>
        <c:crossBetween val="between"/>
        <c:majorUnit val="2"/>
      </c:valAx>
      <c:serAx>
        <c:axId val="82729152"/>
        <c:scaling>
          <c:orientation val="minMax"/>
        </c:scaling>
        <c:delete val="1"/>
        <c:axPos val="b"/>
        <c:tickLblPos val="none"/>
        <c:crossAx val="82848000"/>
        <c:crossesAt val="0"/>
      </c:serAx>
    </c:plotArea>
    <c:legend>
      <c:legendPos val="r"/>
    </c:legend>
    <c:plotVisOnly val="1"/>
  </c:chart>
  <c:externalData r:id="rId1"/>
</c:chartSpace>
</file>

<file path=word/charts/chart39.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sz="1200" baseline="0">
                <a:latin typeface="Arial" pitchFamily="34" charset="0"/>
              </a:defRPr>
            </a:pPr>
            <a:r>
              <a:rPr lang="ro-RO" sz="1200" baseline="0">
                <a:latin typeface="Arial" pitchFamily="34" charset="0"/>
              </a:rPr>
              <a:t>Tendința emisiilor de particule primare în suspensie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5.1000000000000004E-2</c:v>
                </c:pt>
                <c:pt idx="1">
                  <c:v>8.1000000000000003E-2</c:v>
                </c:pt>
                <c:pt idx="2">
                  <c:v>8.3000000000000046E-2</c:v>
                </c:pt>
                <c:pt idx="3">
                  <c:v>4.7000000000000014E-2</c:v>
                </c:pt>
                <c:pt idx="4">
                  <c:v>6.1000000000000013E-2</c:v>
                </c:pt>
              </c:numCache>
            </c:numRef>
          </c:val>
        </c:ser>
        <c:ser>
          <c:idx val="1"/>
          <c:order val="1"/>
          <c:tx>
            <c:strRef>
              <c:f>Sheet1!$C$1</c:f>
              <c:strCache>
                <c:ptCount val="1"/>
                <c:pt idx="0">
                  <c:v>PM10</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8.8000000000000064E-2</c:v>
                </c:pt>
                <c:pt idx="1">
                  <c:v>0.14000000000000001</c:v>
                </c:pt>
                <c:pt idx="2">
                  <c:v>7.8000000000000014E-2</c:v>
                </c:pt>
                <c:pt idx="3">
                  <c:v>5.1000000000000004E-2</c:v>
                </c:pt>
                <c:pt idx="4">
                  <c:v>6.5000000000000002E-2</c:v>
                </c:pt>
              </c:numCache>
            </c:numRef>
          </c:val>
        </c:ser>
        <c:shape val="cone"/>
        <c:axId val="82989824"/>
        <c:axId val="82991360"/>
        <c:axId val="82993600"/>
      </c:bar3DChart>
      <c:catAx>
        <c:axId val="82989824"/>
        <c:scaling>
          <c:orientation val="minMax"/>
        </c:scaling>
        <c:axPos val="b"/>
        <c:numFmt formatCode="General" sourceLinked="1"/>
        <c:majorTickMark val="none"/>
        <c:tickLblPos val="nextTo"/>
        <c:crossAx val="82991360"/>
        <c:crossesAt val="0"/>
        <c:auto val="1"/>
        <c:lblAlgn val="ctr"/>
        <c:lblOffset val="100"/>
      </c:catAx>
      <c:valAx>
        <c:axId val="82991360"/>
        <c:scaling>
          <c:orientation val="minMax"/>
          <c:max val="0.2"/>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0508460274241491"/>
              <c:y val="0.20639896467235241"/>
            </c:manualLayout>
          </c:layout>
        </c:title>
        <c:numFmt formatCode="General" sourceLinked="1"/>
        <c:majorTickMark val="none"/>
        <c:tickLblPos val="nextTo"/>
        <c:crossAx val="82989824"/>
        <c:crosses val="autoZero"/>
        <c:crossBetween val="between"/>
        <c:majorUnit val="0.05"/>
        <c:minorUnit val="4.0000000000000114E-3"/>
      </c:valAx>
      <c:serAx>
        <c:axId val="82993600"/>
        <c:scaling>
          <c:orientation val="minMax"/>
        </c:scaling>
        <c:delete val="1"/>
        <c:axPos val="b"/>
        <c:tickLblPos val="none"/>
        <c:crossAx val="82991360"/>
        <c:crossesAt val="0"/>
      </c:serAx>
    </c:plotArea>
    <c:legend>
      <c:legendPos val="r"/>
    </c:legend>
    <c:plotVisOnly val="1"/>
  </c:chart>
  <c:externalData r:id="rId1"/>
</c:chartSpace>
</file>

<file path=word/charts/chart4.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9.5812859458141511E-2"/>
          <c:y val="0.15240619570441119"/>
          <c:w val="0.67202572347266964"/>
          <c:h val="0.5948905109489051"/>
        </c:manualLayout>
      </c:layout>
      <c:bar3DChart>
        <c:barDir val="col"/>
        <c:grouping val="clustered"/>
        <c:ser>
          <c:idx val="2"/>
          <c:order val="0"/>
          <c:tx>
            <c:strRef>
              <c:f>Sheet1!$A$8</c:f>
              <c:strCache>
                <c:ptCount val="1"/>
                <c:pt idx="0">
                  <c:v>Medii anuale nef. 2014</c:v>
                </c:pt>
              </c:strCache>
            </c:strRef>
          </c:tx>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pt idx="5">
                  <c:v>46.03</c:v>
                </c:pt>
              </c:numCache>
            </c:numRef>
          </c:val>
        </c:ser>
        <c:ser>
          <c:idx val="13"/>
          <c:order val="1"/>
          <c:tx>
            <c:strRef>
              <c:f>Sheet1!$A$15</c:f>
              <c:strCache>
                <c:ptCount val="1"/>
                <c:pt idx="0">
                  <c:v>Medii anuale grav. 2014</c:v>
                </c:pt>
              </c:strCache>
            </c:strRef>
          </c:tx>
          <c:cat>
            <c:strRef>
              <c:f>Sheet1!$B$1:$G$1</c:f>
              <c:strCache>
                <c:ptCount val="6"/>
                <c:pt idx="0">
                  <c:v>Br1</c:v>
                </c:pt>
                <c:pt idx="1">
                  <c:v>Br2-PM2,5</c:v>
                </c:pt>
                <c:pt idx="2">
                  <c:v>Br2-PM10</c:v>
                </c:pt>
                <c:pt idx="3">
                  <c:v>Br3</c:v>
                </c:pt>
                <c:pt idx="4">
                  <c:v>Br4</c:v>
                </c:pt>
                <c:pt idx="5">
                  <c:v>Br5</c:v>
                </c:pt>
              </c:strCache>
            </c:strRef>
          </c:cat>
          <c:val>
            <c:numRef>
              <c:f>Sheet1!$B$15:$G$15</c:f>
              <c:numCache>
                <c:formatCode>General</c:formatCode>
                <c:ptCount val="6"/>
                <c:pt idx="3">
                  <c:v>39.1</c:v>
                </c:pt>
              </c:numCache>
            </c:numRef>
          </c:val>
        </c:ser>
        <c:gapWidth val="270"/>
        <c:gapDepth val="0"/>
        <c:shape val="box"/>
        <c:axId val="222828416"/>
        <c:axId val="222829952"/>
        <c:axId val="0"/>
      </c:bar3DChart>
      <c:catAx>
        <c:axId val="222828416"/>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2829952"/>
        <c:crosses val="autoZero"/>
        <c:auto val="1"/>
        <c:lblAlgn val="ctr"/>
        <c:lblOffset val="100"/>
        <c:tickLblSkip val="1"/>
        <c:tickMarkSkip val="1"/>
      </c:catAx>
      <c:valAx>
        <c:axId val="222829952"/>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1.6675242327382347E-2"/>
              <c:y val="0.39566683733218655"/>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2828416"/>
        <c:crosses val="autoZero"/>
        <c:crossBetween val="between"/>
      </c:valAx>
      <c:spPr>
        <a:noFill/>
        <a:ln w="25399">
          <a:noFill/>
        </a:ln>
      </c:spPr>
    </c:plotArea>
    <c:legend>
      <c:legendPos val="r"/>
      <c:layout>
        <c:manualLayout>
          <c:xMode val="edge"/>
          <c:yMode val="edge"/>
          <c:x val="0.79431827852119574"/>
          <c:y val="0.27958264019814438"/>
          <c:w val="0.13189557792617687"/>
          <c:h val="0.20998040737865514"/>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40.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sz="1200" baseline="0">
                <a:latin typeface="Arial" pitchFamily="34" charset="0"/>
              </a:defRPr>
            </a:pPr>
            <a:r>
              <a:rPr lang="ro-RO" sz="1200" baseline="0">
                <a:latin typeface="Arial" pitchFamily="34" charset="0"/>
              </a:rPr>
              <a:t>Tendința emisiilor de particule primare în suspensie din sectorul de activitate energie</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1.6000000000000021E-2</c:v>
                </c:pt>
                <c:pt idx="1">
                  <c:v>1.9500000000000146E-2</c:v>
                </c:pt>
                <c:pt idx="2">
                  <c:v>7.7000000000000506E-3</c:v>
                </c:pt>
                <c:pt idx="3">
                  <c:v>2.8000000000000046E-4</c:v>
                </c:pt>
                <c:pt idx="4">
                  <c:v>0</c:v>
                </c:pt>
              </c:numCache>
            </c:numRef>
          </c:val>
        </c:ser>
        <c:ser>
          <c:idx val="1"/>
          <c:order val="1"/>
          <c:tx>
            <c:strRef>
              <c:f>Sheet1!$C$1</c:f>
              <c:strCache>
                <c:ptCount val="1"/>
                <c:pt idx="0">
                  <c:v>PM10</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1.2999999999999998E-2</c:v>
                </c:pt>
                <c:pt idx="1">
                  <c:v>1.5299999999999998E-2</c:v>
                </c:pt>
                <c:pt idx="2">
                  <c:v>5.9000000000000441E-3</c:v>
                </c:pt>
                <c:pt idx="3">
                  <c:v>2.8000000000000046E-4</c:v>
                </c:pt>
                <c:pt idx="4">
                  <c:v>0</c:v>
                </c:pt>
              </c:numCache>
            </c:numRef>
          </c:val>
        </c:ser>
        <c:shape val="cone"/>
        <c:axId val="83030784"/>
        <c:axId val="83032320"/>
        <c:axId val="82996288"/>
      </c:bar3DChart>
      <c:catAx>
        <c:axId val="83030784"/>
        <c:scaling>
          <c:orientation val="minMax"/>
        </c:scaling>
        <c:axPos val="b"/>
        <c:numFmt formatCode="General" sourceLinked="1"/>
        <c:majorTickMark val="none"/>
        <c:tickLblPos val="nextTo"/>
        <c:crossAx val="83032320"/>
        <c:crossesAt val="0"/>
        <c:auto val="1"/>
        <c:lblAlgn val="ctr"/>
        <c:lblOffset val="100"/>
      </c:catAx>
      <c:valAx>
        <c:axId val="83032320"/>
        <c:scaling>
          <c:orientation val="minMax"/>
          <c:max val="2.0000000000000011E-2"/>
        </c:scaling>
        <c:axPos val="l"/>
        <c:majorGridlines>
          <c:spPr>
            <a:ln>
              <a:solidFill>
                <a:schemeClr val="bg1"/>
              </a:solidFill>
            </a:ln>
          </c:spPr>
        </c:majorGridlines>
        <c:minorGridlines/>
        <c:title>
          <c:tx>
            <c:rich>
              <a:bodyPr rot="0" vert="horz"/>
              <a:lstStyle/>
              <a:p>
                <a:pPr>
                  <a:defRPr/>
                </a:pPr>
                <a:r>
                  <a:rPr lang="ro-RO"/>
                  <a:t>Gg</a:t>
                </a:r>
              </a:p>
            </c:rich>
          </c:tx>
          <c:layout>
            <c:manualLayout>
              <c:xMode val="edge"/>
              <c:yMode val="edge"/>
              <c:x val="0.15991326317855228"/>
              <c:y val="0.24702685017558401"/>
            </c:manualLayout>
          </c:layout>
        </c:title>
        <c:numFmt formatCode="General" sourceLinked="1"/>
        <c:majorTickMark val="none"/>
        <c:tickLblPos val="nextTo"/>
        <c:crossAx val="83030784"/>
        <c:crosses val="autoZero"/>
        <c:crossBetween val="between"/>
        <c:majorUnit val="5.0000000000000114E-3"/>
        <c:minorUnit val="4.0000000000000114E-3"/>
      </c:valAx>
      <c:serAx>
        <c:axId val="82996288"/>
        <c:scaling>
          <c:orientation val="minMax"/>
        </c:scaling>
        <c:delete val="1"/>
        <c:axPos val="b"/>
        <c:tickLblPos val="none"/>
        <c:crossAx val="83032320"/>
        <c:crossesAt val="0"/>
      </c:serAx>
    </c:plotArea>
    <c:legend>
      <c:legendPos val="r"/>
    </c:legend>
    <c:plotVisOnly val="1"/>
  </c:chart>
  <c:externalData r:id="rId1"/>
</c:chartSpace>
</file>

<file path=word/charts/chart41.xml><?xml version="1.0" encoding="utf-8"?>
<c:chartSpace xmlns:c="http://schemas.openxmlformats.org/drawingml/2006/chart" xmlns:a="http://schemas.openxmlformats.org/drawingml/2006/main" xmlns:r="http://schemas.openxmlformats.org/officeDocument/2006/relationships">
  <c:date1904 val="1"/>
  <c:lang val="ro-RO"/>
  <c:style val="30"/>
  <c:chart>
    <c:title>
      <c:tx>
        <c:rich>
          <a:bodyPr/>
          <a:lstStyle/>
          <a:p>
            <a:pPr>
              <a:defRPr/>
            </a:pPr>
            <a:r>
              <a:rPr lang="ro-RO" sz="1200" baseline="0">
                <a:latin typeface="Arial" pitchFamily="34" charset="0"/>
                <a:cs typeface="Arial" pitchFamily="34" charset="0"/>
              </a:rPr>
              <a:t>Tendința emisiilor de particule primare în suspensie din sectorul de activitate transport</a:t>
            </a:r>
          </a:p>
        </c:rich>
      </c:tx>
    </c:title>
    <c:view3D>
      <c:perspective val="30"/>
    </c:view3D>
    <c:plotArea>
      <c:layout/>
      <c:bar3DChart>
        <c:barDir val="col"/>
        <c:grouping val="standard"/>
        <c:ser>
          <c:idx val="0"/>
          <c:order val="0"/>
          <c:tx>
            <c:strRef>
              <c:f>Sheet1!$B$1</c:f>
              <c:strCache>
                <c:ptCount val="1"/>
                <c:pt idx="0">
                  <c:v>PM2,5</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0</c:v>
                </c:pt>
                <c:pt idx="2">
                  <c:v>7.5000000000000011E-2</c:v>
                </c:pt>
                <c:pt idx="3">
                  <c:v>3.2700000000000014E-2</c:v>
                </c:pt>
                <c:pt idx="4">
                  <c:v>4.7000000000000014E-2</c:v>
                </c:pt>
              </c:numCache>
            </c:numRef>
          </c:val>
        </c:ser>
        <c:ser>
          <c:idx val="1"/>
          <c:order val="1"/>
          <c:tx>
            <c:strRef>
              <c:f>Sheet1!$C$1</c:f>
              <c:strCache>
                <c:ptCount val="1"/>
                <c:pt idx="0">
                  <c:v>PM10</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6.5000000000000002E-2</c:v>
                </c:pt>
                <c:pt idx="1">
                  <c:v>6.8000000000000019E-2</c:v>
                </c:pt>
                <c:pt idx="2">
                  <c:v>6.2000000000000034E-2</c:v>
                </c:pt>
                <c:pt idx="3">
                  <c:v>4.3000000000000003E-2</c:v>
                </c:pt>
                <c:pt idx="4">
                  <c:v>5.3999999999999999E-2</c:v>
                </c:pt>
              </c:numCache>
            </c:numRef>
          </c:val>
        </c:ser>
        <c:shape val="cone"/>
        <c:axId val="82776832"/>
        <c:axId val="82778368"/>
        <c:axId val="82723712"/>
      </c:bar3DChart>
      <c:catAx>
        <c:axId val="82776832"/>
        <c:scaling>
          <c:orientation val="minMax"/>
        </c:scaling>
        <c:axPos val="b"/>
        <c:numFmt formatCode="General" sourceLinked="1"/>
        <c:majorTickMark val="none"/>
        <c:tickLblPos val="nextTo"/>
        <c:crossAx val="82778368"/>
        <c:crossesAt val="0"/>
        <c:auto val="1"/>
        <c:lblAlgn val="ctr"/>
        <c:lblOffset val="100"/>
      </c:catAx>
      <c:valAx>
        <c:axId val="82778368"/>
        <c:scaling>
          <c:orientation val="minMax"/>
        </c:scaling>
        <c:axPos val="l"/>
        <c:majorGridlines/>
        <c:minorGridlines>
          <c:spPr>
            <a:ln>
              <a:solidFill>
                <a:schemeClr val="bg1"/>
              </a:solidFill>
            </a:ln>
          </c:spPr>
        </c:minorGridlines>
        <c:title>
          <c:tx>
            <c:rich>
              <a:bodyPr rot="0" vert="horz"/>
              <a:lstStyle/>
              <a:p>
                <a:pPr>
                  <a:defRPr/>
                </a:pPr>
                <a:r>
                  <a:rPr lang="ro-RO"/>
                  <a:t>Gg</a:t>
                </a:r>
              </a:p>
            </c:rich>
          </c:tx>
          <c:layout>
            <c:manualLayout>
              <c:xMode val="edge"/>
              <c:yMode val="edge"/>
              <c:x val="0.1125612382564337"/>
              <c:y val="0.23594651776561171"/>
            </c:manualLayout>
          </c:layout>
        </c:title>
        <c:numFmt formatCode="General" sourceLinked="1"/>
        <c:majorTickMark val="none"/>
        <c:tickLblPos val="nextTo"/>
        <c:crossAx val="82776832"/>
        <c:crosses val="autoZero"/>
        <c:crossBetween val="between"/>
        <c:minorUnit val="4.0000000000000114E-3"/>
      </c:valAx>
      <c:serAx>
        <c:axId val="82723712"/>
        <c:scaling>
          <c:orientation val="minMax"/>
        </c:scaling>
        <c:delete val="1"/>
        <c:axPos val="b"/>
        <c:tickLblPos val="none"/>
        <c:crossAx val="82778368"/>
        <c:crossesAt val="0"/>
      </c:serAx>
    </c:plotArea>
    <c:legend>
      <c:legendPos val="r"/>
    </c:legend>
    <c:plotVisOnly val="1"/>
  </c:chart>
  <c:externalData r:id="rId1"/>
</c:chartSpace>
</file>

<file path=word/charts/chart42.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2.61</c:v>
                </c:pt>
                <c:pt idx="1">
                  <c:v>2.8099999999999987</c:v>
                </c:pt>
                <c:pt idx="2">
                  <c:v>4.3000000000000003E-2</c:v>
                </c:pt>
                <c:pt idx="3">
                  <c:v>2.5000000000000001E-2</c:v>
                </c:pt>
                <c:pt idx="4">
                  <c:v>3.0000000000000002E-2</c:v>
                </c:pt>
              </c:numCache>
            </c:numRef>
          </c:val>
        </c:ser>
        <c:ser>
          <c:idx val="1"/>
          <c:order val="1"/>
          <c:tx>
            <c:strRef>
              <c:f>Sheet1!$C$1</c:f>
              <c:strCache>
                <c:ptCount val="1"/>
                <c:pt idx="0">
                  <c:v>Cd</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1.7000000000000001E-2</c:v>
                </c:pt>
                <c:pt idx="1">
                  <c:v>1.2999999999999998E-2</c:v>
                </c:pt>
                <c:pt idx="2">
                  <c:v>1.4E-2</c:v>
                </c:pt>
                <c:pt idx="3">
                  <c:v>4.5000000000000123E-4</c:v>
                </c:pt>
                <c:pt idx="4">
                  <c:v>5.0000000000000114E-3</c:v>
                </c:pt>
              </c:numCache>
            </c:numRef>
          </c:val>
        </c:ser>
        <c:ser>
          <c:idx val="2"/>
          <c:order val="2"/>
          <c:tx>
            <c:strRef>
              <c:f>Sheet1!$D$1</c:f>
              <c:strCache>
                <c:ptCount val="1"/>
                <c:pt idx="0">
                  <c:v>Hg</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6.3E-2</c:v>
                </c:pt>
                <c:pt idx="1">
                  <c:v>4.2000000000000023E-2</c:v>
                </c:pt>
                <c:pt idx="2">
                  <c:v>5.6000000000000001E-2</c:v>
                </c:pt>
                <c:pt idx="3">
                  <c:v>1.6000000000000021E-2</c:v>
                </c:pt>
                <c:pt idx="4">
                  <c:v>1.4999999999999998E-2</c:v>
                </c:pt>
              </c:numCache>
            </c:numRef>
          </c:val>
        </c:ser>
        <c:shape val="cone"/>
        <c:axId val="83084800"/>
        <c:axId val="83086336"/>
        <c:axId val="82726400"/>
      </c:bar3DChart>
      <c:catAx>
        <c:axId val="83084800"/>
        <c:scaling>
          <c:orientation val="minMax"/>
        </c:scaling>
        <c:axPos val="b"/>
        <c:numFmt formatCode="General" sourceLinked="1"/>
        <c:majorTickMark val="none"/>
        <c:tickLblPos val="nextTo"/>
        <c:crossAx val="83086336"/>
        <c:crossesAt val="0"/>
        <c:auto val="1"/>
        <c:lblAlgn val="ctr"/>
        <c:lblOffset val="100"/>
      </c:catAx>
      <c:valAx>
        <c:axId val="83086336"/>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2253008560845782"/>
              <c:y val="0.14730385848583341"/>
            </c:manualLayout>
          </c:layout>
        </c:title>
        <c:numFmt formatCode="General" sourceLinked="1"/>
        <c:majorTickMark val="none"/>
        <c:tickLblPos val="nextTo"/>
        <c:crossAx val="83084800"/>
        <c:crosses val="autoZero"/>
        <c:crossBetween val="between"/>
      </c:valAx>
      <c:serAx>
        <c:axId val="82726400"/>
        <c:scaling>
          <c:orientation val="minMax"/>
        </c:scaling>
        <c:delete val="1"/>
        <c:axPos val="b"/>
        <c:tickLblPos val="none"/>
        <c:crossAx val="83086336"/>
        <c:crossesAt val="0"/>
      </c:serAx>
    </c:plotArea>
    <c:legend>
      <c:legendPos val="r"/>
    </c:legend>
    <c:plotVisOnly val="1"/>
  </c:chart>
  <c:externalData r:id="rId1"/>
</c:chartSpace>
</file>

<file path=word/charts/chart43.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 din sectorul de activitate industrie </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5.0000000000000114E-3</c:v>
                </c:pt>
                <c:pt idx="1">
                  <c:v>6.0000000000000114E-3</c:v>
                </c:pt>
                <c:pt idx="2">
                  <c:v>2.5000000000000092E-3</c:v>
                </c:pt>
                <c:pt idx="3">
                  <c:v>1.5000000000000091E-3</c:v>
                </c:pt>
                <c:pt idx="4">
                  <c:v>2.0000000000000218E-5</c:v>
                </c:pt>
              </c:numCache>
            </c:numRef>
          </c:val>
        </c:ser>
        <c:ser>
          <c:idx val="1"/>
          <c:order val="1"/>
          <c:tx>
            <c:strRef>
              <c:f>Sheet1!$C$1</c:f>
              <c:strCache>
                <c:ptCount val="1"/>
                <c:pt idx="0">
                  <c:v>Cd</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9.0000000000000247E-4</c:v>
                </c:pt>
                <c:pt idx="1">
                  <c:v>7.0000000000000531E-4</c:v>
                </c:pt>
                <c:pt idx="2">
                  <c:v>2.5000000000000092E-3</c:v>
                </c:pt>
                <c:pt idx="3">
                  <c:v>2.0000000000000052E-4</c:v>
                </c:pt>
                <c:pt idx="4">
                  <c:v>8.5000000000000245E-4</c:v>
                </c:pt>
              </c:numCache>
            </c:numRef>
          </c:val>
        </c:ser>
        <c:ser>
          <c:idx val="2"/>
          <c:order val="2"/>
          <c:tx>
            <c:strRef>
              <c:f>Sheet1!$D$1</c:f>
              <c:strCache>
                <c:ptCount val="1"/>
                <c:pt idx="0">
                  <c:v>Hg</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3.0000000000000258E-4</c:v>
                </c:pt>
                <c:pt idx="1">
                  <c:v>2.0000000000000052E-4</c:v>
                </c:pt>
                <c:pt idx="2">
                  <c:v>7.0000000000000671E-5</c:v>
                </c:pt>
                <c:pt idx="3">
                  <c:v>4.0000000000000034E-4</c:v>
                </c:pt>
                <c:pt idx="4">
                  <c:v>5.0000000000000511E-5</c:v>
                </c:pt>
              </c:numCache>
            </c:numRef>
          </c:val>
        </c:ser>
        <c:shape val="cone"/>
        <c:axId val="83118336"/>
        <c:axId val="83124224"/>
        <c:axId val="82580800"/>
      </c:bar3DChart>
      <c:catAx>
        <c:axId val="83118336"/>
        <c:scaling>
          <c:orientation val="minMax"/>
        </c:scaling>
        <c:axPos val="b"/>
        <c:numFmt formatCode="General" sourceLinked="1"/>
        <c:majorTickMark val="none"/>
        <c:tickLblPos val="nextTo"/>
        <c:crossAx val="83124224"/>
        <c:crossesAt val="0"/>
        <c:auto val="1"/>
        <c:lblAlgn val="ctr"/>
        <c:lblOffset val="100"/>
      </c:catAx>
      <c:valAx>
        <c:axId val="83124224"/>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2253008560845782"/>
              <c:y val="0.19162518812572271"/>
            </c:manualLayout>
          </c:layout>
        </c:title>
        <c:numFmt formatCode="General" sourceLinked="1"/>
        <c:majorTickMark val="none"/>
        <c:tickLblPos val="nextTo"/>
        <c:crossAx val="83118336"/>
        <c:crosses val="autoZero"/>
        <c:crossBetween val="between"/>
        <c:majorUnit val="2.0000000000000052E-3"/>
      </c:valAx>
      <c:serAx>
        <c:axId val="82580800"/>
        <c:scaling>
          <c:orientation val="minMax"/>
        </c:scaling>
        <c:delete val="1"/>
        <c:axPos val="b"/>
        <c:tickLblPos val="none"/>
        <c:crossAx val="83124224"/>
        <c:crossesAt val="0"/>
      </c:serAx>
    </c:plotArea>
    <c:legend>
      <c:legendPos val="r"/>
    </c:legend>
    <c:plotVisOnly val="1"/>
  </c:chart>
  <c:externalData r:id="rId1"/>
</c:chartSpace>
</file>

<file path=word/charts/chart44.xml><?xml version="1.0" encoding="utf-8"?>
<c:chartSpace xmlns:c="http://schemas.openxmlformats.org/drawingml/2006/chart" xmlns:a="http://schemas.openxmlformats.org/drawingml/2006/main" xmlns:r="http://schemas.openxmlformats.org/officeDocument/2006/relationships">
  <c:date1904 val="1"/>
  <c:lang val="ro-RO"/>
  <c:style val="32"/>
  <c:chart>
    <c:title>
      <c:tx>
        <c:rich>
          <a:bodyPr/>
          <a:lstStyle/>
          <a:p>
            <a:pPr>
              <a:defRPr sz="1200" baseline="0">
                <a:latin typeface="Arial" pitchFamily="34" charset="0"/>
              </a:defRPr>
            </a:pPr>
            <a:r>
              <a:rPr lang="ro-RO" sz="1200" baseline="0">
                <a:latin typeface="Arial" pitchFamily="34" charset="0"/>
              </a:rPr>
              <a:t>Tendința emisiilor de metale grele din sectorul de activitate transport</a:t>
            </a:r>
          </a:p>
        </c:rich>
      </c:tx>
    </c:title>
    <c:view3D>
      <c:perspective val="30"/>
    </c:view3D>
    <c:plotArea>
      <c:layout/>
      <c:bar3DChart>
        <c:barDir val="col"/>
        <c:grouping val="standard"/>
        <c:ser>
          <c:idx val="0"/>
          <c:order val="0"/>
          <c:tx>
            <c:strRef>
              <c:f>Sheet1!$B$1</c:f>
              <c:strCache>
                <c:ptCount val="1"/>
                <c:pt idx="0">
                  <c:v>Pb</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2.6</c:v>
                </c:pt>
                <c:pt idx="1">
                  <c:v>2.8</c:v>
                </c:pt>
                <c:pt idx="2">
                  <c:v>3.7999999999999999E-2</c:v>
                </c:pt>
                <c:pt idx="3">
                  <c:v>2.3E-2</c:v>
                </c:pt>
                <c:pt idx="4">
                  <c:v>3.3000000000000002E-2</c:v>
                </c:pt>
              </c:numCache>
            </c:numRef>
          </c:val>
        </c:ser>
        <c:ser>
          <c:idx val="1"/>
          <c:order val="1"/>
          <c:tx>
            <c:strRef>
              <c:f>Sheet1!$C$1</c:f>
              <c:strCache>
                <c:ptCount val="1"/>
                <c:pt idx="0">
                  <c:v>Cd</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7.0000000000000531E-4</c:v>
                </c:pt>
                <c:pt idx="1">
                  <c:v>8.0000000000000264E-4</c:v>
                </c:pt>
                <c:pt idx="2">
                  <c:v>9.8000000000000708E-3</c:v>
                </c:pt>
                <c:pt idx="3">
                  <c:v>5.5000000000000123E-4</c:v>
                </c:pt>
                <c:pt idx="4">
                  <c:v>1.6000000000000021E-2</c:v>
                </c:pt>
              </c:numCache>
            </c:numRef>
          </c:val>
        </c:ser>
        <c:ser>
          <c:idx val="2"/>
          <c:order val="2"/>
          <c:tx>
            <c:strRef>
              <c:f>Sheet1!$D$1</c:f>
              <c:strCache>
                <c:ptCount val="1"/>
                <c:pt idx="0">
                  <c:v>Hg</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0</c:v>
                </c:pt>
                <c:pt idx="2">
                  <c:v>0</c:v>
                </c:pt>
                <c:pt idx="3">
                  <c:v>0</c:v>
                </c:pt>
                <c:pt idx="4">
                  <c:v>0</c:v>
                </c:pt>
              </c:numCache>
            </c:numRef>
          </c:val>
        </c:ser>
        <c:shape val="cone"/>
        <c:axId val="82951168"/>
        <c:axId val="82952960"/>
        <c:axId val="82724160"/>
      </c:bar3DChart>
      <c:catAx>
        <c:axId val="82951168"/>
        <c:scaling>
          <c:orientation val="minMax"/>
        </c:scaling>
        <c:axPos val="b"/>
        <c:numFmt formatCode="General" sourceLinked="1"/>
        <c:majorTickMark val="none"/>
        <c:tickLblPos val="nextTo"/>
        <c:crossAx val="82952960"/>
        <c:crossesAt val="0"/>
        <c:auto val="1"/>
        <c:lblAlgn val="ctr"/>
        <c:lblOffset val="100"/>
      </c:catAx>
      <c:valAx>
        <c:axId val="82952960"/>
        <c:scaling>
          <c:orientation val="minMax"/>
          <c:min val="0"/>
        </c:scaling>
        <c:axPos val="l"/>
        <c:majorGridlines/>
        <c:minorGridlines>
          <c:spPr>
            <a:ln>
              <a:solidFill>
                <a:schemeClr val="bg1"/>
              </a:solidFill>
            </a:ln>
          </c:spPr>
        </c:minorGridlines>
        <c:title>
          <c:tx>
            <c:rich>
              <a:bodyPr rot="0" vert="horz"/>
              <a:lstStyle/>
              <a:p>
                <a:pPr>
                  <a:defRPr/>
                </a:pPr>
                <a:r>
                  <a:rPr lang="ro-RO"/>
                  <a:t>Mg</a:t>
                </a:r>
              </a:p>
            </c:rich>
          </c:tx>
          <c:layout>
            <c:manualLayout>
              <c:xMode val="edge"/>
              <c:yMode val="edge"/>
              <c:x val="0.1001001790664023"/>
              <c:y val="0.19531863226237994"/>
            </c:manualLayout>
          </c:layout>
        </c:title>
        <c:numFmt formatCode="General" sourceLinked="1"/>
        <c:majorTickMark val="none"/>
        <c:tickLblPos val="nextTo"/>
        <c:crossAx val="82951168"/>
        <c:crosses val="autoZero"/>
        <c:crossBetween val="between"/>
      </c:valAx>
      <c:serAx>
        <c:axId val="82724160"/>
        <c:scaling>
          <c:orientation val="minMax"/>
        </c:scaling>
        <c:delete val="1"/>
        <c:axPos val="b"/>
        <c:tickLblPos val="none"/>
        <c:crossAx val="82952960"/>
        <c:crossesAt val="0"/>
      </c:serAx>
    </c:plotArea>
    <c:legend>
      <c:legendPos val="r"/>
    </c:legend>
    <c:plotVisOnly val="1"/>
  </c:chart>
  <c:externalData r:id="rId1"/>
</c:chartSpace>
</file>

<file path=word/charts/chart45.xml><?xml version="1.0" encoding="utf-8"?>
<c:chartSpace xmlns:c="http://schemas.openxmlformats.org/drawingml/2006/chart" xmlns:a="http://schemas.openxmlformats.org/drawingml/2006/main" xmlns:r="http://schemas.openxmlformats.org/officeDocument/2006/relationships">
  <c:date1904 val="1"/>
  <c:lang val="ro-RO"/>
  <c:style val="13"/>
  <c:chart>
    <c:title>
      <c:tx>
        <c:rich>
          <a:bodyPr/>
          <a:lstStyle/>
          <a:p>
            <a:pPr>
              <a:defRPr sz="1200" baseline="0">
                <a:latin typeface="Arial" pitchFamily="34" charset="0"/>
              </a:defRPr>
            </a:pPr>
            <a:r>
              <a:rPr lang="ro-RO" sz="1200" baseline="0">
                <a:latin typeface="Arial" pitchFamily="34" charset="0"/>
              </a:rPr>
              <a:t>Tendința emisiilor de compuși organici persistenți</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689</c:v>
                </c:pt>
                <c:pt idx="1">
                  <c:v>665</c:v>
                </c:pt>
                <c:pt idx="2">
                  <c:v>678</c:v>
                </c:pt>
                <c:pt idx="3">
                  <c:v>412</c:v>
                </c:pt>
                <c:pt idx="4">
                  <c:v>344</c:v>
                </c:pt>
              </c:numCache>
            </c:numRef>
          </c:val>
        </c:ser>
        <c:ser>
          <c:idx val="1"/>
          <c:order val="1"/>
          <c:tx>
            <c:strRef>
              <c:f>Sheet1!$C$1</c:f>
              <c:strCache>
                <c:ptCount val="1"/>
                <c:pt idx="0">
                  <c:v>HCB</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1.0000000000000089E-4</c:v>
                </c:pt>
                <c:pt idx="1">
                  <c:v>3.7000000000000305E-3</c:v>
                </c:pt>
                <c:pt idx="2">
                  <c:v>3.6000000000000251E-3</c:v>
                </c:pt>
                <c:pt idx="3">
                  <c:v>2.0000000000000052E-4</c:v>
                </c:pt>
                <c:pt idx="4">
                  <c:v>2.0000000000000052E-4</c:v>
                </c:pt>
              </c:numCache>
            </c:numRef>
          </c:val>
        </c:ser>
        <c:shape val="cone"/>
        <c:axId val="83189120"/>
        <c:axId val="56628352"/>
        <c:axId val="83147840"/>
      </c:bar3DChart>
      <c:catAx>
        <c:axId val="83189120"/>
        <c:scaling>
          <c:orientation val="minMax"/>
        </c:scaling>
        <c:axPos val="b"/>
        <c:numFmt formatCode="General" sourceLinked="1"/>
        <c:majorTickMark val="none"/>
        <c:tickLblPos val="nextTo"/>
        <c:crossAx val="56628352"/>
        <c:crossesAt val="0"/>
        <c:auto val="1"/>
        <c:lblAlgn val="ctr"/>
        <c:lblOffset val="100"/>
      </c:catAx>
      <c:valAx>
        <c:axId val="56628352"/>
        <c:scaling>
          <c:orientation val="minMax"/>
          <c:min val="0"/>
        </c:scaling>
        <c:axPos val="l"/>
        <c:majorGridlines/>
        <c:minorGridlines>
          <c:spPr>
            <a:ln>
              <a:solidFill>
                <a:schemeClr val="bg1"/>
              </a:solidFill>
            </a:ln>
          </c:spPr>
        </c:minorGridlines>
        <c:title>
          <c:tx>
            <c:rich>
              <a:bodyPr rot="0" vert="horz"/>
              <a:lstStyle/>
              <a:p>
                <a:pPr>
                  <a:defRPr/>
                </a:pPr>
                <a:r>
                  <a:rPr lang="ro-RO"/>
                  <a:t>kg</a:t>
                </a:r>
              </a:p>
            </c:rich>
          </c:tx>
          <c:layout>
            <c:manualLayout>
              <c:xMode val="edge"/>
              <c:yMode val="edge"/>
              <c:x val="0.1001001790664023"/>
              <c:y val="0.20270552053569491"/>
            </c:manualLayout>
          </c:layout>
        </c:title>
        <c:numFmt formatCode="General" sourceLinked="1"/>
        <c:majorTickMark val="none"/>
        <c:tickLblPos val="nextTo"/>
        <c:crossAx val="83189120"/>
        <c:crosses val="autoZero"/>
        <c:crossBetween val="between"/>
        <c:majorUnit val="200"/>
      </c:valAx>
      <c:serAx>
        <c:axId val="83147840"/>
        <c:scaling>
          <c:orientation val="minMax"/>
        </c:scaling>
        <c:delete val="1"/>
        <c:axPos val="b"/>
        <c:tickLblPos val="none"/>
        <c:crossAx val="56628352"/>
        <c:crossesAt val="0"/>
      </c:serAx>
    </c:plotArea>
    <c:legend>
      <c:legendPos val="r"/>
    </c:legend>
    <c:plotVisOnly val="1"/>
  </c:chart>
  <c:externalData r:id="rId1"/>
</c:chartSpace>
</file>

<file path=word/charts/chart46.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Tendința emisiilor de compuși organici persistenți din sectorul de activitate energie</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0</c:v>
                </c:pt>
                <c:pt idx="2">
                  <c:v>0</c:v>
                </c:pt>
                <c:pt idx="3">
                  <c:v>0</c:v>
                </c:pt>
                <c:pt idx="4">
                  <c:v>0</c:v>
                </c:pt>
              </c:numCache>
            </c:numRef>
          </c:val>
        </c:ser>
        <c:ser>
          <c:idx val="1"/>
          <c:order val="1"/>
          <c:tx>
            <c:strRef>
              <c:f>Sheet1!$C$1</c:f>
              <c:strCache>
                <c:ptCount val="1"/>
                <c:pt idx="0">
                  <c:v>HCB</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9.0000000000001435E-9</c:v>
                </c:pt>
                <c:pt idx="1">
                  <c:v>9.0000000000001435E-9</c:v>
                </c:pt>
                <c:pt idx="2">
                  <c:v>0</c:v>
                </c:pt>
                <c:pt idx="3">
                  <c:v>0</c:v>
                </c:pt>
                <c:pt idx="4">
                  <c:v>0</c:v>
                </c:pt>
              </c:numCache>
            </c:numRef>
          </c:val>
        </c:ser>
        <c:shape val="cone"/>
        <c:axId val="56655232"/>
        <c:axId val="56661120"/>
        <c:axId val="83227968"/>
      </c:bar3DChart>
      <c:catAx>
        <c:axId val="56655232"/>
        <c:scaling>
          <c:orientation val="minMax"/>
        </c:scaling>
        <c:axPos val="b"/>
        <c:numFmt formatCode="General" sourceLinked="1"/>
        <c:majorTickMark val="none"/>
        <c:tickLblPos val="nextTo"/>
        <c:crossAx val="56661120"/>
        <c:crossesAt val="0"/>
        <c:auto val="1"/>
        <c:lblAlgn val="ctr"/>
        <c:lblOffset val="100"/>
      </c:catAx>
      <c:valAx>
        <c:axId val="56661120"/>
        <c:scaling>
          <c:orientation val="minMax"/>
        </c:scaling>
        <c:axPos val="l"/>
        <c:majorGridlines/>
        <c:minorGridlines>
          <c:spPr>
            <a:ln>
              <a:solidFill>
                <a:sysClr val="window" lastClr="FFFFFF"/>
              </a:solidFill>
            </a:ln>
          </c:spPr>
        </c:minorGridlines>
        <c:title>
          <c:tx>
            <c:rich>
              <a:bodyPr rot="0" vert="horz"/>
              <a:lstStyle/>
              <a:p>
                <a:pPr>
                  <a:defRPr/>
                </a:pPr>
                <a:r>
                  <a:rPr lang="ro-RO"/>
                  <a:t>kg</a:t>
                </a:r>
              </a:p>
            </c:rich>
          </c:tx>
          <c:layout>
            <c:manualLayout>
              <c:xMode val="edge"/>
              <c:yMode val="edge"/>
              <c:x val="0.12003787377045159"/>
              <c:y val="0.23594651776561171"/>
            </c:manualLayout>
          </c:layout>
        </c:title>
        <c:numFmt formatCode="General" sourceLinked="1"/>
        <c:majorTickMark val="none"/>
        <c:tickLblPos val="nextTo"/>
        <c:crossAx val="56655232"/>
        <c:crosses val="autoZero"/>
        <c:crossBetween val="between"/>
      </c:valAx>
      <c:serAx>
        <c:axId val="83227968"/>
        <c:scaling>
          <c:orientation val="minMax"/>
        </c:scaling>
        <c:delete val="1"/>
        <c:axPos val="b"/>
        <c:tickLblPos val="none"/>
        <c:crossAx val="56661120"/>
        <c:crossesAt val="0"/>
      </c:serAx>
    </c:plotArea>
    <c:legend>
      <c:legendPos val="r"/>
    </c:legend>
    <c:plotVisOnly val="1"/>
  </c:chart>
  <c:externalData r:id="rId1"/>
</c:chartSpace>
</file>

<file path=word/charts/chart47.xml><?xml version="1.0" encoding="utf-8"?>
<c:chartSpace xmlns:c="http://schemas.openxmlformats.org/drawingml/2006/chart" xmlns:a="http://schemas.openxmlformats.org/drawingml/2006/main" xmlns:r="http://schemas.openxmlformats.org/officeDocument/2006/relationships">
  <c:date1904 val="1"/>
  <c:lang val="ro-RO"/>
  <c:style val="29"/>
  <c:chart>
    <c:title>
      <c:tx>
        <c:rich>
          <a:bodyPr/>
          <a:lstStyle/>
          <a:p>
            <a:pPr>
              <a:defRPr sz="1200" baseline="0">
                <a:latin typeface="Arial" pitchFamily="34" charset="0"/>
              </a:defRPr>
            </a:pPr>
            <a:r>
              <a:rPr lang="ro-RO" sz="1200" baseline="0">
                <a:latin typeface="Arial" pitchFamily="34" charset="0"/>
              </a:rPr>
              <a:t>Tendința emisiilor de compuși organici persistenți din sectorul de activitate industrie</a:t>
            </a:r>
          </a:p>
        </c:rich>
      </c:tx>
    </c:title>
    <c:view3D>
      <c:perspective val="30"/>
    </c:view3D>
    <c:plotArea>
      <c:layout/>
      <c:bar3DChart>
        <c:barDir val="col"/>
        <c:grouping val="standard"/>
        <c:ser>
          <c:idx val="0"/>
          <c:order val="0"/>
          <c:tx>
            <c:strRef>
              <c:f>Sheet1!$B$1</c:f>
              <c:strCache>
                <c:ptCount val="1"/>
                <c:pt idx="0">
                  <c:v>PAH</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34.43</c:v>
                </c:pt>
                <c:pt idx="1">
                  <c:v>31.1</c:v>
                </c:pt>
                <c:pt idx="2">
                  <c:v>15.14</c:v>
                </c:pt>
                <c:pt idx="3">
                  <c:v>9.8000000000000007</c:v>
                </c:pt>
                <c:pt idx="4">
                  <c:v>13</c:v>
                </c:pt>
              </c:numCache>
            </c:numRef>
          </c:val>
        </c:ser>
        <c:ser>
          <c:idx val="1"/>
          <c:order val="1"/>
          <c:tx>
            <c:strRef>
              <c:f>Sheet1!$C$1</c:f>
              <c:strCache>
                <c:ptCount val="1"/>
                <c:pt idx="0">
                  <c:v>HCB</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2.0000000000000288E-7</c:v>
                </c:pt>
                <c:pt idx="1">
                  <c:v>4.1000000000000021E-4</c:v>
                </c:pt>
                <c:pt idx="2">
                  <c:v>2.8000000000000335E-7</c:v>
                </c:pt>
                <c:pt idx="3">
                  <c:v>6.0000000000000834E-7</c:v>
                </c:pt>
                <c:pt idx="4">
                  <c:v>1.1000000000000164E-6</c:v>
                </c:pt>
              </c:numCache>
            </c:numRef>
          </c:val>
        </c:ser>
        <c:shape val="cone"/>
        <c:axId val="83737984"/>
        <c:axId val="83752064"/>
        <c:axId val="83694464"/>
      </c:bar3DChart>
      <c:catAx>
        <c:axId val="83737984"/>
        <c:scaling>
          <c:orientation val="minMax"/>
        </c:scaling>
        <c:axPos val="b"/>
        <c:numFmt formatCode="General" sourceLinked="1"/>
        <c:majorTickMark val="none"/>
        <c:tickLblPos val="nextTo"/>
        <c:crossAx val="83752064"/>
        <c:crossesAt val="0"/>
        <c:auto val="1"/>
        <c:lblAlgn val="ctr"/>
        <c:lblOffset val="100"/>
      </c:catAx>
      <c:valAx>
        <c:axId val="83752064"/>
        <c:scaling>
          <c:orientation val="minMax"/>
          <c:min val="0"/>
        </c:scaling>
        <c:axPos val="l"/>
        <c:majorGridlines/>
        <c:minorGridlines>
          <c:spPr>
            <a:ln>
              <a:solidFill>
                <a:sysClr val="window" lastClr="FFFFFF"/>
              </a:solidFill>
            </a:ln>
          </c:spPr>
        </c:minorGridlines>
        <c:title>
          <c:tx>
            <c:rich>
              <a:bodyPr rot="0" vert="horz"/>
              <a:lstStyle/>
              <a:p>
                <a:pPr>
                  <a:defRPr/>
                </a:pPr>
                <a:r>
                  <a:rPr lang="ro-RO"/>
                  <a:t>kg</a:t>
                </a:r>
              </a:p>
            </c:rich>
          </c:tx>
          <c:layout>
            <c:manualLayout>
              <c:xMode val="edge"/>
              <c:yMode val="edge"/>
              <c:x val="9.2623543552383267E-2"/>
              <c:y val="0.22855962949229691"/>
            </c:manualLayout>
          </c:layout>
        </c:title>
        <c:numFmt formatCode="General" sourceLinked="1"/>
        <c:majorTickMark val="none"/>
        <c:tickLblPos val="nextTo"/>
        <c:crossAx val="83737984"/>
        <c:crosses val="autoZero"/>
        <c:crossBetween val="between"/>
      </c:valAx>
      <c:serAx>
        <c:axId val="83694464"/>
        <c:scaling>
          <c:orientation val="minMax"/>
        </c:scaling>
        <c:delete val="1"/>
        <c:axPos val="b"/>
        <c:tickLblPos val="none"/>
        <c:crossAx val="83752064"/>
        <c:crossesAt val="0"/>
      </c:serAx>
    </c:plotArea>
    <c:legend>
      <c:legendPos val="r"/>
    </c:legend>
    <c:plotVisOnly val="1"/>
  </c:chart>
  <c:externalData r:id="rId1"/>
</c:chartSpace>
</file>

<file path=word/charts/chart48.xml><?xml version="1.0" encoding="utf-8"?>
<c:chartSpace xmlns:c="http://schemas.openxmlformats.org/drawingml/2006/chart" xmlns:a="http://schemas.openxmlformats.org/drawingml/2006/main" xmlns:r="http://schemas.openxmlformats.org/officeDocument/2006/relationships">
  <c:date1904 val="1"/>
  <c:lang val="ro-RO"/>
  <c:chart>
    <c:view3D>
      <c:rAngAx val="1"/>
    </c:view3D>
    <c:plotArea>
      <c:layout/>
      <c:bar3DChart>
        <c:barDir val="col"/>
        <c:grouping val="clustered"/>
        <c:ser>
          <c:idx val="0"/>
          <c:order val="0"/>
          <c:tx>
            <c:strRef>
              <c:f>Sheet1!$B$1</c:f>
              <c:strCache>
                <c:ptCount val="1"/>
                <c:pt idx="0">
                  <c:v>Total</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55616580</c:v>
                </c:pt>
                <c:pt idx="1">
                  <c:v>55616580</c:v>
                </c:pt>
                <c:pt idx="2">
                  <c:v>55616580</c:v>
                </c:pt>
                <c:pt idx="3">
                  <c:v>55616580</c:v>
                </c:pt>
                <c:pt idx="4">
                  <c:v>55616580</c:v>
                </c:pt>
              </c:numCache>
            </c:numRef>
          </c:val>
        </c:ser>
        <c:ser>
          <c:idx val="1"/>
          <c:order val="1"/>
          <c:tx>
            <c:strRef>
              <c:f>Sheet1!$C$1</c:f>
              <c:strCache>
                <c:ptCount val="1"/>
                <c:pt idx="0">
                  <c:v>Râuri interioare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99030</c:v>
                </c:pt>
                <c:pt idx="1">
                  <c:v>99030</c:v>
                </c:pt>
                <c:pt idx="2">
                  <c:v>99030</c:v>
                </c:pt>
                <c:pt idx="3">
                  <c:v>99030</c:v>
                </c:pt>
                <c:pt idx="4">
                  <c:v>99030</c:v>
                </c:pt>
              </c:numCache>
            </c:numRef>
          </c:val>
        </c:ser>
        <c:ser>
          <c:idx val="2"/>
          <c:order val="2"/>
          <c:tx>
            <c:strRef>
              <c:f>Sheet1!$D$1</c:f>
              <c:strCache>
                <c:ptCount val="1"/>
                <c:pt idx="0">
                  <c:v>Fluviul Dunărea</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55188000</c:v>
                </c:pt>
                <c:pt idx="1">
                  <c:v>55188000</c:v>
                </c:pt>
                <c:pt idx="2">
                  <c:v>55188000</c:v>
                </c:pt>
                <c:pt idx="3">
                  <c:v>55188000</c:v>
                </c:pt>
                <c:pt idx="4">
                  <c:v>55188000</c:v>
                </c:pt>
              </c:numCache>
            </c:numRef>
          </c:val>
        </c:ser>
        <c:ser>
          <c:idx val="3"/>
          <c:order val="3"/>
          <c:tx>
            <c:strRef>
              <c:f>Sheet1!$E$1</c:f>
              <c:strCache>
                <c:ptCount val="1"/>
                <c:pt idx="0">
                  <c:v>Ape subterane</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329550</c:v>
                </c:pt>
                <c:pt idx="1">
                  <c:v>329550</c:v>
                </c:pt>
                <c:pt idx="2">
                  <c:v>329550</c:v>
                </c:pt>
                <c:pt idx="3">
                  <c:v>329550</c:v>
                </c:pt>
                <c:pt idx="4">
                  <c:v>329550</c:v>
                </c:pt>
              </c:numCache>
            </c:numRef>
          </c:val>
        </c:ser>
        <c:shape val="box"/>
        <c:axId val="83784832"/>
        <c:axId val="83786368"/>
        <c:axId val="0"/>
      </c:bar3DChart>
      <c:catAx>
        <c:axId val="83784832"/>
        <c:scaling>
          <c:orientation val="minMax"/>
        </c:scaling>
        <c:axPos val="b"/>
        <c:numFmt formatCode="General" sourceLinked="1"/>
        <c:tickLblPos val="nextTo"/>
        <c:crossAx val="83786368"/>
        <c:crosses val="autoZero"/>
        <c:auto val="1"/>
        <c:lblAlgn val="ctr"/>
        <c:lblOffset val="100"/>
      </c:catAx>
      <c:valAx>
        <c:axId val="83786368"/>
        <c:scaling>
          <c:orientation val="minMax"/>
        </c:scaling>
        <c:axPos val="l"/>
        <c:majorGridlines/>
        <c:numFmt formatCode="General" sourceLinked="1"/>
        <c:tickLblPos val="nextTo"/>
        <c:crossAx val="83784832"/>
        <c:crosses val="autoZero"/>
        <c:crossBetween val="between"/>
      </c:valAx>
    </c:plotArea>
    <c:legend>
      <c:legendPos val="r"/>
    </c:legend>
    <c:plotVisOnly val="1"/>
  </c:chart>
  <c:spPr>
    <a:solidFill>
      <a:schemeClr val="bg2"/>
    </a:solidFill>
  </c:spPr>
  <c:externalData r:id="rId1"/>
</c:chartSpace>
</file>

<file path=word/charts/chart49.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i="0">
                <a:latin typeface="Arial" pitchFamily="34" charset="0"/>
                <a:cs typeface="Arial" pitchFamily="34" charset="0"/>
              </a:rPr>
              <a:t>Figura nr.</a:t>
            </a:r>
            <a:r>
              <a:rPr lang="ro-RO" sz="1200" b="1" i="0" u="none" strike="noStrike" baseline="0">
                <a:latin typeface="Arial" pitchFamily="34" charset="0"/>
                <a:cs typeface="Arial" pitchFamily="34" charset="0"/>
              </a:rPr>
              <a:t> II.1.1.2 -1</a:t>
            </a:r>
            <a:r>
              <a:rPr lang="ro-RO" sz="1200" i="0">
                <a:latin typeface="Arial" pitchFamily="34" charset="0"/>
                <a:cs typeface="Arial" pitchFamily="34" charset="0"/>
              </a:rPr>
              <a:t> </a:t>
            </a:r>
            <a:r>
              <a:rPr lang="ro-RO" sz="1200" b="0">
                <a:latin typeface="Arial" pitchFamily="34" charset="0"/>
                <a:cs typeface="Arial" pitchFamily="34" charset="0"/>
              </a:rPr>
              <a:t>- Evoluţia indicelui de exploatare a apei (WEI)  la nivelul județului Brăila, în perioada anilor  2010 - 2014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Indice WEI %</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0.00%</c:formatCode>
                <c:ptCount val="5"/>
                <c:pt idx="0">
                  <c:v>2.4599999999999999E-3</c:v>
                </c:pt>
                <c:pt idx="1">
                  <c:v>3.0000000000000092E-3</c:v>
                </c:pt>
                <c:pt idx="2">
                  <c:v>3.7000000000000362E-3</c:v>
                </c:pt>
                <c:pt idx="3">
                  <c:v>3.0000000000000092E-3</c:v>
                </c:pt>
                <c:pt idx="4">
                  <c:v>1.6000000000000146E-3</c:v>
                </c:pt>
              </c:numCache>
            </c:numRef>
          </c:val>
        </c:ser>
        <c:ser>
          <c:idx val="1"/>
          <c:order val="1"/>
          <c:tx>
            <c:strRef>
              <c:f>Sheet1!$C$1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axId val="83819904"/>
        <c:axId val="83195008"/>
      </c:barChart>
      <c:catAx>
        <c:axId val="83819904"/>
        <c:scaling>
          <c:orientation val="minMax"/>
        </c:scaling>
        <c:axPos val="b"/>
        <c:numFmt formatCode="General" sourceLinked="1"/>
        <c:tickLblPos val="nextTo"/>
        <c:crossAx val="83195008"/>
        <c:crosses val="autoZero"/>
        <c:auto val="1"/>
        <c:lblAlgn val="ctr"/>
        <c:lblOffset val="100"/>
      </c:catAx>
      <c:valAx>
        <c:axId val="83195008"/>
        <c:scaling>
          <c:orientation val="minMax"/>
        </c:scaling>
        <c:axPos val="l"/>
        <c:minorGridlines/>
        <c:numFmt formatCode="0.00%" sourceLinked="1"/>
        <c:tickLblPos val="nextTo"/>
        <c:crossAx val="83819904"/>
        <c:crosses val="autoZero"/>
        <c:crossBetween val="between"/>
      </c:valAx>
    </c:plotArea>
    <c:legend>
      <c:legendPos val="r"/>
      <c:legendEntry>
        <c:idx val="1"/>
        <c:delete val="1"/>
      </c:legendEntry>
      <c:legendEntry>
        <c:idx val="2"/>
        <c:delete val="1"/>
      </c:legendEntry>
    </c:legend>
    <c:plotVisOnly val="1"/>
  </c:chart>
  <c:spPr>
    <a:solidFill>
      <a:schemeClr val="accent5">
        <a:lumMod val="20000"/>
        <a:lumOff val="80000"/>
      </a:schemeClr>
    </a:solidFill>
  </c:spPr>
  <c:externalData r:id="rId1"/>
</c:chartSpace>
</file>

<file path=word/charts/chart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6.1326167562388026E-2"/>
          <c:y val="0.22597303199695459"/>
          <c:w val="0.92531065003735846"/>
          <c:h val="0.62943439762338316"/>
        </c:manualLayout>
      </c:layout>
      <c:barChart>
        <c:barDir val="col"/>
        <c:grouping val="clustered"/>
        <c:ser>
          <c:idx val="1"/>
          <c:order val="0"/>
          <c:tx>
            <c:strRef>
              <c:f>Sheet1!$A$2</c:f>
              <c:strCache>
                <c:ptCount val="1"/>
                <c:pt idx="0">
                  <c:v>Sediu APM</c:v>
                </c:pt>
              </c:strCache>
            </c:strRef>
          </c:tx>
          <c:spPr>
            <a:solidFill>
              <a:srgbClr val="993366"/>
            </a:solidFill>
            <a:ln w="9290">
              <a:solidFill>
                <a:srgbClr val="000000"/>
              </a:solidFill>
              <a:prstDash val="solid"/>
            </a:ln>
          </c:spPr>
          <c:dLbls>
            <c:showVal val="1"/>
          </c:dLbls>
          <c:cat>
            <c:strRef>
              <c:f>Sheet1!$B$1:$B$1</c:f>
              <c:strCache>
                <c:ptCount val="1"/>
                <c:pt idx="0">
                  <c:v>Media an 2014</c:v>
                </c:pt>
              </c:strCache>
            </c:strRef>
          </c:cat>
          <c:val>
            <c:numRef>
              <c:f>Sheet1!$B$2:$B$2</c:f>
              <c:numCache>
                <c:formatCode>General</c:formatCode>
                <c:ptCount val="1"/>
                <c:pt idx="0">
                  <c:v>4.24</c:v>
                </c:pt>
              </c:numCache>
            </c:numRef>
          </c:val>
        </c:ser>
        <c:ser>
          <c:idx val="2"/>
          <c:order val="1"/>
          <c:tx>
            <c:strRef>
              <c:f>Sheet1!$A$3</c:f>
              <c:strCache>
                <c:ptCount val="1"/>
                <c:pt idx="0">
                  <c:v>Uzina de Apă</c:v>
                </c:pt>
              </c:strCache>
            </c:strRef>
          </c:tx>
          <c:spPr>
            <a:solidFill>
              <a:srgbClr val="FFFFCC"/>
            </a:solidFill>
            <a:ln w="9290">
              <a:solidFill>
                <a:srgbClr val="000000"/>
              </a:solidFill>
              <a:prstDash val="solid"/>
            </a:ln>
          </c:spPr>
          <c:dLbls>
            <c:showVal val="1"/>
          </c:dLbls>
          <c:trendline>
            <c:trendlineType val="linear"/>
          </c:trendline>
          <c:cat>
            <c:strRef>
              <c:f>Sheet1!$B$1:$B$1</c:f>
              <c:strCache>
                <c:ptCount val="1"/>
                <c:pt idx="0">
                  <c:v>Media an 2014</c:v>
                </c:pt>
              </c:strCache>
            </c:strRef>
          </c:cat>
          <c:val>
            <c:numRef>
              <c:f>Sheet1!$B$3:$B$3</c:f>
              <c:numCache>
                <c:formatCode>General</c:formatCode>
                <c:ptCount val="1"/>
                <c:pt idx="0">
                  <c:v>6.23</c:v>
                </c:pt>
              </c:numCache>
            </c:numRef>
          </c:val>
        </c:ser>
        <c:ser>
          <c:idx val="3"/>
          <c:order val="2"/>
          <c:tx>
            <c:strRef>
              <c:f>Sheet1!$A$4</c:f>
              <c:strCache>
                <c:ptCount val="1"/>
                <c:pt idx="0">
                  <c:v>Vărsătura</c:v>
                </c:pt>
              </c:strCache>
            </c:strRef>
          </c:tx>
          <c:spPr>
            <a:solidFill>
              <a:srgbClr val="00FF00"/>
            </a:solidFill>
            <a:ln w="9290">
              <a:solidFill>
                <a:srgbClr val="000000"/>
              </a:solidFill>
              <a:prstDash val="solid"/>
            </a:ln>
          </c:spPr>
          <c:dLbls>
            <c:dLbl>
              <c:idx val="0"/>
              <c:layout>
                <c:manualLayout>
                  <c:x val="5.5026455026455028E-2"/>
                  <c:y val="5.0890585241730527E-2"/>
                </c:manualLayout>
              </c:layout>
              <c:showVal val="1"/>
            </c:dLbl>
            <c:showVal val="1"/>
          </c:dLbls>
          <c:cat>
            <c:strRef>
              <c:f>Sheet1!$B$1:$B$1</c:f>
              <c:strCache>
                <c:ptCount val="1"/>
                <c:pt idx="0">
                  <c:v>Media an 2014</c:v>
                </c:pt>
              </c:strCache>
            </c:strRef>
          </c:cat>
          <c:val>
            <c:numRef>
              <c:f>Sheet1!$B$4:$B$4</c:f>
              <c:numCache>
                <c:formatCode>General</c:formatCode>
                <c:ptCount val="1"/>
                <c:pt idx="0">
                  <c:v>16.39</c:v>
                </c:pt>
              </c:numCache>
            </c:numRef>
          </c:val>
        </c:ser>
        <c:ser>
          <c:idx val="4"/>
          <c:order val="3"/>
          <c:tx>
            <c:strRef>
              <c:f>Sheet1!$A$5</c:f>
              <c:strCache>
                <c:ptCount val="1"/>
                <c:pt idx="0">
                  <c:v>Str.Gen.Gh. Avramescu</c:v>
                </c:pt>
              </c:strCache>
            </c:strRef>
          </c:tx>
          <c:spPr>
            <a:solidFill>
              <a:srgbClr val="660066"/>
            </a:solidFill>
            <a:ln w="9290">
              <a:solidFill>
                <a:srgbClr val="000000"/>
              </a:solidFill>
              <a:prstDash val="solid"/>
            </a:ln>
          </c:spPr>
          <c:dLbls>
            <c:showVal val="1"/>
          </c:dLbls>
          <c:cat>
            <c:strRef>
              <c:f>Sheet1!$B$1:$B$1</c:f>
              <c:strCache>
                <c:ptCount val="1"/>
                <c:pt idx="0">
                  <c:v>Media an 2014</c:v>
                </c:pt>
              </c:strCache>
            </c:strRef>
          </c:cat>
          <c:val>
            <c:numRef>
              <c:f>Sheet1!$B$5:$B$5</c:f>
              <c:numCache>
                <c:formatCode>General</c:formatCode>
                <c:ptCount val="1"/>
                <c:pt idx="0">
                  <c:v>6.6099999999999985</c:v>
                </c:pt>
              </c:numCache>
            </c:numRef>
          </c:val>
        </c:ser>
        <c:ser>
          <c:idx val="5"/>
          <c:order val="4"/>
          <c:tx>
            <c:strRef>
              <c:f>Sheet1!$A$6</c:f>
              <c:strCache>
                <c:ptCount val="1"/>
                <c:pt idx="0">
                  <c:v>Stația Nord</c:v>
                </c:pt>
              </c:strCache>
            </c:strRef>
          </c:tx>
          <c:spPr>
            <a:solidFill>
              <a:srgbClr val="FF8080"/>
            </a:solidFill>
            <a:ln w="9290">
              <a:solidFill>
                <a:srgbClr val="000000"/>
              </a:solidFill>
              <a:prstDash val="solid"/>
            </a:ln>
          </c:spPr>
          <c:dLbls>
            <c:showVal val="1"/>
          </c:dLbls>
          <c:cat>
            <c:strRef>
              <c:f>Sheet1!$B$1:$B$1</c:f>
              <c:strCache>
                <c:ptCount val="1"/>
                <c:pt idx="0">
                  <c:v>Media an 2014</c:v>
                </c:pt>
              </c:strCache>
            </c:strRef>
          </c:cat>
          <c:val>
            <c:numRef>
              <c:f>Sheet1!$B$6:$B$6</c:f>
              <c:numCache>
                <c:formatCode>General</c:formatCode>
                <c:ptCount val="1"/>
                <c:pt idx="0">
                  <c:v>5.88</c:v>
                </c:pt>
              </c:numCache>
            </c:numRef>
          </c:val>
        </c:ser>
        <c:ser>
          <c:idx val="6"/>
          <c:order val="5"/>
          <c:tx>
            <c:strRef>
              <c:f>Sheet1!$A$7</c:f>
              <c:strCache>
                <c:ptCount val="1"/>
                <c:pt idx="0">
                  <c:v>SC Hercules</c:v>
                </c:pt>
              </c:strCache>
            </c:strRef>
          </c:tx>
          <c:spPr>
            <a:solidFill>
              <a:srgbClr val="0066CC"/>
            </a:solidFill>
            <a:ln w="9290">
              <a:solidFill>
                <a:srgbClr val="000000"/>
              </a:solidFill>
              <a:prstDash val="solid"/>
            </a:ln>
          </c:spPr>
          <c:dLbls>
            <c:showVal val="1"/>
          </c:dLbls>
          <c:cat>
            <c:strRef>
              <c:f>Sheet1!$B$1:$B$1</c:f>
              <c:strCache>
                <c:ptCount val="1"/>
                <c:pt idx="0">
                  <c:v>Media an 2014</c:v>
                </c:pt>
              </c:strCache>
            </c:strRef>
          </c:cat>
          <c:val>
            <c:numRef>
              <c:f>Sheet1!$B$7:$B$7</c:f>
              <c:numCache>
                <c:formatCode>General</c:formatCode>
                <c:ptCount val="1"/>
                <c:pt idx="0">
                  <c:v>8.56</c:v>
                </c:pt>
              </c:numCache>
            </c:numRef>
          </c:val>
        </c:ser>
        <c:ser>
          <c:idx val="0"/>
          <c:order val="6"/>
          <c:tx>
            <c:strRef>
              <c:f>Sheet1!$A$8</c:f>
              <c:strCache>
                <c:ptCount val="1"/>
                <c:pt idx="0">
                  <c:v>Termoelectrica Chiscani</c:v>
                </c:pt>
              </c:strCache>
            </c:strRef>
          </c:tx>
          <c:dLbls>
            <c:showVal val="1"/>
          </c:dLbls>
          <c:cat>
            <c:strRef>
              <c:f>Sheet1!$B$1:$B$1</c:f>
              <c:strCache>
                <c:ptCount val="1"/>
                <c:pt idx="0">
                  <c:v>Media an 2014</c:v>
                </c:pt>
              </c:strCache>
            </c:strRef>
          </c:cat>
          <c:val>
            <c:numRef>
              <c:f>Sheet1!$B$8:$B$8</c:f>
              <c:numCache>
                <c:formatCode>General</c:formatCode>
                <c:ptCount val="1"/>
                <c:pt idx="0">
                  <c:v>5.88</c:v>
                </c:pt>
              </c:numCache>
            </c:numRef>
          </c:val>
        </c:ser>
        <c:ser>
          <c:idx val="7"/>
          <c:order val="7"/>
          <c:tx>
            <c:strRef>
              <c:f>Sheet1!$A$9</c:f>
              <c:strCache>
                <c:ptCount val="1"/>
                <c:pt idx="0">
                  <c:v>Str.Galați</c:v>
                </c:pt>
              </c:strCache>
            </c:strRef>
          </c:tx>
          <c:dLbls>
            <c:showVal val="1"/>
          </c:dLbls>
          <c:cat>
            <c:strRef>
              <c:f>Sheet1!$B$1:$B$1</c:f>
              <c:strCache>
                <c:ptCount val="1"/>
                <c:pt idx="0">
                  <c:v>Media an 2014</c:v>
                </c:pt>
              </c:strCache>
            </c:strRef>
          </c:cat>
          <c:val>
            <c:numRef>
              <c:f>Sheet1!$B$9:$B$9</c:f>
              <c:numCache>
                <c:formatCode>General</c:formatCode>
                <c:ptCount val="1"/>
                <c:pt idx="0">
                  <c:v>7.68</c:v>
                </c:pt>
              </c:numCache>
            </c:numRef>
          </c:val>
        </c:ser>
        <c:ser>
          <c:idx val="8"/>
          <c:order val="8"/>
          <c:tx>
            <c:strRef>
              <c:f>Sheet1!$A$10</c:f>
              <c:strCache>
                <c:ptCount val="1"/>
                <c:pt idx="0">
                  <c:v>Cazasu</c:v>
                </c:pt>
              </c:strCache>
            </c:strRef>
          </c:tx>
          <c:dLbls>
            <c:showVal val="1"/>
          </c:dLbls>
          <c:cat>
            <c:strRef>
              <c:f>Sheet1!$B$1:$B$1</c:f>
              <c:strCache>
                <c:ptCount val="1"/>
                <c:pt idx="0">
                  <c:v>Media an 2014</c:v>
                </c:pt>
              </c:strCache>
            </c:strRef>
          </c:cat>
          <c:val>
            <c:numRef>
              <c:f>Sheet1!$B$10:$B$10</c:f>
              <c:numCache>
                <c:formatCode>General</c:formatCode>
                <c:ptCount val="1"/>
                <c:pt idx="0">
                  <c:v>4.07</c:v>
                </c:pt>
              </c:numCache>
            </c:numRef>
          </c:val>
        </c:ser>
        <c:ser>
          <c:idx val="9"/>
          <c:order val="9"/>
          <c:tx>
            <c:strRef>
              <c:f>Sheet1!$A$11</c:f>
              <c:strCache>
                <c:ptCount val="1"/>
                <c:pt idx="0">
                  <c:v>Primaria Brăila</c:v>
                </c:pt>
              </c:strCache>
            </c:strRef>
          </c:tx>
          <c:dLbls>
            <c:showVal val="1"/>
          </c:dLbls>
          <c:cat>
            <c:strRef>
              <c:f>Sheet1!$B$1:$B$1</c:f>
              <c:strCache>
                <c:ptCount val="1"/>
                <c:pt idx="0">
                  <c:v>Media an 2014</c:v>
                </c:pt>
              </c:strCache>
            </c:strRef>
          </c:cat>
          <c:val>
            <c:numRef>
              <c:f>Sheet1!$B$11:$B$11</c:f>
              <c:numCache>
                <c:formatCode>General</c:formatCode>
                <c:ptCount val="1"/>
                <c:pt idx="0">
                  <c:v>10.07</c:v>
                </c:pt>
              </c:numCache>
            </c:numRef>
          </c:val>
        </c:ser>
        <c:gapWidth val="113"/>
        <c:overlap val="-76"/>
        <c:axId val="223288320"/>
        <c:axId val="223306496"/>
      </c:barChart>
      <c:catAx>
        <c:axId val="223288320"/>
        <c:scaling>
          <c:orientation val="minMax"/>
        </c:scaling>
        <c:axPos val="b"/>
        <c:numFmt formatCode="General" sourceLinked="1"/>
        <c:majorTickMark val="none"/>
        <c:tickLblPos val="low"/>
        <c:spPr>
          <a:ln w="2322">
            <a:solidFill>
              <a:srgbClr val="000000"/>
            </a:solidFill>
            <a:prstDash val="solid"/>
          </a:ln>
        </c:spPr>
        <c:txPr>
          <a:bodyPr rot="0" vert="horz"/>
          <a:lstStyle/>
          <a:p>
            <a:pPr>
              <a:defRPr sz="1000" b="1" i="0" u="none" strike="noStrike" baseline="0">
                <a:solidFill>
                  <a:srgbClr val="000000"/>
                </a:solidFill>
                <a:latin typeface="Calibri"/>
                <a:ea typeface="Calibri"/>
                <a:cs typeface="Calibri"/>
              </a:defRPr>
            </a:pPr>
            <a:endParaRPr lang="ro-RO"/>
          </a:p>
        </c:txPr>
        <c:crossAx val="223306496"/>
        <c:crosses val="autoZero"/>
        <c:auto val="1"/>
        <c:lblAlgn val="ctr"/>
        <c:lblOffset val="100"/>
        <c:tickLblSkip val="1"/>
        <c:tickMarkSkip val="1"/>
      </c:catAx>
      <c:valAx>
        <c:axId val="223306496"/>
        <c:scaling>
          <c:orientation val="minMax"/>
        </c:scaling>
        <c:axPos val="l"/>
        <c:majorGridlines>
          <c:spPr>
            <a:ln w="2322">
              <a:solidFill>
                <a:srgbClr val="000000"/>
              </a:solidFill>
              <a:prstDash val="solid"/>
            </a:ln>
          </c:spPr>
        </c:majorGridlines>
        <c:numFmt formatCode="General" sourceLinked="1"/>
        <c:majorTickMark val="none"/>
        <c:tickLblPos val="nextTo"/>
        <c:spPr>
          <a:ln w="2322">
            <a:solidFill>
              <a:srgbClr val="000000"/>
            </a:solidFill>
            <a:prstDash val="solid"/>
          </a:ln>
        </c:spPr>
        <c:txPr>
          <a:bodyPr rot="0" vert="horz"/>
          <a:lstStyle/>
          <a:p>
            <a:pPr>
              <a:defRPr sz="900" b="1" i="0" u="none" strike="noStrike" baseline="0">
                <a:solidFill>
                  <a:srgbClr val="000000"/>
                </a:solidFill>
                <a:latin typeface="Calibri"/>
                <a:ea typeface="Calibri"/>
                <a:cs typeface="Calibri"/>
              </a:defRPr>
            </a:pPr>
            <a:endParaRPr lang="ro-RO"/>
          </a:p>
        </c:txPr>
        <c:crossAx val="223288320"/>
        <c:crosses val="autoZero"/>
        <c:crossBetween val="between"/>
      </c:valAx>
      <c:spPr>
        <a:gradFill>
          <a:gsLst>
            <a:gs pos="0">
              <a:srgbClr val="4F81BD">
                <a:tint val="66000"/>
                <a:satMod val="160000"/>
              </a:srgbClr>
            </a:gs>
            <a:gs pos="50000">
              <a:srgbClr val="4F81BD">
                <a:tint val="44500"/>
                <a:satMod val="160000"/>
              </a:srgbClr>
            </a:gs>
            <a:gs pos="100000">
              <a:srgbClr val="4F81BD">
                <a:tint val="23500"/>
                <a:satMod val="160000"/>
              </a:srgbClr>
            </a:gs>
          </a:gsLst>
          <a:lin ang="5400000" scaled="0"/>
        </a:gradFill>
        <a:ln w="9291">
          <a:solidFill>
            <a:srgbClr val="808080"/>
          </a:solidFill>
          <a:prstDash val="solid"/>
        </a:ln>
      </c:spPr>
    </c:plotArea>
    <c:plotVisOnly val="1"/>
    <c:dispBlanksAs val="gap"/>
  </c:chart>
  <c:spPr>
    <a:noFill/>
    <a:ln>
      <a:noFill/>
    </a:ln>
  </c:spPr>
  <c:txPr>
    <a:bodyPr/>
    <a:lstStyle/>
    <a:p>
      <a:pPr>
        <a:defRPr sz="786" b="1" i="0" u="none" strike="noStrike" baseline="0">
          <a:solidFill>
            <a:srgbClr val="000000"/>
          </a:solidFill>
          <a:latin typeface="Calibri"/>
          <a:ea typeface="Calibri"/>
          <a:cs typeface="Calibri"/>
        </a:defRPr>
      </a:pPr>
      <a:endParaRPr lang="ro-RO"/>
    </a:p>
  </c:txPr>
  <c:externalData r:id="rId2"/>
</c:chartSpace>
</file>

<file path=word/charts/chart5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100" b="1">
                <a:latin typeface="Arial" pitchFamily="34" charset="0"/>
                <a:cs typeface="Arial" pitchFamily="34" charset="0"/>
              </a:rPr>
              <a:t>Figura nr. II.1.1.2</a:t>
            </a:r>
            <a:r>
              <a:rPr lang="ro-RO" sz="1100" b="1" i="1">
                <a:latin typeface="Arial" pitchFamily="34" charset="0"/>
                <a:cs typeface="Arial" pitchFamily="34" charset="0"/>
              </a:rPr>
              <a:t> </a:t>
            </a:r>
            <a:r>
              <a:rPr lang="ro-RO" sz="1100" b="1">
                <a:latin typeface="Arial" pitchFamily="34" charset="0"/>
                <a:cs typeface="Arial" pitchFamily="34" charset="0"/>
              </a:rPr>
              <a:t>– 2</a:t>
            </a:r>
            <a:endParaRPr lang="ro-RO" sz="1100">
              <a:latin typeface="Arial" pitchFamily="34" charset="0"/>
              <a:cs typeface="Arial" pitchFamily="34" charset="0"/>
            </a:endParaRP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vi-VN" sz="1200" b="0">
                <a:latin typeface="Arial" pitchFamily="34" charset="0"/>
                <a:cs typeface="Arial" pitchFamily="34" charset="0"/>
              </a:rPr>
              <a:t>Cerinţele şi prelevările de apă la nivelul județului Brăila, în anul 2014 ( mii m3   )</a:t>
            </a:r>
          </a:p>
        </c:rich>
      </c:tx>
    </c:title>
    <c:view3D>
      <c:rotX val="30"/>
      <c:perspective val="30"/>
    </c:view3D>
    <c:plotArea>
      <c:layout/>
      <c:pie3DChart>
        <c:varyColors val="1"/>
        <c:ser>
          <c:idx val="0"/>
          <c:order val="0"/>
          <c:tx>
            <c:strRef>
              <c:f>Sheet1!$B$1</c:f>
              <c:strCache>
                <c:ptCount val="1"/>
                <c:pt idx="0">
                  <c:v>Cerinţele şi prelevările de apă la nivelul județului Brăila, în anul 2014 ( mii m3   )</c:v>
                </c:pt>
              </c:strCache>
            </c:strRef>
          </c:tx>
          <c:explosion val="25"/>
          <c:cat>
            <c:strRef>
              <c:f>Sheet1!$A$2:$A$5</c:f>
              <c:strCache>
                <c:ptCount val="2"/>
                <c:pt idx="0">
                  <c:v>Total Prelevat</c:v>
                </c:pt>
                <c:pt idx="1">
                  <c:v>Total cerință</c:v>
                </c:pt>
              </c:strCache>
            </c:strRef>
          </c:cat>
          <c:val>
            <c:numRef>
              <c:f>Sheet1!$B$2:$B$5</c:f>
              <c:numCache>
                <c:formatCode>General</c:formatCode>
                <c:ptCount val="4"/>
                <c:pt idx="0">
                  <c:v>91785.862999999998</c:v>
                </c:pt>
                <c:pt idx="1">
                  <c:v>176304.18</c:v>
                </c:pt>
              </c:numCache>
            </c:numRef>
          </c:val>
        </c:ser>
      </c:pie3DChart>
    </c:plotArea>
    <c:legend>
      <c:legendPos val="r"/>
      <c:legendEntry>
        <c:idx val="2"/>
        <c:delete val="1"/>
      </c:legendEntry>
      <c:legendEntry>
        <c:idx val="3"/>
        <c:delete val="1"/>
      </c:legendEntry>
    </c:legend>
    <c:plotVisOnly val="1"/>
  </c:chart>
  <c:spPr>
    <a:solidFill>
      <a:schemeClr val="accent5">
        <a:lumMod val="20000"/>
        <a:lumOff val="80000"/>
      </a:schemeClr>
    </a:solidFill>
  </c:spPr>
  <c:externalData r:id="rId1"/>
</c:chartSpace>
</file>

<file path=word/charts/chart5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a:t>
            </a:r>
            <a:r>
              <a:rPr lang="ro-RO" sz="1100" b="1" i="0" u="none" strike="noStrike" baseline="0">
                <a:latin typeface="Arial" pitchFamily="34" charset="0"/>
                <a:cs typeface="Arial" pitchFamily="34" charset="0"/>
              </a:rPr>
              <a:t>II.1.1.2</a:t>
            </a:r>
            <a:r>
              <a:rPr lang="ro-RO" sz="1100" b="1" i="1" u="none" strike="noStrike" baseline="0">
                <a:latin typeface="Arial" pitchFamily="34" charset="0"/>
                <a:cs typeface="Arial" pitchFamily="34" charset="0"/>
              </a:rPr>
              <a:t> </a:t>
            </a:r>
            <a:r>
              <a:rPr lang="ro-RO" sz="1100" b="1" i="0" u="none" strike="noStrike" baseline="0">
                <a:latin typeface="Arial" pitchFamily="34" charset="0"/>
                <a:cs typeface="Arial" pitchFamily="34" charset="0"/>
              </a:rPr>
              <a:t>– 3</a:t>
            </a:r>
            <a:r>
              <a:rPr lang="ro-RO" sz="1100">
                <a:latin typeface="Arial" pitchFamily="34" charset="0"/>
                <a:cs typeface="Arial" pitchFamily="34" charset="0"/>
              </a:rPr>
              <a:t> </a:t>
            </a:r>
            <a:r>
              <a:rPr lang="ro-RO" sz="1200">
                <a:latin typeface="Arial" pitchFamily="34" charset="0"/>
                <a:cs typeface="Arial" pitchFamily="34" charset="0"/>
              </a:rPr>
              <a:t>- </a:t>
            </a:r>
            <a:r>
              <a:rPr lang="ro-RO" sz="1200" b="0">
                <a:latin typeface="Arial" pitchFamily="34" charset="0"/>
                <a:cs typeface="Arial" pitchFamily="34" charset="0"/>
              </a:rPr>
              <a:t>Evoluţia cerinţei şi prelevărilor de apă la nivelul județului Brăila, în perioada 2010 – 2014 Volum  (mii m</a:t>
            </a:r>
            <a:r>
              <a:rPr lang="ro-RO" sz="1200" b="0" baseline="30000">
                <a:latin typeface="Arial" pitchFamily="34" charset="0"/>
                <a:cs typeface="Arial" pitchFamily="34" charset="0"/>
              </a:rPr>
              <a:t>3</a:t>
            </a:r>
            <a:r>
              <a:rPr lang="ro-RO" sz="1200" b="0">
                <a:latin typeface="Arial" pitchFamily="34" charset="0"/>
                <a:cs typeface="Arial" pitchFamily="34" charset="0"/>
              </a:rPr>
              <a:t>)</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Total prelevat</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136852.35599999968</c:v>
                </c:pt>
                <c:pt idx="1">
                  <c:v>168344.5</c:v>
                </c:pt>
                <c:pt idx="2">
                  <c:v>208666.87099999998</c:v>
                </c:pt>
                <c:pt idx="3">
                  <c:v>171748.41999999998</c:v>
                </c:pt>
                <c:pt idx="4">
                  <c:v>91785.862999999998</c:v>
                </c:pt>
              </c:numCache>
            </c:numRef>
          </c:val>
        </c:ser>
        <c:ser>
          <c:idx val="1"/>
          <c:order val="1"/>
          <c:tx>
            <c:strRef>
              <c:f>'Sheet1'!$C$1</c:f>
              <c:strCache>
                <c:ptCount val="1"/>
                <c:pt idx="0">
                  <c:v>Total cerință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c:v>
                </c:pt>
                <c:pt idx="1">
                  <c:v>399788.1</c:v>
                </c:pt>
                <c:pt idx="2">
                  <c:v>189124.8</c:v>
                </c:pt>
                <c:pt idx="3">
                  <c:v>217226.6</c:v>
                </c:pt>
                <c:pt idx="4">
                  <c:v>176304.18</c:v>
                </c:pt>
              </c:numCache>
            </c:numRef>
          </c:val>
        </c:ser>
        <c:ser>
          <c:idx val="2"/>
          <c:order val="2"/>
          <c:tx>
            <c:strRef>
              <c:f>'Sheet1'!$D$1</c:f>
              <c:strCache>
                <c:ptCount val="1"/>
                <c:pt idx="0">
                  <c:v>Column1</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axId val="83986304"/>
        <c:axId val="83987840"/>
      </c:barChart>
      <c:catAx>
        <c:axId val="83986304"/>
        <c:scaling>
          <c:orientation val="minMax"/>
        </c:scaling>
        <c:axPos val="b"/>
        <c:numFmt formatCode="General" sourceLinked="1"/>
        <c:tickLblPos val="nextTo"/>
        <c:crossAx val="83987840"/>
        <c:crosses val="autoZero"/>
        <c:auto val="1"/>
        <c:lblAlgn val="ctr"/>
        <c:lblOffset val="100"/>
      </c:catAx>
      <c:valAx>
        <c:axId val="83987840"/>
        <c:scaling>
          <c:orientation val="minMax"/>
        </c:scaling>
        <c:axPos val="l"/>
        <c:majorGridlines/>
        <c:numFmt formatCode="General" sourceLinked="1"/>
        <c:tickLblPos val="nextTo"/>
        <c:crossAx val="83986304"/>
        <c:crosses val="autoZero"/>
        <c:crossBetween val="between"/>
      </c:valAx>
    </c:plotArea>
    <c:legend>
      <c:legendPos val="r"/>
      <c:legendEntry>
        <c:idx val="2"/>
        <c:delete val="1"/>
      </c:legendEntry>
    </c:legend>
    <c:plotVisOnly val="1"/>
  </c:chart>
  <c:spPr>
    <a:solidFill>
      <a:schemeClr val="accent4">
        <a:lumMod val="40000"/>
        <a:lumOff val="60000"/>
      </a:schemeClr>
    </a:solidFill>
  </c:spPr>
  <c:externalData r:id="rId1"/>
</c:chartSpace>
</file>

<file path=word/charts/chart52.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lgn="ctr">
              <a:defRPr/>
            </a:pPr>
            <a:r>
              <a:rPr lang="ro-RO" sz="1100" b="1">
                <a:latin typeface="Arial" pitchFamily="34" charset="0"/>
                <a:cs typeface="Arial" pitchFamily="34" charset="0"/>
              </a:rPr>
              <a:t>Figura nr. </a:t>
            </a:r>
            <a:r>
              <a:rPr lang="ro-RO" sz="1100" b="1" i="0" u="none" strike="noStrike" baseline="0">
                <a:latin typeface="Arial" pitchFamily="34" charset="0"/>
                <a:cs typeface="Arial" pitchFamily="34" charset="0"/>
              </a:rPr>
              <a:t>II.1.1.2</a:t>
            </a:r>
            <a:r>
              <a:rPr lang="ro-RO" sz="1100" b="1" i="1" u="none" strike="noStrike" baseline="0">
                <a:latin typeface="Arial" pitchFamily="34" charset="0"/>
                <a:cs typeface="Arial" pitchFamily="34" charset="0"/>
              </a:rPr>
              <a:t> </a:t>
            </a:r>
            <a:r>
              <a:rPr lang="ro-RO" sz="1100" b="1" i="0" u="none" strike="noStrike" baseline="0">
                <a:latin typeface="Arial" pitchFamily="34" charset="0"/>
                <a:cs typeface="Arial" pitchFamily="34" charset="0"/>
              </a:rPr>
              <a:t>– 4 </a:t>
            </a:r>
            <a:r>
              <a:rPr lang="ro-RO" sz="1100" b="1">
                <a:latin typeface="Arial" pitchFamily="34" charset="0"/>
                <a:cs typeface="Arial" pitchFamily="34" charset="0"/>
              </a:rPr>
              <a:t>.</a:t>
            </a:r>
            <a:r>
              <a:rPr lang="ro-RO" sz="1100">
                <a:latin typeface="Arial" pitchFamily="34" charset="0"/>
                <a:cs typeface="Arial" pitchFamily="34" charset="0"/>
              </a:rPr>
              <a:t> </a:t>
            </a:r>
            <a:r>
              <a:rPr lang="ro-RO" sz="1200">
                <a:latin typeface="Arial" pitchFamily="34" charset="0"/>
                <a:cs typeface="Arial" pitchFamily="34" charset="0"/>
              </a:rPr>
              <a:t>- </a:t>
            </a:r>
            <a:r>
              <a:rPr lang="ro-RO" sz="1200" b="0">
                <a:latin typeface="Arial" pitchFamily="34" charset="0"/>
                <a:cs typeface="Arial" pitchFamily="34" charset="0"/>
              </a:rPr>
              <a:t>Volumele de apă prelevate pentru acoperirea cerințelor diferitelor categorii de folosințe la nivelul județului Brăila, în anul  2014 </a:t>
            </a:r>
          </a:p>
          <a:p>
            <a:pPr algn="ctr">
              <a:defRPr/>
            </a:pPr>
            <a:r>
              <a:rPr lang="ro-RO" sz="1200" b="0">
                <a:latin typeface="Arial" pitchFamily="34" charset="0"/>
                <a:cs typeface="Arial" pitchFamily="34" charset="0"/>
              </a:rPr>
              <a:t>                                   </a:t>
            </a:r>
          </a:p>
          <a:p>
            <a:pPr algn="ctr">
              <a:defRPr/>
            </a:pPr>
            <a:endParaRPr lang="en-US"/>
          </a:p>
        </c:rich>
      </c:tx>
    </c:title>
    <c:view3D>
      <c:rotX val="30"/>
      <c:perspective val="30"/>
    </c:view3D>
    <c:plotArea>
      <c:layout/>
      <c:pie3DChart>
        <c:varyColors val="1"/>
        <c:ser>
          <c:idx val="0"/>
          <c:order val="0"/>
          <c:tx>
            <c:strRef>
              <c:f>'Sheet1'!$B$1</c:f>
              <c:strCache>
                <c:ptCount val="1"/>
                <c:pt idx="0">
                  <c:v>Sales</c:v>
                </c:pt>
              </c:strCache>
            </c:strRef>
          </c:tx>
          <c:explosion val="25"/>
          <c:cat>
            <c:strRef>
              <c:f>'Sheet1'!$A$2:$A$5</c:f>
              <c:strCache>
                <c:ptCount val="3"/>
                <c:pt idx="0">
                  <c:v>Populație</c:v>
                </c:pt>
                <c:pt idx="1">
                  <c:v>Industrie</c:v>
                </c:pt>
                <c:pt idx="2">
                  <c:v>Agricultură</c:v>
                </c:pt>
              </c:strCache>
            </c:strRef>
          </c:cat>
          <c:val>
            <c:numRef>
              <c:f>'Sheet1'!$B$2:$B$5</c:f>
              <c:numCache>
                <c:formatCode>General</c:formatCode>
                <c:ptCount val="4"/>
                <c:pt idx="0">
                  <c:v>22162.449000000001</c:v>
                </c:pt>
                <c:pt idx="1">
                  <c:v>562.81399999999996</c:v>
                </c:pt>
                <c:pt idx="2">
                  <c:v>69060.600000000006</c:v>
                </c:pt>
              </c:numCache>
            </c:numRef>
          </c:val>
        </c:ser>
      </c:pie3DChart>
    </c:plotArea>
    <c:legend>
      <c:legendPos val="r"/>
      <c:legendEntry>
        <c:idx val="3"/>
        <c:delete val="1"/>
      </c:legendEntry>
    </c:legend>
    <c:plotVisOnly val="1"/>
  </c:chart>
  <c:spPr>
    <a:solidFill>
      <a:schemeClr val="accent4">
        <a:lumMod val="40000"/>
        <a:lumOff val="60000"/>
      </a:schemeClr>
    </a:solidFill>
  </c:spPr>
  <c:externalData r:id="rId1"/>
</c:chartSpace>
</file>

<file path=word/charts/chart5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a:t>
            </a:r>
            <a:r>
              <a:rPr lang="ro-RO" sz="1800" b="1" i="0" u="none" strike="noStrike" baseline="0"/>
              <a:t> </a:t>
            </a:r>
            <a:r>
              <a:rPr lang="ro-RO" sz="1100" b="1" i="0" u="none" strike="noStrike" baseline="0">
                <a:latin typeface="Arial" pitchFamily="34" charset="0"/>
                <a:cs typeface="Arial" pitchFamily="34" charset="0"/>
              </a:rPr>
              <a:t>II.1.1.2</a:t>
            </a:r>
            <a:r>
              <a:rPr lang="ro-RO" sz="1100" b="1" i="1" u="none" strike="noStrike" baseline="0">
                <a:latin typeface="Arial" pitchFamily="34" charset="0"/>
                <a:cs typeface="Arial" pitchFamily="34" charset="0"/>
              </a:rPr>
              <a:t> </a:t>
            </a:r>
            <a:r>
              <a:rPr lang="ro-RO" sz="1100" b="1" i="0" u="none" strike="noStrike" baseline="0">
                <a:latin typeface="Arial" pitchFamily="34" charset="0"/>
                <a:cs typeface="Arial" pitchFamily="34" charset="0"/>
              </a:rPr>
              <a:t>– 5 </a:t>
            </a:r>
            <a:r>
              <a:rPr lang="ro-RO" sz="1100" b="0">
                <a:latin typeface="Arial" pitchFamily="34" charset="0"/>
                <a:cs typeface="Arial" pitchFamily="34" charset="0"/>
              </a:rPr>
              <a:t> </a:t>
            </a:r>
            <a:r>
              <a:rPr lang="ro-RO" sz="1200" b="0">
                <a:latin typeface="Arial" pitchFamily="34" charset="0"/>
                <a:cs typeface="Arial" pitchFamily="34" charset="0"/>
              </a:rPr>
              <a:t>Evoluţia volumelor de apă prelevate pentru acoperirea cerințelor diferitelor categorii de folosințe, în perioada anilor 2010 – 2014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barChart>
        <c:barDir val="col"/>
        <c:grouping val="clustered"/>
        <c:ser>
          <c:idx val="0"/>
          <c:order val="0"/>
          <c:tx>
            <c:strRef>
              <c:f>'Sheet1'!$B$1</c:f>
              <c:strCache>
                <c:ptCount val="1"/>
                <c:pt idx="0">
                  <c:v>Populație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19808.7</c:v>
                </c:pt>
                <c:pt idx="2">
                  <c:v>24389.119999999788</c:v>
                </c:pt>
                <c:pt idx="3">
                  <c:v>23679</c:v>
                </c:pt>
                <c:pt idx="4">
                  <c:v>22162.449000000001</c:v>
                </c:pt>
              </c:numCache>
            </c:numRef>
          </c:val>
        </c:ser>
        <c:ser>
          <c:idx val="1"/>
          <c:order val="1"/>
          <c:tx>
            <c:strRef>
              <c:f>'Sheet1'!$C$1</c:f>
              <c:strCache>
                <c:ptCount val="1"/>
                <c:pt idx="0">
                  <c:v>Industrie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0</c:v>
                </c:pt>
                <c:pt idx="1">
                  <c:v>38572.9</c:v>
                </c:pt>
                <c:pt idx="2">
                  <c:v>6419.4120000000003</c:v>
                </c:pt>
                <c:pt idx="3">
                  <c:v>915.13599999999997</c:v>
                </c:pt>
                <c:pt idx="4">
                  <c:v>562.81399999999996</c:v>
                </c:pt>
              </c:numCache>
            </c:numRef>
          </c:val>
        </c:ser>
        <c:ser>
          <c:idx val="2"/>
          <c:order val="2"/>
          <c:tx>
            <c:strRef>
              <c:f>'Sheet1'!$D$1</c:f>
              <c:strCache>
                <c:ptCount val="1"/>
                <c:pt idx="0">
                  <c:v>Agricultură</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0</c:v>
                </c:pt>
                <c:pt idx="1">
                  <c:v>109962.9</c:v>
                </c:pt>
                <c:pt idx="2">
                  <c:v>177858.37</c:v>
                </c:pt>
                <c:pt idx="3">
                  <c:v>147153.79999999999</c:v>
                </c:pt>
                <c:pt idx="4">
                  <c:v>69060.600000000006</c:v>
                </c:pt>
              </c:numCache>
            </c:numRef>
          </c:val>
        </c:ser>
        <c:ser>
          <c:idx val="3"/>
          <c:order val="3"/>
          <c:tx>
            <c:strRef>
              <c:f>'Sheet1'!$E$1</c:f>
              <c:strCache>
                <c:ptCount val="1"/>
                <c:pt idx="0">
                  <c:v>Total județ Brăila</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136852.29999999999</c:v>
                </c:pt>
                <c:pt idx="1">
                  <c:v>168344.5</c:v>
                </c:pt>
                <c:pt idx="2">
                  <c:v>208666.87</c:v>
                </c:pt>
                <c:pt idx="3">
                  <c:v>171748.41999999998</c:v>
                </c:pt>
                <c:pt idx="4">
                  <c:v>91785.862999999998</c:v>
                </c:pt>
              </c:numCache>
            </c:numRef>
          </c:val>
        </c:ser>
        <c:axId val="84115840"/>
        <c:axId val="84117376"/>
      </c:barChart>
      <c:catAx>
        <c:axId val="84115840"/>
        <c:scaling>
          <c:orientation val="minMax"/>
        </c:scaling>
        <c:axPos val="b"/>
        <c:numFmt formatCode="General" sourceLinked="1"/>
        <c:tickLblPos val="nextTo"/>
        <c:crossAx val="84117376"/>
        <c:crosses val="autoZero"/>
        <c:auto val="1"/>
        <c:lblAlgn val="ctr"/>
        <c:lblOffset val="100"/>
      </c:catAx>
      <c:valAx>
        <c:axId val="84117376"/>
        <c:scaling>
          <c:orientation val="minMax"/>
        </c:scaling>
        <c:axPos val="l"/>
        <c:majorGridlines/>
        <c:numFmt formatCode="General" sourceLinked="1"/>
        <c:tickLblPos val="nextTo"/>
        <c:crossAx val="84115840"/>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5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200" b="1">
                <a:latin typeface="Arial" pitchFamily="34" charset="0"/>
                <a:cs typeface="Arial" pitchFamily="34" charset="0"/>
              </a:rPr>
              <a:t>Figura nr. 2.1.1.</a:t>
            </a:r>
            <a:r>
              <a:rPr lang="ro-RO" sz="1200" b="1" baseline="0">
                <a:latin typeface="Arial" pitchFamily="34" charset="0"/>
                <a:cs typeface="Arial" pitchFamily="34" charset="0"/>
              </a:rPr>
              <a:t> - 1</a:t>
            </a:r>
            <a:r>
              <a:rPr lang="ro-RO" sz="1200" b="1">
                <a:latin typeface="Arial" pitchFamily="34" charset="0"/>
                <a:cs typeface="Arial" pitchFamily="34" charset="0"/>
              </a:rPr>
              <a:t> </a:t>
            </a:r>
            <a:r>
              <a:rPr lang="ro-RO" sz="1200" b="0">
                <a:latin typeface="Arial" pitchFamily="34" charset="0"/>
                <a:cs typeface="Arial" pitchFamily="34" charset="0"/>
              </a:rPr>
              <a:t>- Calitatea cursurilor de apă monitorizate la nivelul județului Brăila în perioada anilor 2010- 2014 </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lineChart>
        <c:grouping val="standard"/>
        <c:ser>
          <c:idx val="0"/>
          <c:order val="0"/>
          <c:tx>
            <c:strRef>
              <c:f>'Sheet1'!$B$1</c:f>
              <c:strCache>
                <c:ptCount val="1"/>
                <c:pt idx="0">
                  <c:v>
SE inferioară stării bune
 (%)
</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100</c:v>
                </c:pt>
                <c:pt idx="2">
                  <c:v>100</c:v>
                </c:pt>
                <c:pt idx="3">
                  <c:v>100</c:v>
                </c:pt>
                <c:pt idx="4">
                  <c:v>52.760000000000012</c:v>
                </c:pt>
              </c:numCache>
            </c:numRef>
          </c:val>
        </c:ser>
        <c:ser>
          <c:idx val="1"/>
          <c:order val="1"/>
          <c:tx>
            <c:strRef>
              <c:f>'Sheet1'!$C$1</c:f>
              <c:strCache>
                <c:ptCount val="1"/>
                <c:pt idx="0">
                  <c:v>Column1</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marker val="1"/>
        <c:axId val="84131200"/>
        <c:axId val="83829888"/>
      </c:lineChart>
      <c:catAx>
        <c:axId val="84131200"/>
        <c:scaling>
          <c:orientation val="minMax"/>
        </c:scaling>
        <c:axPos val="b"/>
        <c:numFmt formatCode="General" sourceLinked="1"/>
        <c:tickLblPos val="nextTo"/>
        <c:crossAx val="83829888"/>
        <c:crosses val="autoZero"/>
        <c:auto val="1"/>
        <c:lblAlgn val="ctr"/>
        <c:lblOffset val="100"/>
      </c:catAx>
      <c:valAx>
        <c:axId val="83829888"/>
        <c:scaling>
          <c:orientation val="minMax"/>
        </c:scaling>
        <c:axPos val="l"/>
        <c:majorGridlines/>
        <c:numFmt formatCode="General" sourceLinked="1"/>
        <c:tickLblPos val="nextTo"/>
        <c:crossAx val="84131200"/>
        <c:crosses val="autoZero"/>
        <c:crossBetween val="between"/>
      </c:valAx>
    </c:plotArea>
    <c:legend>
      <c:legendPos val="r"/>
      <c:legendEntry>
        <c:idx val="1"/>
        <c:delete val="1"/>
      </c:legendEntry>
      <c:legendEntry>
        <c:idx val="2"/>
        <c:delete val="1"/>
      </c:legendEntry>
    </c:legend>
    <c:plotVisOnly val="1"/>
  </c:chart>
  <c:spPr>
    <a:solidFill>
      <a:schemeClr val="accent5">
        <a:lumMod val="40000"/>
        <a:lumOff val="60000"/>
      </a:schemeClr>
    </a:solidFill>
  </c:spPr>
  <c:externalData r:id="rId1"/>
</c:chartSpace>
</file>

<file path=word/charts/chart55.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r>
              <a:rPr lang="ro-RO" sz="1800" b="1"/>
              <a:t> </a:t>
            </a:r>
            <a:r>
              <a:rPr lang="ro-RO" sz="1100" b="1">
                <a:latin typeface="Arial" pitchFamily="34" charset="0"/>
                <a:cs typeface="Arial" pitchFamily="34" charset="0"/>
              </a:rPr>
              <a:t>Figura nr. </a:t>
            </a:r>
            <a:r>
              <a:rPr lang="ro-RO" sz="1100" b="1" i="0" u="none" strike="noStrike" baseline="0">
                <a:latin typeface="Arial" pitchFamily="34" charset="0"/>
                <a:cs typeface="Arial" pitchFamily="34" charset="0"/>
              </a:rPr>
              <a:t>II.2.1.1. - 2 </a:t>
            </a:r>
            <a:r>
              <a:rPr lang="ro-RO" sz="1200" b="0">
                <a:latin typeface="Arial" pitchFamily="34" charset="0"/>
                <a:cs typeface="Arial" pitchFamily="34" charset="0"/>
              </a:rPr>
              <a:t>- Evaluarea globală a sarcinii provocate cursurilor de apă de către substanţele periculoase</a:t>
            </a:r>
            <a:r>
              <a:rPr lang="ro-RO" sz="1200" b="0" i="1">
                <a:latin typeface="Arial" pitchFamily="34" charset="0"/>
                <a:cs typeface="Arial" pitchFamily="34" charset="0"/>
              </a:rPr>
              <a:t> </a:t>
            </a:r>
            <a:r>
              <a:rPr lang="ro-RO" sz="1200" b="0">
                <a:latin typeface="Arial" pitchFamily="34" charset="0"/>
                <a:cs typeface="Arial" pitchFamily="34" charset="0"/>
              </a:rPr>
              <a:t>pentru perioada 2010 – 2014</a:t>
            </a:r>
          </a:p>
          <a:p>
            <a:pPr marL="0" marR="0" indent="0" algn="ctr" defTabSz="914400" rtl="0" eaLnBrk="1" fontAlgn="auto" latinLnBrk="0" hangingPunct="1">
              <a:lnSpc>
                <a:spcPct val="100000"/>
              </a:lnSpc>
              <a:spcBef>
                <a:spcPts val="0"/>
              </a:spcBef>
              <a:spcAft>
                <a:spcPts val="0"/>
              </a:spcAft>
              <a:buClrTx/>
              <a:buSzTx/>
              <a:buFontTx/>
              <a:buNone/>
              <a:tabLst/>
              <a:defRPr sz="1800" b="1" i="0" u="none" strike="noStrike" kern="1200" baseline="0">
                <a:solidFill>
                  <a:sysClr val="windowText" lastClr="000000"/>
                </a:solidFill>
                <a:latin typeface="+mn-lt"/>
                <a:ea typeface="+mn-ea"/>
                <a:cs typeface="+mn-cs"/>
              </a:defRPr>
            </a:pPr>
            <a:endParaRPr lang="ro-RO"/>
          </a:p>
        </c:rich>
      </c:tx>
    </c:title>
    <c:plotArea>
      <c:layout/>
      <c:lineChart>
        <c:grouping val="standard"/>
        <c:ser>
          <c:idx val="0"/>
          <c:order val="0"/>
          <c:tx>
            <c:strRef>
              <c:f>Sheet1!$B$1</c:f>
              <c:strCache>
                <c:ptCount val="1"/>
                <c:pt idx="0">
                  <c:v>Alte substanțe organice</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0.4</c:v>
                </c:pt>
                <c:pt idx="1">
                  <c:v>0.5</c:v>
                </c:pt>
                <c:pt idx="2">
                  <c:v>0.2</c:v>
                </c:pt>
                <c:pt idx="3">
                  <c:v>0.30000000000000032</c:v>
                </c:pt>
                <c:pt idx="4">
                  <c:v>0.2</c:v>
                </c:pt>
              </c:numCache>
            </c:numRef>
          </c:val>
        </c:ser>
        <c:ser>
          <c:idx val="1"/>
          <c:order val="1"/>
          <c:tx>
            <c:strRef>
              <c:f>Sheet1!$C$1</c:f>
              <c:strCache>
                <c:ptCount val="1"/>
                <c:pt idx="0">
                  <c:v>Column1</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numCache>
            </c:numRef>
          </c:val>
        </c:ser>
        <c:ser>
          <c:idx val="2"/>
          <c:order val="2"/>
          <c:tx>
            <c:strRef>
              <c:f>Sheet1!$D$1</c:f>
              <c:strCache>
                <c:ptCount val="1"/>
                <c:pt idx="0">
                  <c:v>Column2</c:v>
                </c:pt>
              </c:strCache>
            </c:strRef>
          </c:tx>
          <c:marker>
            <c:symbol val="none"/>
          </c:marke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numCache>
            </c:numRef>
          </c:val>
        </c:ser>
        <c:marker val="1"/>
        <c:axId val="84212736"/>
        <c:axId val="82653952"/>
      </c:lineChart>
      <c:catAx>
        <c:axId val="84212736"/>
        <c:scaling>
          <c:orientation val="minMax"/>
        </c:scaling>
        <c:axPos val="b"/>
        <c:numFmt formatCode="General" sourceLinked="1"/>
        <c:tickLblPos val="nextTo"/>
        <c:crossAx val="82653952"/>
        <c:crosses val="autoZero"/>
        <c:auto val="1"/>
        <c:lblAlgn val="ctr"/>
        <c:lblOffset val="100"/>
      </c:catAx>
      <c:valAx>
        <c:axId val="82653952"/>
        <c:scaling>
          <c:orientation val="minMax"/>
        </c:scaling>
        <c:axPos val="l"/>
        <c:majorGridlines/>
        <c:numFmt formatCode="General" sourceLinked="1"/>
        <c:tickLblPos val="nextTo"/>
        <c:crossAx val="84212736"/>
        <c:crosses val="autoZero"/>
        <c:crossBetween val="between"/>
      </c:valAx>
    </c:plotArea>
    <c:legend>
      <c:legendPos val="r"/>
      <c:legendEntry>
        <c:idx val="1"/>
        <c:delete val="1"/>
      </c:legendEntry>
      <c:legendEntry>
        <c:idx val="2"/>
        <c:delete val="1"/>
      </c:legendEntry>
    </c:legend>
    <c:plotVisOnly val="1"/>
  </c:chart>
  <c:spPr>
    <a:solidFill>
      <a:srgbClr val="FFC000"/>
    </a:solidFill>
  </c:spPr>
  <c:externalData r:id="rId1"/>
</c:chartSpace>
</file>

<file path=word/charts/chart56.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Colectare cu epurare terțiară </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0</c:v>
                </c:pt>
                <c:pt idx="1">
                  <c:v>0</c:v>
                </c:pt>
                <c:pt idx="2">
                  <c:v>0</c:v>
                </c:pt>
                <c:pt idx="3">
                  <c:v>0</c:v>
                </c:pt>
                <c:pt idx="4">
                  <c:v>3.2</c:v>
                </c:pt>
              </c:numCache>
            </c:numRef>
          </c:val>
        </c:ser>
        <c:ser>
          <c:idx val="1"/>
          <c:order val="1"/>
          <c:tx>
            <c:strRef>
              <c:f>Sheet1!$C$1</c:f>
              <c:strCache>
                <c:ptCount val="1"/>
                <c:pt idx="0">
                  <c:v>Colectare cu epurare secundară</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1.3</c:v>
                </c:pt>
                <c:pt idx="1">
                  <c:v>1.3</c:v>
                </c:pt>
                <c:pt idx="2">
                  <c:v>99</c:v>
                </c:pt>
                <c:pt idx="3">
                  <c:v>99</c:v>
                </c:pt>
                <c:pt idx="4">
                  <c:v>95.8</c:v>
                </c:pt>
              </c:numCache>
            </c:numRef>
          </c:val>
        </c:ser>
        <c:ser>
          <c:idx val="2"/>
          <c:order val="2"/>
          <c:tx>
            <c:strRef>
              <c:f>Sheet1!$D$1</c:f>
              <c:strCache>
                <c:ptCount val="1"/>
                <c:pt idx="0">
                  <c:v>Colectare cu epurare primară</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1</c:v>
                </c:pt>
                <c:pt idx="1">
                  <c:v>1</c:v>
                </c:pt>
                <c:pt idx="2">
                  <c:v>0.8700000000000031</c:v>
                </c:pt>
                <c:pt idx="3">
                  <c:v>0.8700000000000031</c:v>
                </c:pt>
                <c:pt idx="4">
                  <c:v>0.8700000000000031</c:v>
                </c:pt>
              </c:numCache>
            </c:numRef>
          </c:val>
        </c:ser>
        <c:ser>
          <c:idx val="3"/>
          <c:order val="3"/>
          <c:tx>
            <c:strRef>
              <c:f>Sheet1!$E$1</c:f>
              <c:strCache>
                <c:ptCount val="1"/>
                <c:pt idx="0">
                  <c:v>Colectare fără epurare</c:v>
                </c:pt>
              </c:strCache>
            </c:strRef>
          </c:tx>
          <c:cat>
            <c:numRef>
              <c:f>Sheet1!$A$2:$A$6</c:f>
              <c:numCache>
                <c:formatCode>General</c:formatCode>
                <c:ptCount val="5"/>
                <c:pt idx="0">
                  <c:v>2010</c:v>
                </c:pt>
                <c:pt idx="1">
                  <c:v>2011</c:v>
                </c:pt>
                <c:pt idx="2">
                  <c:v>2012</c:v>
                </c:pt>
                <c:pt idx="3">
                  <c:v>2013</c:v>
                </c:pt>
                <c:pt idx="4">
                  <c:v>2014</c:v>
                </c:pt>
              </c:numCache>
            </c:numRef>
          </c:cat>
          <c:val>
            <c:numRef>
              <c:f>Sheet1!$E$2:$E$6</c:f>
              <c:numCache>
                <c:formatCode>General</c:formatCode>
                <c:ptCount val="5"/>
                <c:pt idx="0">
                  <c:v>97.7</c:v>
                </c:pt>
                <c:pt idx="1">
                  <c:v>97.7</c:v>
                </c:pt>
                <c:pt idx="2">
                  <c:v>0.13</c:v>
                </c:pt>
                <c:pt idx="3">
                  <c:v>0.13</c:v>
                </c:pt>
                <c:pt idx="4">
                  <c:v>0.13</c:v>
                </c:pt>
              </c:numCache>
            </c:numRef>
          </c:val>
        </c:ser>
        <c:axId val="84163968"/>
        <c:axId val="84173952"/>
      </c:barChart>
      <c:catAx>
        <c:axId val="84163968"/>
        <c:scaling>
          <c:orientation val="minMax"/>
        </c:scaling>
        <c:axPos val="b"/>
        <c:numFmt formatCode="General" sourceLinked="1"/>
        <c:tickLblPos val="nextTo"/>
        <c:crossAx val="84173952"/>
        <c:crosses val="autoZero"/>
        <c:auto val="1"/>
        <c:lblAlgn val="ctr"/>
        <c:lblOffset val="100"/>
      </c:catAx>
      <c:valAx>
        <c:axId val="84173952"/>
        <c:scaling>
          <c:orientation val="minMax"/>
        </c:scaling>
        <c:axPos val="l"/>
        <c:majorGridlines/>
        <c:numFmt formatCode="General" sourceLinked="1"/>
        <c:tickLblPos val="nextTo"/>
        <c:crossAx val="84163968"/>
        <c:crosses val="autoZero"/>
        <c:crossBetween val="between"/>
      </c:valAx>
    </c:plotArea>
    <c:legend>
      <c:legendPos val="r"/>
    </c:legend>
    <c:plotVisOnly val="1"/>
  </c:chart>
  <c:spPr>
    <a:solidFill>
      <a:srgbClr val="FFFF00"/>
    </a:solidFill>
  </c:spPr>
  <c:externalData r:id="rId1"/>
</c:chartSpace>
</file>

<file path=word/charts/chart5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300"/>
              <a:t>Concentratii de azotați și fosfați din apa Dunării</a:t>
            </a:r>
            <a:endParaRPr lang="vi-VN" sz="1300"/>
          </a:p>
        </c:rich>
      </c:tx>
    </c:title>
    <c:plotArea>
      <c:layout/>
      <c:barChart>
        <c:barDir val="col"/>
        <c:grouping val="clustered"/>
        <c:ser>
          <c:idx val="0"/>
          <c:order val="0"/>
          <c:tx>
            <c:strRef>
              <c:f>Foaie1!$B$1</c:f>
              <c:strCache>
                <c:ptCount val="1"/>
                <c:pt idx="0">
                  <c:v>Azotați</c:v>
                </c:pt>
              </c:strCache>
            </c:strRef>
          </c:tx>
          <c:cat>
            <c:strRef>
              <c:f>Foaie1!$A$2:$A$7</c:f>
              <c:strCache>
                <c:ptCount val="6"/>
                <c:pt idx="0">
                  <c:v>Racovița</c:v>
                </c:pt>
                <c:pt idx="1">
                  <c:v>Cireșu</c:v>
                </c:pt>
                <c:pt idx="2">
                  <c:v>Berteștii de jos</c:v>
                </c:pt>
                <c:pt idx="3">
                  <c:v>Gropeni</c:v>
                </c:pt>
                <c:pt idx="4">
                  <c:v>Brăila 1</c:v>
                </c:pt>
                <c:pt idx="5">
                  <c:v>Braila 2</c:v>
                </c:pt>
              </c:strCache>
            </c:strRef>
          </c:cat>
          <c:val>
            <c:numRef>
              <c:f>Foaie1!$B$2:$B$7</c:f>
              <c:numCache>
                <c:formatCode>0.00</c:formatCode>
                <c:ptCount val="6"/>
                <c:pt idx="0">
                  <c:v>1.123</c:v>
                </c:pt>
                <c:pt idx="1">
                  <c:v>0.33300000000000107</c:v>
                </c:pt>
                <c:pt idx="2">
                  <c:v>0.23400000000000001</c:v>
                </c:pt>
                <c:pt idx="3">
                  <c:v>1.3443000000000001</c:v>
                </c:pt>
                <c:pt idx="4">
                  <c:v>1.53</c:v>
                </c:pt>
                <c:pt idx="5">
                  <c:v>1.47</c:v>
                </c:pt>
              </c:numCache>
            </c:numRef>
          </c:val>
        </c:ser>
        <c:ser>
          <c:idx val="1"/>
          <c:order val="1"/>
          <c:tx>
            <c:strRef>
              <c:f>Foaie1!$C$1</c:f>
              <c:strCache>
                <c:ptCount val="1"/>
                <c:pt idx="0">
                  <c:v>Fosfati</c:v>
                </c:pt>
              </c:strCache>
            </c:strRef>
          </c:tx>
          <c:cat>
            <c:strRef>
              <c:f>Foaie1!$A$2:$A$7</c:f>
              <c:strCache>
                <c:ptCount val="6"/>
                <c:pt idx="0">
                  <c:v>Racovița</c:v>
                </c:pt>
                <c:pt idx="1">
                  <c:v>Cireșu</c:v>
                </c:pt>
                <c:pt idx="2">
                  <c:v>Berteștii de jos</c:v>
                </c:pt>
                <c:pt idx="3">
                  <c:v>Gropeni</c:v>
                </c:pt>
                <c:pt idx="4">
                  <c:v>Brăila 1</c:v>
                </c:pt>
                <c:pt idx="5">
                  <c:v>Braila 2</c:v>
                </c:pt>
              </c:strCache>
            </c:strRef>
          </c:cat>
          <c:val>
            <c:numRef>
              <c:f>Foaie1!$C$2:$C$7</c:f>
              <c:numCache>
                <c:formatCode>0.00</c:formatCode>
                <c:ptCount val="6"/>
                <c:pt idx="0">
                  <c:v>1.2999999999999998E-2</c:v>
                </c:pt>
                <c:pt idx="1">
                  <c:v>0.16</c:v>
                </c:pt>
                <c:pt idx="2">
                  <c:v>0.17</c:v>
                </c:pt>
                <c:pt idx="3">
                  <c:v>5.0000000000000114E-3</c:v>
                </c:pt>
                <c:pt idx="4">
                  <c:v>5.0000000000000114E-3</c:v>
                </c:pt>
                <c:pt idx="5">
                  <c:v>5.0000000000000114E-3</c:v>
                </c:pt>
              </c:numCache>
            </c:numRef>
          </c:val>
        </c:ser>
        <c:axId val="83892480"/>
        <c:axId val="84033536"/>
      </c:barChart>
      <c:catAx>
        <c:axId val="83892480"/>
        <c:scaling>
          <c:orientation val="minMax"/>
        </c:scaling>
        <c:axPos val="b"/>
        <c:majorTickMark val="none"/>
        <c:tickLblPos val="nextTo"/>
        <c:txPr>
          <a:bodyPr/>
          <a:lstStyle/>
          <a:p>
            <a:pPr>
              <a:defRPr sz="1000" baseline="0"/>
            </a:pPr>
            <a:endParaRPr lang="ro-RO"/>
          </a:p>
        </c:txPr>
        <c:crossAx val="84033536"/>
        <c:crosses val="autoZero"/>
        <c:auto val="1"/>
        <c:lblAlgn val="ctr"/>
        <c:lblOffset val="100"/>
      </c:catAx>
      <c:valAx>
        <c:axId val="84033536"/>
        <c:scaling>
          <c:orientation val="minMax"/>
        </c:scaling>
        <c:axPos val="l"/>
        <c:majorGridlines/>
        <c:title>
          <c:tx>
            <c:rich>
              <a:bodyPr/>
              <a:lstStyle/>
              <a:p>
                <a:pPr>
                  <a:defRPr/>
                </a:pPr>
                <a:r>
                  <a:rPr lang="ro-RO"/>
                  <a:t>Concentratii medii anuale</a:t>
                </a:r>
                <a:endParaRPr lang="vi-VN"/>
              </a:p>
            </c:rich>
          </c:tx>
        </c:title>
        <c:numFmt formatCode="0.00" sourceLinked="1"/>
        <c:majorTickMark val="none"/>
        <c:tickLblPos val="nextTo"/>
        <c:crossAx val="83892480"/>
        <c:crosses val="autoZero"/>
        <c:crossBetween val="between"/>
      </c:valAx>
      <c:dTable>
        <c:showHorzBorder val="1"/>
        <c:showVertBorder val="1"/>
        <c:showOutline val="1"/>
        <c:showKeys val="1"/>
      </c:dTable>
      <c:spPr>
        <a:solidFill>
          <a:schemeClr val="accent6">
            <a:lumMod val="20000"/>
            <a:lumOff val="80000"/>
          </a:schemeClr>
        </a:solidFill>
      </c:spPr>
    </c:plotArea>
    <c:plotVisOnly val="1"/>
  </c:chart>
  <c:externalData r:id="rId1"/>
</c:chartSpace>
</file>

<file path=word/charts/chart5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300" baseline="0"/>
              <a:t>Concentrații de fosfor total ș azotați din apa lacurilor</a:t>
            </a:r>
            <a:endParaRPr lang="vi-VN" sz="1300" baseline="0"/>
          </a:p>
        </c:rich>
      </c:tx>
    </c:title>
    <c:plotArea>
      <c:layout/>
      <c:barChart>
        <c:barDir val="col"/>
        <c:grouping val="clustered"/>
        <c:ser>
          <c:idx val="0"/>
          <c:order val="0"/>
          <c:tx>
            <c:strRef>
              <c:f>Foaie1!$B$1</c:f>
              <c:strCache>
                <c:ptCount val="1"/>
                <c:pt idx="0">
                  <c:v>Fosfor Total</c:v>
                </c:pt>
              </c:strCache>
            </c:strRef>
          </c:tx>
          <c:cat>
            <c:strRef>
              <c:f>Foaie1!$A$2:$A$5</c:f>
              <c:strCache>
                <c:ptCount val="4"/>
                <c:pt idx="0">
                  <c:v>LAC JIRLĂU</c:v>
                </c:pt>
                <c:pt idx="1">
                  <c:v>LAC SĂRAT MOVILA MIRESII</c:v>
                </c:pt>
                <c:pt idx="2">
                  <c:v>LAC SĂRAT BRĂILA</c:v>
                </c:pt>
                <c:pt idx="3">
                  <c:v>LAC SEACA MOVILA MIRESII</c:v>
                </c:pt>
              </c:strCache>
            </c:strRef>
          </c:cat>
          <c:val>
            <c:numRef>
              <c:f>Foaie1!$B$2:$B$5</c:f>
              <c:numCache>
                <c:formatCode>General</c:formatCode>
                <c:ptCount val="4"/>
                <c:pt idx="0">
                  <c:v>0.223</c:v>
                </c:pt>
                <c:pt idx="1">
                  <c:v>1.4159999999999917</c:v>
                </c:pt>
                <c:pt idx="2">
                  <c:v>0.55600000000000005</c:v>
                </c:pt>
                <c:pt idx="3">
                  <c:v>0.438000000000001</c:v>
                </c:pt>
              </c:numCache>
            </c:numRef>
          </c:val>
        </c:ser>
        <c:ser>
          <c:idx val="1"/>
          <c:order val="1"/>
          <c:tx>
            <c:strRef>
              <c:f>Foaie1!$C$1</c:f>
              <c:strCache>
                <c:ptCount val="1"/>
                <c:pt idx="0">
                  <c:v>Azotati</c:v>
                </c:pt>
              </c:strCache>
            </c:strRef>
          </c:tx>
          <c:cat>
            <c:strRef>
              <c:f>Foaie1!$A$2:$A$5</c:f>
              <c:strCache>
                <c:ptCount val="4"/>
                <c:pt idx="0">
                  <c:v>LAC JIRLĂU</c:v>
                </c:pt>
                <c:pt idx="1">
                  <c:v>LAC SĂRAT MOVILA MIRESII</c:v>
                </c:pt>
                <c:pt idx="2">
                  <c:v>LAC SĂRAT BRĂILA</c:v>
                </c:pt>
                <c:pt idx="3">
                  <c:v>LAC SEACA MOVILA MIRESII</c:v>
                </c:pt>
              </c:strCache>
            </c:strRef>
          </c:cat>
          <c:val>
            <c:numRef>
              <c:f>Foaie1!$C$2:$C$5</c:f>
              <c:numCache>
                <c:formatCode>General</c:formatCode>
                <c:ptCount val="4"/>
                <c:pt idx="0">
                  <c:v>0.16900000000000001</c:v>
                </c:pt>
                <c:pt idx="1">
                  <c:v>0.28900000000000031</c:v>
                </c:pt>
                <c:pt idx="2">
                  <c:v>1.085</c:v>
                </c:pt>
                <c:pt idx="3">
                  <c:v>0.34600000000000031</c:v>
                </c:pt>
              </c:numCache>
            </c:numRef>
          </c:val>
        </c:ser>
        <c:axId val="84305792"/>
        <c:axId val="84307328"/>
      </c:barChart>
      <c:catAx>
        <c:axId val="84305792"/>
        <c:scaling>
          <c:orientation val="minMax"/>
        </c:scaling>
        <c:axPos val="b"/>
        <c:majorTickMark val="none"/>
        <c:tickLblPos val="nextTo"/>
        <c:txPr>
          <a:bodyPr/>
          <a:lstStyle/>
          <a:p>
            <a:pPr>
              <a:defRPr sz="1000" baseline="0"/>
            </a:pPr>
            <a:endParaRPr lang="ro-RO"/>
          </a:p>
        </c:txPr>
        <c:crossAx val="84307328"/>
        <c:crosses val="autoZero"/>
        <c:auto val="1"/>
        <c:lblAlgn val="ctr"/>
        <c:lblOffset val="100"/>
      </c:catAx>
      <c:valAx>
        <c:axId val="84307328"/>
        <c:scaling>
          <c:orientation val="minMax"/>
        </c:scaling>
        <c:axPos val="l"/>
        <c:majorGridlines/>
        <c:title>
          <c:tx>
            <c:rich>
              <a:bodyPr/>
              <a:lstStyle/>
              <a:p>
                <a:pPr>
                  <a:defRPr/>
                </a:pPr>
                <a:r>
                  <a:rPr lang="ro-RO"/>
                  <a:t>Concentratii anuale</a:t>
                </a:r>
                <a:endParaRPr lang="vi-VN"/>
              </a:p>
            </c:rich>
          </c:tx>
        </c:title>
        <c:numFmt formatCode="General" sourceLinked="1"/>
        <c:majorTickMark val="none"/>
        <c:tickLblPos val="nextTo"/>
        <c:crossAx val="84305792"/>
        <c:crosses val="autoZero"/>
        <c:crossBetween val="between"/>
      </c:valAx>
      <c:dTable>
        <c:showHorzBorder val="1"/>
        <c:showVertBorder val="1"/>
        <c:showOutline val="1"/>
        <c:showKeys val="1"/>
      </c:dTable>
    </c:plotArea>
    <c:plotVisOnly val="1"/>
  </c:chart>
  <c:spPr>
    <a:solidFill>
      <a:schemeClr val="accent6">
        <a:lumMod val="20000"/>
        <a:lumOff val="80000"/>
      </a:schemeClr>
    </a:solidFill>
  </c:spPr>
  <c:externalData r:id="rId1"/>
</c:chartSpace>
</file>

<file path=word/charts/chart59.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defRPr sz="826" b="1" i="0" u="none" strike="noStrike" baseline="0">
                <a:solidFill>
                  <a:srgbClr val="000000"/>
                </a:solidFill>
                <a:latin typeface="Arial"/>
                <a:ea typeface="Arial"/>
                <a:cs typeface="Arial"/>
              </a:defRPr>
            </a:pPr>
            <a:r>
              <a:rPr lang="ro-RO"/>
              <a:t>Fig. III.1.1-1.</a:t>
            </a:r>
          </a:p>
        </c:rich>
      </c:tx>
      <c:layout>
        <c:manualLayout>
          <c:xMode val="edge"/>
          <c:yMode val="edge"/>
          <c:x val="0.41871921182266225"/>
          <c:y val="0.87168141592920689"/>
        </c:manualLayout>
      </c:layout>
      <c:spPr>
        <a:noFill/>
        <a:ln w="17477">
          <a:noFill/>
        </a:ln>
      </c:spPr>
    </c:title>
    <c:view3D>
      <c:perspective val="0"/>
    </c:view3D>
    <c:plotArea>
      <c:layout>
        <c:manualLayout>
          <c:layoutTarget val="inner"/>
          <c:xMode val="edge"/>
          <c:yMode val="edge"/>
          <c:x val="0.28172101642580571"/>
          <c:y val="0.29033869687386066"/>
          <c:w val="0.49753694581281044"/>
          <c:h val="0.53097345132743368"/>
        </c:manualLayout>
      </c:layout>
      <c:pie3DChart>
        <c:varyColors val="1"/>
        <c:ser>
          <c:idx val="0"/>
          <c:order val="0"/>
          <c:tx>
            <c:strRef>
              <c:f>Sheet1!$A$2</c:f>
              <c:strCache>
                <c:ptCount val="1"/>
                <c:pt idx="0">
                  <c:v>387363</c:v>
                </c:pt>
              </c:strCache>
            </c:strRef>
          </c:tx>
          <c:spPr>
            <a:ln w="2185">
              <a:solidFill>
                <a:srgbClr val="000000"/>
              </a:solidFill>
              <a:prstDash val="solid"/>
            </a:ln>
          </c:spPr>
          <c:explosion val="8"/>
          <c:dPt>
            <c:idx val="0"/>
            <c:spPr>
              <a:solidFill>
                <a:srgbClr val="99CCFF"/>
              </a:solidFill>
              <a:ln w="17485">
                <a:noFill/>
              </a:ln>
            </c:spPr>
          </c:dPt>
          <c:dPt>
            <c:idx val="1"/>
            <c:spPr>
              <a:solidFill>
                <a:srgbClr val="99CC00"/>
              </a:solidFill>
              <a:ln w="17485">
                <a:noFill/>
              </a:ln>
            </c:spPr>
          </c:dPt>
          <c:dPt>
            <c:idx val="2"/>
            <c:spPr>
              <a:solidFill>
                <a:srgbClr val="FF9900"/>
              </a:solidFill>
              <a:ln w="17485">
                <a:noFill/>
              </a:ln>
            </c:spPr>
          </c:dPt>
          <c:dPt>
            <c:idx val="3"/>
            <c:spPr>
              <a:solidFill>
                <a:srgbClr val="FF0000"/>
              </a:solidFill>
              <a:ln w="17485">
                <a:noFill/>
              </a:ln>
            </c:spPr>
          </c:dPt>
          <c:dPt>
            <c:idx val="4"/>
            <c:spPr>
              <a:solidFill>
                <a:srgbClr val="808000"/>
              </a:solidFill>
              <a:ln w="17485">
                <a:noFill/>
              </a:ln>
            </c:spPr>
          </c:dPt>
          <c:dLbls>
            <c:dLbl>
              <c:idx val="0"/>
              <c:delete val="1"/>
            </c:dLbl>
            <c:dLbl>
              <c:idx val="1"/>
              <c:layout>
                <c:manualLayout>
                  <c:x val="0.15895879394386134"/>
                  <c:y val="-7.3361546046802114E-3"/>
                </c:manualLayout>
              </c:layout>
              <c:tx>
                <c:rich>
                  <a:bodyPr/>
                  <a:lstStyle/>
                  <a:p>
                    <a:pPr>
                      <a:defRPr sz="826" b="1" i="0" u="none" strike="noStrike" baseline="0">
                        <a:solidFill>
                          <a:srgbClr val="000000"/>
                        </a:solidFill>
                        <a:latin typeface="Arial"/>
                        <a:ea typeface="Arial"/>
                        <a:cs typeface="Arial"/>
                      </a:defRPr>
                    </a:pPr>
                    <a:r>
                      <a:rPr lang="ro-RO"/>
                      <a:t>terenuri arabile
90,56%</a:t>
                    </a:r>
                  </a:p>
                </c:rich>
              </c:tx>
              <c:spPr>
                <a:solidFill>
                  <a:srgbClr val="FFFFFF"/>
                </a:solidFill>
                <a:ln w="17485">
                  <a:noFill/>
                </a:ln>
              </c:spPr>
              <c:dLblPos val="bestFit"/>
            </c:dLbl>
            <c:dLbl>
              <c:idx val="2"/>
              <c:layout>
                <c:manualLayout>
                  <c:x val="-0.14784960055583862"/>
                  <c:y val="-4.8417651501411835E-2"/>
                </c:manualLayout>
              </c:layout>
              <c:tx>
                <c:rich>
                  <a:bodyPr/>
                  <a:lstStyle/>
                  <a:p>
                    <a:pPr>
                      <a:defRPr sz="826" b="1" i="0" u="none" strike="noStrike" baseline="0">
                        <a:solidFill>
                          <a:srgbClr val="000000"/>
                        </a:solidFill>
                        <a:latin typeface="Arial"/>
                        <a:ea typeface="Arial"/>
                        <a:cs typeface="Arial"/>
                      </a:defRPr>
                    </a:pPr>
                    <a:r>
                      <a:rPr lang="vi-VN"/>
                      <a:t>păşuni
8,09%</a:t>
                    </a:r>
                  </a:p>
                </c:rich>
              </c:tx>
              <c:spPr>
                <a:solidFill>
                  <a:srgbClr val="FFFFFF"/>
                </a:solidFill>
                <a:ln w="17485">
                  <a:noFill/>
                </a:ln>
              </c:spPr>
              <c:dLblPos val="bestFit"/>
            </c:dLbl>
            <c:dLbl>
              <c:idx val="3"/>
              <c:layout>
                <c:manualLayout>
                  <c:x val="-4.7009024494543812E-2"/>
                  <c:y val="-0.17120265539781193"/>
                </c:manualLayout>
              </c:layout>
              <c:tx>
                <c:rich>
                  <a:bodyPr/>
                  <a:lstStyle/>
                  <a:p>
                    <a:pPr>
                      <a:defRPr sz="826" b="1" i="0" u="none" strike="noStrike" baseline="0">
                        <a:solidFill>
                          <a:srgbClr val="000000"/>
                        </a:solidFill>
                        <a:latin typeface="Arial"/>
                        <a:ea typeface="Arial"/>
                        <a:cs typeface="Arial"/>
                      </a:defRPr>
                    </a:pPr>
                    <a:r>
                      <a:rPr lang="ro-RO"/>
                      <a:t>vii
1,18%</a:t>
                    </a:r>
                  </a:p>
                </c:rich>
              </c:tx>
              <c:spPr>
                <a:solidFill>
                  <a:srgbClr val="FFFFFF"/>
                </a:solidFill>
                <a:ln w="17485">
                  <a:noFill/>
                </a:ln>
              </c:spPr>
              <c:dLblPos val="bestFit"/>
            </c:dLbl>
            <c:dLbl>
              <c:idx val="4"/>
              <c:layout>
                <c:manualLayout>
                  <c:x val="0.23703168848107709"/>
                  <c:y val="-7.0654647872656809E-2"/>
                </c:manualLayout>
              </c:layout>
              <c:tx>
                <c:rich>
                  <a:bodyPr/>
                  <a:lstStyle/>
                  <a:p>
                    <a:pPr>
                      <a:defRPr sz="826" b="1" i="0" u="none" strike="noStrike" baseline="0">
                        <a:solidFill>
                          <a:srgbClr val="000000"/>
                        </a:solidFill>
                        <a:latin typeface="Arial"/>
                        <a:ea typeface="Arial"/>
                        <a:cs typeface="Arial"/>
                      </a:defRPr>
                    </a:pPr>
                    <a:r>
                      <a:rPr lang="ro-RO"/>
                      <a:t>livezi
0,17%</a:t>
                    </a:r>
                  </a:p>
                </c:rich>
              </c:tx>
              <c:spPr>
                <a:solidFill>
                  <a:srgbClr val="FFFFFF"/>
                </a:solidFill>
                <a:ln w="17485">
                  <a:noFill/>
                </a:ln>
              </c:spPr>
              <c:dLblPos val="bestFit"/>
            </c:dLbl>
            <c:dLbl>
              <c:idx val="5"/>
              <c:delete val="1"/>
            </c:dLbl>
            <c:numFmt formatCode="0%" sourceLinked="0"/>
            <c:spPr>
              <a:solidFill>
                <a:srgbClr val="FFFFFF"/>
              </a:solidFill>
              <a:ln w="17485">
                <a:noFill/>
              </a:ln>
            </c:spPr>
            <c:txPr>
              <a:bodyPr/>
              <a:lstStyle/>
              <a:p>
                <a:pPr>
                  <a:defRPr sz="757" b="1" i="0" u="none" strike="noStrike" baseline="0">
                    <a:solidFill>
                      <a:srgbClr val="000000"/>
                    </a:solidFill>
                    <a:latin typeface="Arial"/>
                    <a:ea typeface="Arial"/>
                    <a:cs typeface="Arial"/>
                  </a:defRPr>
                </a:pPr>
                <a:endParaRPr lang="ro-RO"/>
              </a:p>
            </c:txPr>
            <c:showCatName val="1"/>
            <c:showPercent val="1"/>
            <c:showLeaderLines val="1"/>
            <c:leaderLines>
              <c:spPr>
                <a:ln w="2185">
                  <a:solidFill>
                    <a:srgbClr val="000000"/>
                  </a:solidFill>
                  <a:prstDash val="solid"/>
                </a:ln>
              </c:spPr>
            </c:leaderLines>
          </c:dLbls>
          <c:cat>
            <c:strRef>
              <c:f>Sheet1!$B$1:$G$1</c:f>
              <c:strCache>
                <c:ptCount val="4"/>
                <c:pt idx="1">
                  <c:v>terenuri arabile</c:v>
                </c:pt>
                <c:pt idx="2">
                  <c:v>păşuni</c:v>
                </c:pt>
                <c:pt idx="3">
                  <c:v>vii</c:v>
                </c:pt>
              </c:strCache>
            </c:strRef>
          </c:cat>
          <c:val>
            <c:numRef>
              <c:f>Sheet1!$B$2:$G$2</c:f>
              <c:numCache>
                <c:formatCode>General</c:formatCode>
                <c:ptCount val="5"/>
                <c:pt idx="1">
                  <c:v>350447</c:v>
                </c:pt>
                <c:pt idx="2">
                  <c:v>31743</c:v>
                </c:pt>
                <c:pt idx="3">
                  <c:v>4519</c:v>
                </c:pt>
                <c:pt idx="4">
                  <c:v>654</c:v>
                </c:pt>
              </c:numCache>
            </c:numRef>
          </c:val>
        </c:ser>
        <c:dLbls>
          <c:showCatName val="1"/>
          <c:showPercent val="1"/>
        </c:dLbls>
      </c:pie3DChart>
      <c:spPr>
        <a:solidFill>
          <a:srgbClr val="FFFFFF"/>
        </a:solidFill>
        <a:ln w="17485">
          <a:noFill/>
        </a:ln>
      </c:spPr>
    </c:plotArea>
    <c:plotVisOnly val="1"/>
    <c:dispBlanksAs val="zero"/>
  </c:chart>
  <c:spPr>
    <a:noFill/>
    <a:ln>
      <a:noFill/>
    </a:ln>
  </c:spPr>
  <c:txPr>
    <a:bodyPr/>
    <a:lstStyle/>
    <a:p>
      <a:pPr>
        <a:defRPr sz="602" b="1" i="0" u="none" strike="noStrike" baseline="0">
          <a:solidFill>
            <a:srgbClr val="000000"/>
          </a:solidFill>
          <a:latin typeface="Arial"/>
          <a:ea typeface="Arial"/>
          <a:cs typeface="Arial"/>
        </a:defRPr>
      </a:pPr>
      <a:endParaRPr lang="ro-RO"/>
    </a:p>
  </c:txPr>
  <c:externalData r:id="rId2"/>
  <c:userShapes r:id="rId3"/>
</c:chartSpace>
</file>

<file path=word/charts/chart6.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manualLayout>
          <c:layoutTarget val="inner"/>
          <c:xMode val="edge"/>
          <c:yMode val="edge"/>
          <c:x val="0.10857142857142862"/>
          <c:y val="8.9201877934273227E-2"/>
          <c:w val="0.65904761904762466"/>
          <c:h val="0.70892018779342725"/>
        </c:manualLayout>
      </c:layout>
      <c:barChart>
        <c:barDir val="col"/>
        <c:grouping val="clustered"/>
        <c:ser>
          <c:idx val="0"/>
          <c:order val="0"/>
          <c:tx>
            <c:strRef>
              <c:f>Sheet1!$A$2</c:f>
              <c:strCache>
                <c:ptCount val="1"/>
                <c:pt idx="0">
                  <c:v>Medii anuale 2008</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43.02</c:v>
                </c:pt>
                <c:pt idx="1">
                  <c:v>15.76</c:v>
                </c:pt>
                <c:pt idx="2">
                  <c:v>8.61</c:v>
                </c:pt>
                <c:pt idx="3">
                  <c:v>13.62</c:v>
                </c:pt>
                <c:pt idx="4">
                  <c:v>11.68</c:v>
                </c:pt>
              </c:numCache>
            </c:numRef>
          </c:val>
        </c:ser>
        <c:ser>
          <c:idx val="1"/>
          <c:order val="1"/>
          <c:tx>
            <c:strRef>
              <c:f>Sheet1!$A$3</c:f>
              <c:strCache>
                <c:ptCount val="1"/>
                <c:pt idx="0">
                  <c:v>Medii anuale 2009</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30.74</c:v>
                </c:pt>
                <c:pt idx="1">
                  <c:v>12.25</c:v>
                </c:pt>
                <c:pt idx="2">
                  <c:v>9</c:v>
                </c:pt>
                <c:pt idx="3">
                  <c:v>9.64</c:v>
                </c:pt>
                <c:pt idx="4">
                  <c:v>10.3</c:v>
                </c:pt>
              </c:numCache>
            </c:numRef>
          </c:val>
        </c:ser>
        <c:ser>
          <c:idx val="2"/>
          <c:order val="2"/>
          <c:tx>
            <c:strRef>
              <c:f>Sheet1!$A$4</c:f>
              <c:strCache>
                <c:ptCount val="1"/>
                <c:pt idx="0">
                  <c:v>Medii anuale 2010</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28.09</c:v>
                </c:pt>
                <c:pt idx="1">
                  <c:v>23.939999999999987</c:v>
                </c:pt>
                <c:pt idx="2">
                  <c:v>7.59</c:v>
                </c:pt>
                <c:pt idx="3">
                  <c:v>8.52</c:v>
                </c:pt>
                <c:pt idx="4">
                  <c:v>12.5</c:v>
                </c:pt>
              </c:numCache>
            </c:numRef>
          </c:val>
        </c:ser>
        <c:ser>
          <c:idx val="3"/>
          <c:order val="3"/>
          <c:tx>
            <c:strRef>
              <c:f>Sheet1!$A$5</c:f>
              <c:strCache>
                <c:ptCount val="1"/>
                <c:pt idx="0">
                  <c:v>Medii anuale 2011</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1">
                  <c:v>25.36</c:v>
                </c:pt>
              </c:numCache>
            </c:numRef>
          </c:val>
        </c:ser>
        <c:ser>
          <c:idx val="4"/>
          <c:order val="4"/>
          <c:tx>
            <c:strRef>
              <c:f>Sheet1!$A$6</c:f>
              <c:strCache>
                <c:ptCount val="1"/>
                <c:pt idx="0">
                  <c:v>Medii anuale 2012</c:v>
                </c:pt>
              </c:strCache>
            </c:strRef>
          </c:tx>
          <c:spPr>
            <a:ln w="12700">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0">
                  <c:v>30.52</c:v>
                </c:pt>
                <c:pt idx="1">
                  <c:v>24.939999999999987</c:v>
                </c:pt>
                <c:pt idx="2">
                  <c:v>13.11</c:v>
                </c:pt>
                <c:pt idx="3">
                  <c:v>21.7</c:v>
                </c:pt>
              </c:numCache>
            </c:numRef>
          </c:val>
        </c:ser>
        <c:ser>
          <c:idx val="5"/>
          <c:order val="5"/>
          <c:tx>
            <c:strRef>
              <c:f>Sheet1!$A$7</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Sheet1!$B$7:$F$7</c:f>
              <c:numCache>
                <c:formatCode>0.00</c:formatCode>
                <c:ptCount val="5"/>
                <c:pt idx="1">
                  <c:v>3.86</c:v>
                </c:pt>
                <c:pt idx="2">
                  <c:v>10.44</c:v>
                </c:pt>
                <c:pt idx="3">
                  <c:v>5.1499999999999995</c:v>
                </c:pt>
              </c:numCache>
            </c:numRef>
          </c:val>
        </c:ser>
        <c:ser>
          <c:idx val="6"/>
          <c:order val="6"/>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pt idx="1">
                  <c:v>15.5</c:v>
                </c:pt>
                <c:pt idx="2">
                  <c:v>7.41</c:v>
                </c:pt>
              </c:numCache>
            </c:numRef>
          </c:val>
        </c:ser>
        <c:axId val="223252864"/>
        <c:axId val="223254400"/>
      </c:barChart>
      <c:catAx>
        <c:axId val="223252864"/>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3254400"/>
        <c:crosses val="autoZero"/>
        <c:auto val="1"/>
        <c:lblAlgn val="ctr"/>
        <c:lblOffset val="100"/>
        <c:tickLblSkip val="1"/>
        <c:tickMarkSkip val="1"/>
      </c:catAx>
      <c:valAx>
        <c:axId val="223254400"/>
        <c:scaling>
          <c:orientation val="minMax"/>
        </c:scaling>
        <c:axPos val="l"/>
        <c:majorGridlines>
          <c:spPr>
            <a:ln w="3175">
              <a:solidFill>
                <a:srgbClr val="000000"/>
              </a:solidFill>
              <a:prstDash val="solid"/>
            </a:ln>
          </c:spPr>
        </c:majorGridlines>
        <c:title>
          <c:tx>
            <c:rich>
              <a:bodyPr/>
              <a:lstStyle/>
              <a:p>
                <a:pPr>
                  <a:defRPr sz="925"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2.2251919444649101E-2"/>
              <c:y val="0.23004696161858687"/>
            </c:manualLayout>
          </c:layout>
          <c:spPr>
            <a:noFill/>
            <a:ln w="25399">
              <a:noFill/>
            </a:ln>
          </c:spPr>
        </c:title>
        <c:numFmt formatCode="General" sourceLinked="1"/>
        <c:tickLblPos val="nextTo"/>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3252864"/>
        <c:crosses val="autoZero"/>
        <c:crossBetween val="between"/>
      </c:valAx>
      <c:spPr>
        <a:solidFill>
          <a:srgbClr val="FFFFCC"/>
        </a:solidFill>
        <a:ln w="12700">
          <a:solidFill>
            <a:srgbClr val="000000"/>
          </a:solidFill>
          <a:prstDash val="solid"/>
        </a:ln>
      </c:spPr>
    </c:plotArea>
    <c:legend>
      <c:legendPos val="r"/>
      <c:layout>
        <c:manualLayout>
          <c:xMode val="edge"/>
          <c:yMode val="edge"/>
          <c:x val="0.77714285714286246"/>
          <c:y val="0.13145539906103482"/>
          <c:w val="0.17450230790116791"/>
          <c:h val="0.59150547885550153"/>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25" b="1" i="0" u="none" strike="noStrike" baseline="0">
          <a:solidFill>
            <a:srgbClr val="000000"/>
          </a:solidFill>
          <a:latin typeface="Arial"/>
          <a:ea typeface="Arial"/>
          <a:cs typeface="Arial"/>
        </a:defRPr>
      </a:pPr>
      <a:endParaRPr lang="ro-RO"/>
    </a:p>
  </c:txPr>
  <c:externalData r:id="rId1"/>
</c:chartSpace>
</file>

<file path=word/charts/chart60.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19" b="1" i="0" u="none" strike="noStrike" baseline="0">
                <a:solidFill>
                  <a:srgbClr val="000000"/>
                </a:solidFill>
                <a:latin typeface="Arial"/>
                <a:ea typeface="Arial"/>
                <a:cs typeface="Arial"/>
              </a:defRPr>
            </a:pPr>
            <a:r>
              <a:rPr lang="en-US"/>
              <a:t>Fig. </a:t>
            </a:r>
            <a:r>
              <a:rPr lang="ro-RO"/>
              <a:t>III</a:t>
            </a:r>
            <a:r>
              <a:rPr lang="en-US"/>
              <a:t>.1.1</a:t>
            </a:r>
            <a:r>
              <a:rPr lang="ro-RO"/>
              <a:t>-2.</a:t>
            </a:r>
            <a:endParaRPr lang="en-US"/>
          </a:p>
        </c:rich>
      </c:tx>
      <c:layout>
        <c:manualLayout>
          <c:xMode val="edge"/>
          <c:yMode val="edge"/>
          <c:x val="0.41871921017821895"/>
          <c:y val="0.87168185437495183"/>
        </c:manualLayout>
      </c:layout>
      <c:spPr>
        <a:noFill/>
        <a:ln w="17311">
          <a:noFill/>
        </a:ln>
      </c:spPr>
    </c:title>
    <c:view3D>
      <c:perspective val="0"/>
    </c:view3D>
    <c:plotArea>
      <c:layout>
        <c:manualLayout>
          <c:layoutTarget val="inner"/>
          <c:xMode val="edge"/>
          <c:yMode val="edge"/>
          <c:x val="0.2148245323630453"/>
          <c:y val="0.25593344858015821"/>
          <c:w val="0.57612542787866061"/>
          <c:h val="0.61378571335419685"/>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4852"/>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a:t>
                    </a:r>
                    <a:r>
                      <a:rPr lang="ro-RO"/>
                      <a:t>63</a:t>
                    </a:r>
                    <a:r>
                      <a:rPr lang="en-US"/>
                      <a:t>%</a:t>
                    </a:r>
                  </a:p>
                </c:rich>
              </c:tx>
              <c:spPr>
                <a:solidFill>
                  <a:srgbClr val="FFFFFF"/>
                </a:solidFill>
                <a:ln w="17318">
                  <a:noFill/>
                </a:ln>
              </c:spPr>
              <c:dLblPos val="bestFit"/>
            </c:dLbl>
            <c:dLbl>
              <c:idx val="2"/>
              <c:layout>
                <c:manualLayout>
                  <c:x val="-0.14784960055584043"/>
                  <c:y val="-4.8417651501412133E-2"/>
                </c:manualLayout>
              </c:layout>
              <c:tx>
                <c:rich>
                  <a:bodyPr/>
                  <a:lstStyle/>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ro-RO" sz="813" b="1" i="0" strike="noStrike">
                        <a:solidFill>
                          <a:srgbClr val="000000"/>
                        </a:solidFill>
                        <a:latin typeface="Arial"/>
                        <a:cs typeface="Arial"/>
                      </a:rPr>
                      <a:t>03</a:t>
                    </a:r>
                    <a:r>
                      <a:rPr lang="vi-VN" sz="813" b="1" i="0" strike="noStrike">
                        <a:solidFill>
                          <a:srgbClr val="000000"/>
                        </a:solidFill>
                        <a:latin typeface="Arial"/>
                        <a:cs typeface="Arial"/>
                      </a:rPr>
                      <a:t>%</a:t>
                    </a:r>
                  </a:p>
                </c:rich>
              </c:tx>
              <c:spPr>
                <a:solidFill>
                  <a:srgbClr val="FFFFFF"/>
                </a:solidFill>
                <a:ln w="17318">
                  <a:noFill/>
                </a:ln>
              </c:spPr>
              <c:dLblPos val="bestFit"/>
            </c:dLbl>
            <c:dLbl>
              <c:idx val="3"/>
              <c:layout>
                <c:manualLayout>
                  <c:x val="-3.0233806981024819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1,18%</a:t>
                    </a:r>
                  </a:p>
                </c:rich>
              </c:tx>
              <c:spPr>
                <a:solidFill>
                  <a:srgbClr val="FFFFFF"/>
                </a:solidFill>
                <a:ln w="17318">
                  <a:noFill/>
                </a:ln>
              </c:spPr>
              <c:dLblPos val="bestFit"/>
            </c:dLbl>
            <c:dLbl>
              <c:idx val="4"/>
              <c:layout>
                <c:manualLayout>
                  <c:x val="0.23703168848107845"/>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0,16%</a:t>
                    </a:r>
                  </a:p>
                </c:rich>
              </c:tx>
              <c:spPr>
                <a:solidFill>
                  <a:srgbClr val="FFFFFF"/>
                </a:solidFill>
                <a:ln w="17318">
                  <a:noFill/>
                </a:ln>
              </c:spPr>
              <c:dLblPos val="bestFit"/>
            </c:dLbl>
            <c:dLbl>
              <c:idx val="5"/>
              <c:delete val="1"/>
            </c:dLbl>
            <c:numFmt formatCode="0%" sourceLinked="0"/>
            <c:spPr>
              <a:solidFill>
                <a:srgbClr val="FFFFFF"/>
              </a:solidFill>
              <a:ln w="17318">
                <a:noFill/>
              </a:ln>
            </c:spPr>
            <c:txPr>
              <a:bodyPr/>
              <a:lstStyle/>
              <a:p>
                <a:pPr>
                  <a:defRPr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ser>
        <c:dLbls>
          <c:showCatName val="1"/>
          <c:showPercent val="1"/>
        </c:dLbls>
      </c:pie3DChart>
      <c:spPr>
        <a:solidFill>
          <a:srgbClr val="FFFFFF"/>
        </a:solidFill>
        <a:ln w="17318">
          <a:noFill/>
        </a:ln>
      </c:spPr>
    </c:plotArea>
    <c:plotVisOnly val="1"/>
    <c:dispBlanksAs val="zero"/>
  </c:chart>
  <c:spPr>
    <a:noFill/>
    <a:ln>
      <a:no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756410967961447"/>
          <c:y val="4.5657469569404356E-2"/>
          <c:w val="0.68100249271851165"/>
          <c:h val="0.62748922774238014"/>
        </c:manualLayout>
      </c:layout>
      <c:barChart>
        <c:barDir val="col"/>
        <c:grouping val="clustered"/>
        <c:ser>
          <c:idx val="0"/>
          <c:order val="0"/>
          <c:tx>
            <c:strRef>
              <c:f>Sheet1!$B$1</c:f>
              <c:strCache>
                <c:ptCount val="1"/>
                <c:pt idx="0">
                  <c:v>N</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c:formatCode>
                <c:ptCount val="5"/>
                <c:pt idx="0">
                  <c:v>5237</c:v>
                </c:pt>
                <c:pt idx="1">
                  <c:v>8177</c:v>
                </c:pt>
                <c:pt idx="2">
                  <c:v>8575</c:v>
                </c:pt>
                <c:pt idx="3">
                  <c:v>7908</c:v>
                </c:pt>
                <c:pt idx="4">
                  <c:v>8085</c:v>
                </c:pt>
              </c:numCache>
            </c:numRef>
          </c:val>
        </c:ser>
        <c:ser>
          <c:idx val="1"/>
          <c:order val="1"/>
          <c:tx>
            <c:strRef>
              <c:f>Sheet1!$C$1</c:f>
              <c:strCache>
                <c:ptCount val="1"/>
                <c:pt idx="0">
                  <c:v>P2O5</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#,##0</c:formatCode>
                <c:ptCount val="5"/>
                <c:pt idx="0">
                  <c:v>4173</c:v>
                </c:pt>
                <c:pt idx="1">
                  <c:v>6343</c:v>
                </c:pt>
                <c:pt idx="2">
                  <c:v>6723</c:v>
                </c:pt>
                <c:pt idx="3">
                  <c:v>6150</c:v>
                </c:pt>
                <c:pt idx="4">
                  <c:v>6290</c:v>
                </c:pt>
              </c:numCache>
            </c:numRef>
          </c:val>
        </c:ser>
        <c:ser>
          <c:idx val="2"/>
          <c:order val="2"/>
          <c:tx>
            <c:strRef>
              <c:f>Sheet1!$D$1</c:f>
              <c:strCache>
                <c:ptCount val="1"/>
                <c:pt idx="0">
                  <c:v>K2O5</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#,##0</c:formatCode>
                <c:ptCount val="5"/>
                <c:pt idx="0" formatCode="General">
                  <c:v>0</c:v>
                </c:pt>
                <c:pt idx="1">
                  <c:v>1512</c:v>
                </c:pt>
                <c:pt idx="2">
                  <c:v>1285</c:v>
                </c:pt>
                <c:pt idx="3" formatCode="General">
                  <c:v>571</c:v>
                </c:pt>
                <c:pt idx="4" formatCode="General">
                  <c:v>429</c:v>
                </c:pt>
              </c:numCache>
            </c:numRef>
          </c:val>
        </c:ser>
        <c:axId val="82682240"/>
        <c:axId val="82683776"/>
      </c:barChart>
      <c:catAx>
        <c:axId val="82682240"/>
        <c:scaling>
          <c:orientation val="minMax"/>
        </c:scaling>
        <c:axPos val="b"/>
        <c:numFmt formatCode="General" sourceLinked="1"/>
        <c:tickLblPos val="nextTo"/>
        <c:crossAx val="82683776"/>
        <c:crosses val="autoZero"/>
        <c:auto val="1"/>
        <c:lblAlgn val="ctr"/>
        <c:lblOffset val="100"/>
      </c:catAx>
      <c:valAx>
        <c:axId val="82683776"/>
        <c:scaling>
          <c:orientation val="minMax"/>
        </c:scaling>
        <c:axPos val="l"/>
        <c:majorGridlines/>
        <c:numFmt formatCode="#,##0" sourceLinked="1"/>
        <c:tickLblPos val="nextTo"/>
        <c:crossAx val="82682240"/>
        <c:crosses val="autoZero"/>
        <c:crossBetween val="between"/>
      </c:valAx>
    </c:plotArea>
    <c:legend>
      <c:legendPos val="r"/>
    </c:legend>
    <c:plotVisOnly val="1"/>
  </c:chart>
  <c:spPr>
    <a:solidFill>
      <a:srgbClr val="FEF6F0"/>
    </a:solidFill>
    <a:ln>
      <a:solidFill>
        <a:srgbClr val="FEF6F0"/>
      </a:solidFill>
    </a:ln>
    <a:effectLst>
      <a:outerShdw blurRad="50800" dist="50800" dir="5400000" algn="ctr" rotWithShape="0">
        <a:srgbClr val="FEF6F0"/>
      </a:outerShdw>
    </a:effectLst>
  </c:spPr>
  <c:externalData r:id="rId1"/>
</c:chartSpace>
</file>

<file path=word/charts/chart6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756410967961447"/>
          <c:y val="4.5657469569404356E-2"/>
          <c:w val="0.68100249271851165"/>
          <c:h val="0.62748922774238014"/>
        </c:manualLayout>
      </c:layout>
      <c:lineChart>
        <c:grouping val="stacked"/>
        <c:ser>
          <c:idx val="0"/>
          <c:order val="0"/>
          <c:tx>
            <c:strRef>
              <c:f>Sheet1!$B$1</c:f>
              <c:strCache>
                <c:ptCount val="1"/>
                <c:pt idx="0">
                  <c:v>N</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c:formatCode>
                <c:ptCount val="5"/>
                <c:pt idx="0">
                  <c:v>5237</c:v>
                </c:pt>
                <c:pt idx="1">
                  <c:v>8177</c:v>
                </c:pt>
                <c:pt idx="2">
                  <c:v>8575</c:v>
                </c:pt>
                <c:pt idx="3">
                  <c:v>7908</c:v>
                </c:pt>
                <c:pt idx="4">
                  <c:v>8085</c:v>
                </c:pt>
              </c:numCache>
            </c:numRef>
          </c:val>
        </c:ser>
        <c:ser>
          <c:idx val="1"/>
          <c:order val="1"/>
          <c:tx>
            <c:strRef>
              <c:f>Sheet1!$C$1</c:f>
              <c:strCache>
                <c:ptCount val="1"/>
                <c:pt idx="0">
                  <c:v>P2O5</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#,##0</c:formatCode>
                <c:ptCount val="5"/>
                <c:pt idx="0">
                  <c:v>4173</c:v>
                </c:pt>
                <c:pt idx="1">
                  <c:v>6343</c:v>
                </c:pt>
                <c:pt idx="2">
                  <c:v>6723</c:v>
                </c:pt>
                <c:pt idx="3">
                  <c:v>6150</c:v>
                </c:pt>
                <c:pt idx="4">
                  <c:v>6290</c:v>
                </c:pt>
              </c:numCache>
            </c:numRef>
          </c:val>
        </c:ser>
        <c:ser>
          <c:idx val="2"/>
          <c:order val="2"/>
          <c:tx>
            <c:strRef>
              <c:f>Sheet1!$D$1</c:f>
              <c:strCache>
                <c:ptCount val="1"/>
                <c:pt idx="0">
                  <c:v>K2O5</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#,##0</c:formatCode>
                <c:ptCount val="5"/>
                <c:pt idx="0" formatCode="General">
                  <c:v>0</c:v>
                </c:pt>
                <c:pt idx="1">
                  <c:v>1512</c:v>
                </c:pt>
                <c:pt idx="2">
                  <c:v>1285</c:v>
                </c:pt>
                <c:pt idx="3" formatCode="General">
                  <c:v>571</c:v>
                </c:pt>
                <c:pt idx="4" formatCode="General">
                  <c:v>429</c:v>
                </c:pt>
              </c:numCache>
            </c:numRef>
          </c:val>
        </c:ser>
        <c:marker val="1"/>
        <c:axId val="84417152"/>
        <c:axId val="84427136"/>
      </c:lineChart>
      <c:catAx>
        <c:axId val="84417152"/>
        <c:scaling>
          <c:orientation val="minMax"/>
        </c:scaling>
        <c:axPos val="b"/>
        <c:numFmt formatCode="General" sourceLinked="1"/>
        <c:tickLblPos val="nextTo"/>
        <c:crossAx val="84427136"/>
        <c:crosses val="autoZero"/>
        <c:auto val="1"/>
        <c:lblAlgn val="ctr"/>
        <c:lblOffset val="100"/>
      </c:catAx>
      <c:valAx>
        <c:axId val="84427136"/>
        <c:scaling>
          <c:orientation val="minMax"/>
        </c:scaling>
        <c:axPos val="l"/>
        <c:majorGridlines/>
        <c:numFmt formatCode="#,##0" sourceLinked="1"/>
        <c:tickLblPos val="nextTo"/>
        <c:crossAx val="84417152"/>
        <c:crosses val="autoZero"/>
        <c:crossBetween val="between"/>
      </c:valAx>
    </c:plotArea>
    <c:legend>
      <c:legendPos val="r"/>
    </c:legend>
    <c:plotVisOnly val="1"/>
  </c:chart>
  <c:spPr>
    <a:solidFill>
      <a:srgbClr val="FEF6F0"/>
    </a:solidFill>
  </c:spPr>
  <c:externalData r:id="rId1"/>
</c:chartSpace>
</file>

<file path=word/charts/chart6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400"/>
              <a:t>Consum total de p</a:t>
            </a:r>
            <a:r>
              <a:rPr lang="en-US" sz="1400"/>
              <a:t>esticide</a:t>
            </a:r>
          </a:p>
        </c:rich>
      </c:tx>
    </c:title>
    <c:plotArea>
      <c:layout>
        <c:manualLayout>
          <c:layoutTarget val="inner"/>
          <c:xMode val="edge"/>
          <c:yMode val="edge"/>
          <c:x val="0.14756410967961447"/>
          <c:y val="4.5657469569404356E-2"/>
          <c:w val="0.68100249271851165"/>
          <c:h val="0.62748922774238014"/>
        </c:manualLayout>
      </c:layout>
      <c:lineChart>
        <c:grouping val="stacked"/>
        <c:ser>
          <c:idx val="0"/>
          <c:order val="0"/>
          <c:tx>
            <c:strRef>
              <c:f>Sheet1!$B$1</c:f>
              <c:strCache>
                <c:ptCount val="1"/>
                <c:pt idx="0">
                  <c:v>Pesticide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212.10299999999998</c:v>
                </c:pt>
                <c:pt idx="1">
                  <c:v>140.91999999999999</c:v>
                </c:pt>
                <c:pt idx="2">
                  <c:v>118.92</c:v>
                </c:pt>
                <c:pt idx="3">
                  <c:v>118.627</c:v>
                </c:pt>
                <c:pt idx="4">
                  <c:v>337.95400000000001</c:v>
                </c:pt>
              </c:numCache>
            </c:numRef>
          </c:val>
        </c:ser>
        <c:marker val="1"/>
        <c:axId val="84434304"/>
        <c:axId val="84444288"/>
      </c:lineChart>
      <c:catAx>
        <c:axId val="84434304"/>
        <c:scaling>
          <c:orientation val="minMax"/>
        </c:scaling>
        <c:axPos val="b"/>
        <c:numFmt formatCode="General" sourceLinked="1"/>
        <c:tickLblPos val="nextTo"/>
        <c:crossAx val="84444288"/>
        <c:crosses val="autoZero"/>
        <c:auto val="1"/>
        <c:lblAlgn val="ctr"/>
        <c:lblOffset val="100"/>
      </c:catAx>
      <c:valAx>
        <c:axId val="84444288"/>
        <c:scaling>
          <c:orientation val="minMax"/>
        </c:scaling>
        <c:axPos val="l"/>
        <c:majorGridlines/>
        <c:numFmt formatCode="General" sourceLinked="1"/>
        <c:tickLblPos val="nextTo"/>
        <c:crossAx val="84434304"/>
        <c:crosses val="autoZero"/>
        <c:crossBetween val="between"/>
      </c:valAx>
    </c:plotArea>
    <c:legend>
      <c:legendPos val="r"/>
    </c:legend>
    <c:plotVisOnly val="1"/>
  </c:chart>
  <c:spPr>
    <a:solidFill>
      <a:srgbClr val="FFFFCC"/>
    </a:solidFill>
  </c:spPr>
  <c:externalData r:id="rId1"/>
</c:chartSpace>
</file>

<file path=word/charts/chart6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5272266660925937"/>
          <c:y val="4.5657562582717845E-2"/>
          <c:w val="0.68100249271851165"/>
          <c:h val="0.62748922774238014"/>
        </c:manualLayout>
      </c:layout>
      <c:lineChart>
        <c:grouping val="standard"/>
        <c:ser>
          <c:idx val="0"/>
          <c:order val="0"/>
          <c:tx>
            <c:strRef>
              <c:f>Sheet1!$B$1</c:f>
              <c:strCache>
                <c:ptCount val="1"/>
                <c:pt idx="0">
                  <c:v>Erbicide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0</c:formatCode>
                <c:ptCount val="5"/>
                <c:pt idx="0">
                  <c:v>114</c:v>
                </c:pt>
                <c:pt idx="1">
                  <c:v>111</c:v>
                </c:pt>
                <c:pt idx="2">
                  <c:v>56</c:v>
                </c:pt>
                <c:pt idx="3">
                  <c:v>93</c:v>
                </c:pt>
                <c:pt idx="4">
                  <c:v>206</c:v>
                </c:pt>
              </c:numCache>
            </c:numRef>
          </c:val>
        </c:ser>
        <c:ser>
          <c:idx val="1"/>
          <c:order val="1"/>
          <c:tx>
            <c:strRef>
              <c:f>Sheet1!$C$1</c:f>
              <c:strCache>
                <c:ptCount val="1"/>
                <c:pt idx="0">
                  <c:v>Fungicide</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0</c:formatCode>
                <c:ptCount val="5"/>
                <c:pt idx="0">
                  <c:v>81</c:v>
                </c:pt>
                <c:pt idx="1">
                  <c:v>12</c:v>
                </c:pt>
                <c:pt idx="2">
                  <c:v>41</c:v>
                </c:pt>
                <c:pt idx="3">
                  <c:v>10</c:v>
                </c:pt>
                <c:pt idx="4">
                  <c:v>98</c:v>
                </c:pt>
              </c:numCache>
            </c:numRef>
          </c:val>
        </c:ser>
        <c:ser>
          <c:idx val="2"/>
          <c:order val="2"/>
          <c:tx>
            <c:strRef>
              <c:f>Sheet1!$D$1</c:f>
              <c:strCache>
                <c:ptCount val="1"/>
                <c:pt idx="0">
                  <c:v>Insecticide</c:v>
                </c:pt>
              </c:strCache>
            </c:strRef>
          </c:tx>
          <c:cat>
            <c:numRef>
              <c:f>Sheet1!$A$2:$A$6</c:f>
              <c:numCache>
                <c:formatCode>General</c:formatCode>
                <c:ptCount val="5"/>
                <c:pt idx="0">
                  <c:v>2010</c:v>
                </c:pt>
                <c:pt idx="1">
                  <c:v>2011</c:v>
                </c:pt>
                <c:pt idx="2">
                  <c:v>2012</c:v>
                </c:pt>
                <c:pt idx="3">
                  <c:v>2013</c:v>
                </c:pt>
                <c:pt idx="4">
                  <c:v>2014</c:v>
                </c:pt>
              </c:numCache>
            </c:numRef>
          </c:cat>
          <c:val>
            <c:numRef>
              <c:f>Sheet1!$D$2:$D$6</c:f>
              <c:numCache>
                <c:formatCode>0</c:formatCode>
                <c:ptCount val="5"/>
                <c:pt idx="0">
                  <c:v>15</c:v>
                </c:pt>
                <c:pt idx="1">
                  <c:v>7</c:v>
                </c:pt>
                <c:pt idx="2">
                  <c:v>10</c:v>
                </c:pt>
                <c:pt idx="3">
                  <c:v>5</c:v>
                </c:pt>
                <c:pt idx="4">
                  <c:v>31</c:v>
                </c:pt>
              </c:numCache>
            </c:numRef>
          </c:val>
        </c:ser>
        <c:marker val="1"/>
        <c:axId val="87460096"/>
        <c:axId val="87470080"/>
      </c:lineChart>
      <c:catAx>
        <c:axId val="87460096"/>
        <c:scaling>
          <c:orientation val="minMax"/>
        </c:scaling>
        <c:axPos val="b"/>
        <c:numFmt formatCode="General" sourceLinked="1"/>
        <c:tickLblPos val="nextTo"/>
        <c:crossAx val="87470080"/>
        <c:crosses val="autoZero"/>
        <c:auto val="1"/>
        <c:lblAlgn val="ctr"/>
        <c:lblOffset val="100"/>
      </c:catAx>
      <c:valAx>
        <c:axId val="87470080"/>
        <c:scaling>
          <c:orientation val="minMax"/>
        </c:scaling>
        <c:axPos val="l"/>
        <c:majorGridlines/>
        <c:numFmt formatCode="0" sourceLinked="1"/>
        <c:tickLblPos val="nextTo"/>
        <c:crossAx val="87460096"/>
        <c:crosses val="autoZero"/>
        <c:crossBetween val="between"/>
      </c:valAx>
    </c:plotArea>
    <c:legend>
      <c:legendPos val="r"/>
    </c:legend>
    <c:plotVisOnly val="1"/>
  </c:chart>
  <c:spPr>
    <a:solidFill>
      <a:srgbClr val="FFFFCC"/>
    </a:solidFill>
  </c:spPr>
  <c:externalData r:id="rId1"/>
</c:chartSpace>
</file>

<file path=word/charts/chart65.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4618820702498014"/>
          <c:y val="6.1271521118965687E-2"/>
          <c:w val="0.69293924466339474"/>
          <c:h val="0.71372549019609421"/>
        </c:manualLayout>
      </c:layout>
      <c:lineChart>
        <c:grouping val="standard"/>
        <c:ser>
          <c:idx val="1"/>
          <c:order val="0"/>
          <c:tx>
            <c:strRef>
              <c:f>Sheet1!$A$3</c:f>
              <c:strCache>
                <c:ptCount val="1"/>
                <c:pt idx="0">
                  <c:v>Suprafata irigata-ha</c:v>
                </c:pt>
              </c:strCache>
            </c:strRef>
          </c:tx>
          <c:spPr>
            <a:ln w="19538">
              <a:solidFill>
                <a:srgbClr val="008000"/>
              </a:solidFill>
              <a:prstDash val="solid"/>
            </a:ln>
          </c:spPr>
          <c:marker>
            <c:symbol val="diamond"/>
            <c:size val="2"/>
            <c:spPr>
              <a:solidFill>
                <a:srgbClr val="008000"/>
              </a:solidFill>
              <a:ln>
                <a:solidFill>
                  <a:srgbClr val="008000"/>
                </a:solidFill>
                <a:prstDash val="solid"/>
              </a:ln>
            </c:spPr>
          </c:marker>
          <c:cat>
            <c:strRef>
              <c:f>Sheet1!$B$1:$F$2</c:f>
              <c:strCache>
                <c:ptCount val="5"/>
                <c:pt idx="0">
                  <c:v>2010</c:v>
                </c:pt>
                <c:pt idx="1">
                  <c:v>2011</c:v>
                </c:pt>
                <c:pt idx="2">
                  <c:v>2012</c:v>
                </c:pt>
                <c:pt idx="3">
                  <c:v>2013</c:v>
                </c:pt>
                <c:pt idx="4">
                  <c:v>2014</c:v>
                </c:pt>
              </c:strCache>
            </c:strRef>
          </c:cat>
          <c:val>
            <c:numRef>
              <c:f>Sheet1!$B$3:$F$3</c:f>
              <c:numCache>
                <c:formatCode>General</c:formatCode>
                <c:ptCount val="5"/>
                <c:pt idx="0">
                  <c:v>113795</c:v>
                </c:pt>
                <c:pt idx="1">
                  <c:v>64597.7</c:v>
                </c:pt>
                <c:pt idx="2">
                  <c:v>258259</c:v>
                </c:pt>
                <c:pt idx="3">
                  <c:v>213736</c:v>
                </c:pt>
                <c:pt idx="4">
                  <c:v>168237</c:v>
                </c:pt>
              </c:numCache>
            </c:numRef>
          </c:val>
        </c:ser>
        <c:ser>
          <c:idx val="2"/>
          <c:order val="1"/>
          <c:tx>
            <c:strRef>
              <c:f>Sheet1!$A$4</c:f>
              <c:strCache>
                <c:ptCount val="1"/>
                <c:pt idx="0">
                  <c:v>Volume de apa consumate- mii mc</c:v>
                </c:pt>
              </c:strCache>
            </c:strRef>
          </c:tx>
          <c:spPr>
            <a:ln w="19538">
              <a:solidFill>
                <a:srgbClr val="3366FF"/>
              </a:solidFill>
              <a:prstDash val="solid"/>
            </a:ln>
          </c:spPr>
          <c:marker>
            <c:symbol val="diamond"/>
            <c:size val="2"/>
            <c:spPr>
              <a:solidFill>
                <a:srgbClr val="3366FF"/>
              </a:solidFill>
              <a:ln>
                <a:solidFill>
                  <a:srgbClr val="3366FF"/>
                </a:solidFill>
                <a:prstDash val="solid"/>
              </a:ln>
            </c:spPr>
          </c:marker>
          <c:cat>
            <c:strRef>
              <c:f>Sheet1!$B$1:$F$2</c:f>
              <c:strCache>
                <c:ptCount val="5"/>
                <c:pt idx="0">
                  <c:v>2010</c:v>
                </c:pt>
                <c:pt idx="1">
                  <c:v>2011</c:v>
                </c:pt>
                <c:pt idx="2">
                  <c:v>2012</c:v>
                </c:pt>
                <c:pt idx="3">
                  <c:v>2013</c:v>
                </c:pt>
                <c:pt idx="4">
                  <c:v>2014</c:v>
                </c:pt>
              </c:strCache>
            </c:strRef>
          </c:cat>
          <c:val>
            <c:numRef>
              <c:f>Sheet1!$B$4:$F$4</c:f>
              <c:numCache>
                <c:formatCode>General</c:formatCode>
                <c:ptCount val="5"/>
                <c:pt idx="0">
                  <c:v>159143</c:v>
                </c:pt>
                <c:pt idx="1">
                  <c:v>126652</c:v>
                </c:pt>
                <c:pt idx="2">
                  <c:v>159108</c:v>
                </c:pt>
                <c:pt idx="3">
                  <c:v>207269</c:v>
                </c:pt>
                <c:pt idx="4">
                  <c:v>155441</c:v>
                </c:pt>
              </c:numCache>
            </c:numRef>
          </c:val>
        </c:ser>
        <c:marker val="1"/>
        <c:axId val="84599552"/>
        <c:axId val="84601472"/>
      </c:lineChart>
      <c:catAx>
        <c:axId val="84599552"/>
        <c:scaling>
          <c:orientation val="minMax"/>
        </c:scaling>
        <c:axPos val="b"/>
        <c:numFmt formatCode="General" sourceLinked="1"/>
        <c:tickLblPos val="nextTo"/>
        <c:spPr>
          <a:ln w="19538">
            <a:solidFill>
              <a:srgbClr val="000000"/>
            </a:solidFill>
            <a:prstDash val="solid"/>
          </a:ln>
        </c:spPr>
        <c:txPr>
          <a:bodyPr rot="0" vert="horz"/>
          <a:lstStyle/>
          <a:p>
            <a:pPr>
              <a:defRPr sz="830" b="1" i="0" u="none" strike="noStrike" baseline="0">
                <a:solidFill>
                  <a:srgbClr val="000000"/>
                </a:solidFill>
                <a:latin typeface="Arial"/>
                <a:ea typeface="Arial"/>
                <a:cs typeface="Arial"/>
              </a:defRPr>
            </a:pPr>
            <a:endParaRPr lang="ro-RO"/>
          </a:p>
        </c:txPr>
        <c:crossAx val="84601472"/>
        <c:crosses val="autoZero"/>
        <c:auto val="1"/>
        <c:lblAlgn val="ctr"/>
        <c:lblOffset val="100"/>
        <c:tickLblSkip val="1"/>
        <c:tickMarkSkip val="1"/>
      </c:catAx>
      <c:valAx>
        <c:axId val="84601472"/>
        <c:scaling>
          <c:orientation val="minMax"/>
        </c:scaling>
        <c:axPos val="l"/>
        <c:majorGridlines>
          <c:spPr>
            <a:ln w="2443">
              <a:solidFill>
                <a:srgbClr val="000000"/>
              </a:solidFill>
              <a:prstDash val="solid"/>
            </a:ln>
          </c:spPr>
        </c:majorGridlines>
        <c:numFmt formatCode="General" sourceLinked="0"/>
        <c:tickLblPos val="nextTo"/>
        <c:spPr>
          <a:ln w="19538">
            <a:solidFill>
              <a:srgbClr val="000000"/>
            </a:solidFill>
            <a:prstDash val="solid"/>
          </a:ln>
        </c:spPr>
        <c:txPr>
          <a:bodyPr rot="0" vert="horz"/>
          <a:lstStyle/>
          <a:p>
            <a:pPr>
              <a:defRPr sz="615" b="0" i="0" u="none" strike="noStrike" baseline="0">
                <a:solidFill>
                  <a:srgbClr val="000000"/>
                </a:solidFill>
                <a:latin typeface="Arial"/>
                <a:ea typeface="Arial"/>
                <a:cs typeface="Arial"/>
              </a:defRPr>
            </a:pPr>
            <a:endParaRPr lang="ro-RO"/>
          </a:p>
        </c:txPr>
        <c:crossAx val="84599552"/>
        <c:crosses val="autoZero"/>
        <c:crossBetween val="between"/>
      </c:valAx>
      <c:spPr>
        <a:noFill/>
        <a:ln w="25390">
          <a:noFill/>
        </a:ln>
      </c:spPr>
    </c:plotArea>
    <c:legend>
      <c:legendPos val="b"/>
      <c:legendEntry>
        <c:idx val="0"/>
        <c:txPr>
          <a:bodyPr/>
          <a:lstStyle/>
          <a:p>
            <a:pPr>
              <a:defRPr sz="635" b="0" i="0" u="none" strike="noStrike" baseline="0">
                <a:solidFill>
                  <a:srgbClr val="000000"/>
                </a:solidFill>
                <a:latin typeface="Arial"/>
                <a:ea typeface="Arial"/>
                <a:cs typeface="Arial"/>
              </a:defRPr>
            </a:pPr>
            <a:endParaRPr lang="ro-RO"/>
          </a:p>
        </c:txPr>
      </c:legendEntry>
      <c:legendEntry>
        <c:idx val="1"/>
        <c:txPr>
          <a:bodyPr/>
          <a:lstStyle/>
          <a:p>
            <a:pPr>
              <a:defRPr sz="635" b="0" i="0" u="none" strike="noStrike" baseline="0">
                <a:solidFill>
                  <a:srgbClr val="000000"/>
                </a:solidFill>
                <a:latin typeface="Arial"/>
                <a:ea typeface="Arial"/>
                <a:cs typeface="Arial"/>
              </a:defRPr>
            </a:pPr>
            <a:endParaRPr lang="ro-RO"/>
          </a:p>
        </c:txPr>
      </c:legendEntry>
      <c:layout>
        <c:manualLayout>
          <c:xMode val="edge"/>
          <c:yMode val="edge"/>
          <c:x val="0.17077175368977127"/>
          <c:y val="0.93333333333333324"/>
          <c:w val="0.59605906972279832"/>
          <c:h val="6.666666666666668E-2"/>
        </c:manualLayout>
      </c:layout>
      <c:spPr>
        <a:noFill/>
        <a:ln w="19538">
          <a:noFill/>
        </a:ln>
      </c:spPr>
      <c:txPr>
        <a:bodyPr/>
        <a:lstStyle/>
        <a:p>
          <a:pPr>
            <a:defRPr lang="en-US" sz="635" b="1" i="0" u="none" strike="noStrike" baseline="0">
              <a:solidFill>
                <a:srgbClr val="000000"/>
              </a:solidFill>
              <a:latin typeface="Arial"/>
              <a:ea typeface="Arial"/>
              <a:cs typeface="Arial"/>
            </a:defRPr>
          </a:pPr>
          <a:endParaRPr lang="ro-RO"/>
        </a:p>
      </c:txPr>
    </c:legend>
    <c:plotVisOnly val="1"/>
    <c:dispBlanksAs val="gap"/>
  </c:chart>
  <c:spPr>
    <a:solidFill>
      <a:srgbClr val="DEF2F2">
        <a:alpha val="17000"/>
      </a:srgbClr>
    </a:solidFill>
    <a:ln>
      <a:solidFill>
        <a:sysClr val="windowText" lastClr="000000"/>
      </a:solidFill>
    </a:ln>
  </c:spPr>
  <c:txPr>
    <a:bodyPr/>
    <a:lstStyle/>
    <a:p>
      <a:pPr>
        <a:defRPr sz="830" b="1" i="0" u="none" strike="noStrike" baseline="0">
          <a:solidFill>
            <a:srgbClr val="000000"/>
          </a:solidFill>
          <a:latin typeface="Arial"/>
          <a:ea typeface="Arial"/>
          <a:cs typeface="Arial"/>
        </a:defRPr>
      </a:pPr>
      <a:endParaRPr lang="ro-RO"/>
    </a:p>
  </c:txPr>
  <c:externalData r:id="rId2"/>
</c:chartSpace>
</file>

<file path=word/charts/chart66.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sz="1200">
                <a:latin typeface="Arial" pitchFamily="34" charset="0"/>
                <a:cs typeface="Arial" pitchFamily="34" charset="0"/>
              </a:defRPr>
            </a:pPr>
            <a:r>
              <a:rPr lang="ro-RO" sz="1200">
                <a:latin typeface="Arial" pitchFamily="34" charset="0"/>
                <a:cs typeface="Arial" pitchFamily="34" charset="0"/>
              </a:rPr>
              <a:t>Acoperirea/utilizarea terenurilor în anul 2014 </a:t>
            </a:r>
          </a:p>
        </c:rich>
      </c:tx>
      <c:layout>
        <c:manualLayout>
          <c:xMode val="edge"/>
          <c:yMode val="edge"/>
          <c:x val="6.5940397943651599E-2"/>
          <c:y val="3.8433947257614558E-2"/>
        </c:manualLayout>
      </c:layout>
    </c:title>
    <c:view3D>
      <c:rotX val="30"/>
      <c:perspective val="30"/>
    </c:view3D>
    <c:plotArea>
      <c:layout>
        <c:manualLayout>
          <c:layoutTarget val="inner"/>
          <c:xMode val="edge"/>
          <c:yMode val="edge"/>
          <c:x val="0.10514155141780562"/>
          <c:y val="0.33485080192466965"/>
          <c:w val="0.50946490064135586"/>
          <c:h val="0.51405390843675658"/>
        </c:manualLayout>
      </c:layout>
      <c:pie3DChart>
        <c:varyColors val="1"/>
        <c:ser>
          <c:idx val="0"/>
          <c:order val="0"/>
          <c:tx>
            <c:strRef>
              <c:f>Sheet1!$B$1</c:f>
              <c:strCache>
                <c:ptCount val="1"/>
                <c:pt idx="0">
                  <c:v>Column1</c:v>
                </c:pt>
              </c:strCache>
            </c:strRef>
          </c:tx>
          <c:dPt>
            <c:idx val="0"/>
            <c:spPr>
              <a:solidFill>
                <a:srgbClr val="C00000"/>
              </a:solidFill>
            </c:spPr>
          </c:dPt>
          <c:dPt>
            <c:idx val="1"/>
            <c:spPr>
              <a:solidFill>
                <a:srgbClr val="00B050"/>
              </a:solidFill>
            </c:spPr>
          </c:dPt>
          <c:dPt>
            <c:idx val="2"/>
            <c:spPr>
              <a:solidFill>
                <a:schemeClr val="tx2">
                  <a:lumMod val="60000"/>
                  <a:lumOff val="40000"/>
                </a:schemeClr>
              </a:solidFill>
            </c:spPr>
          </c:dPt>
          <c:dPt>
            <c:idx val="3"/>
            <c:spPr>
              <a:solidFill>
                <a:srgbClr val="FFC000"/>
              </a:solidFill>
            </c:spPr>
          </c:dPt>
          <c:dPt>
            <c:idx val="4"/>
            <c:spPr>
              <a:solidFill>
                <a:schemeClr val="accent2">
                  <a:lumMod val="60000"/>
                  <a:lumOff val="40000"/>
                </a:schemeClr>
              </a:solidFill>
            </c:spPr>
          </c:dPt>
          <c:dPt>
            <c:idx val="5"/>
            <c:spPr>
              <a:solidFill>
                <a:srgbClr val="FF0000"/>
              </a:solidFill>
            </c:spPr>
          </c:dPt>
          <c:cat>
            <c:strRef>
              <c:f>Sheet1!$A$2:$A$7</c:f>
              <c:strCache>
                <c:ptCount val="6"/>
                <c:pt idx="0">
                  <c:v>terenuri agricole</c:v>
                </c:pt>
                <c:pt idx="1">
                  <c:v>păduri</c:v>
                </c:pt>
                <c:pt idx="2">
                  <c:v>ape</c:v>
                </c:pt>
                <c:pt idx="3">
                  <c:v>drumuri și căi ferate</c:v>
                </c:pt>
                <c:pt idx="4">
                  <c:v>curți și construcții</c:v>
                </c:pt>
                <c:pt idx="5">
                  <c:v>neproductive</c:v>
                </c:pt>
              </c:strCache>
            </c:strRef>
          </c:cat>
          <c:val>
            <c:numRef>
              <c:f>Sheet1!$B$2:$B$7</c:f>
              <c:numCache>
                <c:formatCode>General</c:formatCode>
                <c:ptCount val="6"/>
                <c:pt idx="0">
                  <c:v>387363</c:v>
                </c:pt>
                <c:pt idx="1">
                  <c:v>28383</c:v>
                </c:pt>
                <c:pt idx="2">
                  <c:v>30331</c:v>
                </c:pt>
                <c:pt idx="3">
                  <c:v>8586</c:v>
                </c:pt>
                <c:pt idx="4">
                  <c:v>13294</c:v>
                </c:pt>
                <c:pt idx="5">
                  <c:v>7928</c:v>
                </c:pt>
              </c:numCache>
            </c:numRef>
          </c:val>
        </c:ser>
      </c:pie3DChart>
    </c:plotArea>
    <c:legend>
      <c:legendPos val="r"/>
      <c:layout>
        <c:manualLayout>
          <c:xMode val="edge"/>
          <c:yMode val="edge"/>
          <c:x val="0.77267634834509946"/>
          <c:y val="3.5360687012980264E-2"/>
          <c:w val="0.22325857474838987"/>
          <c:h val="0.96463947938569183"/>
        </c:manualLayout>
      </c:layout>
    </c:legend>
    <c:plotVisOnly val="1"/>
  </c:chart>
  <c:spPr>
    <a:solidFill>
      <a:srgbClr val="FBF3F3"/>
    </a:solidFill>
  </c:spPr>
  <c:externalData r:id="rId2"/>
  <c:userShapes r:id="rId3"/>
</c:chartSpace>
</file>

<file path=word/charts/chart67.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lang="en-US" sz="891" b="1" i="0" u="none" strike="noStrike" baseline="0">
                <a:solidFill>
                  <a:srgbClr val="000000"/>
                </a:solidFill>
                <a:latin typeface="Arial"/>
                <a:ea typeface="Arial"/>
                <a:cs typeface="Arial"/>
              </a:defRPr>
            </a:pPr>
            <a:r>
              <a:rPr lang="en-US"/>
              <a:t>
</a:t>
            </a:r>
          </a:p>
        </c:rich>
      </c:tx>
      <c:layout>
        <c:manualLayout>
          <c:xMode val="edge"/>
          <c:yMode val="edge"/>
          <c:x val="0.50553509831603749"/>
          <c:y val="0"/>
        </c:manualLayout>
      </c:layout>
      <c:spPr>
        <a:noFill/>
        <a:ln w="18850">
          <a:noFill/>
        </a:ln>
      </c:spPr>
    </c:title>
    <c:view3D>
      <c:perspective val="0"/>
    </c:view3D>
    <c:plotArea>
      <c:layout>
        <c:manualLayout>
          <c:layoutTarget val="inner"/>
          <c:xMode val="edge"/>
          <c:yMode val="edge"/>
          <c:x val="0.24805858313955823"/>
          <c:y val="0.27411167512690382"/>
          <c:w val="0.47254394273052375"/>
          <c:h val="0.51588924216899712"/>
        </c:manualLayout>
      </c:layout>
      <c:pie3DChart>
        <c:varyColors val="1"/>
        <c:ser>
          <c:idx val="0"/>
          <c:order val="0"/>
          <c:tx>
            <c:strRef>
              <c:f>Sheet1!$A$2</c:f>
              <c:strCache>
                <c:ptCount val="1"/>
                <c:pt idx="0">
                  <c:v>476576</c:v>
                </c:pt>
              </c:strCache>
            </c:strRef>
          </c:tx>
          <c:spPr>
            <a:ln w="2355">
              <a:solidFill>
                <a:srgbClr val="000000"/>
              </a:solidFill>
              <a:prstDash val="solid"/>
            </a:ln>
          </c:spPr>
          <c:explosion val="8"/>
          <c:dPt>
            <c:idx val="0"/>
            <c:spPr>
              <a:solidFill>
                <a:srgbClr val="99CCFF"/>
              </a:solidFill>
              <a:ln w="18842">
                <a:noFill/>
              </a:ln>
            </c:spPr>
          </c:dPt>
          <c:dPt>
            <c:idx val="1"/>
            <c:spPr/>
          </c:dPt>
          <c:dPt>
            <c:idx val="2"/>
            <c:spPr>
              <a:solidFill>
                <a:srgbClr val="339966"/>
              </a:solidFill>
              <a:ln w="18842">
                <a:noFill/>
              </a:ln>
            </c:spPr>
          </c:dPt>
          <c:dPt>
            <c:idx val="3"/>
            <c:spPr>
              <a:solidFill>
                <a:srgbClr val="FF0000"/>
              </a:solidFill>
              <a:ln w="18842">
                <a:noFill/>
              </a:ln>
            </c:spPr>
          </c:dPt>
          <c:dLbls>
            <c:dLbl>
              <c:idx val="0"/>
              <c:delete val="1"/>
            </c:dLbl>
            <c:dLbl>
              <c:idx val="1"/>
              <c:layout>
                <c:manualLayout>
                  <c:x val="0.15788709068193346"/>
                  <c:y val="8.3433124158972707E-2"/>
                </c:manualLayout>
              </c:layout>
              <c:tx>
                <c:rich>
                  <a:bodyPr/>
                  <a:lstStyle/>
                  <a:p>
                    <a:pPr>
                      <a:defRPr sz="591"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terenuri agricole</a:t>
                    </a:r>
                    <a:endParaRPr lang="ro-RO" sz="1050" b="0" i="0" strike="noStrike">
                      <a:solidFill>
                        <a:srgbClr val="000000"/>
                      </a:solidFill>
                      <a:latin typeface="Arial"/>
                      <a:cs typeface="Arial"/>
                    </a:endParaRPr>
                  </a:p>
                  <a:p>
                    <a:pPr>
                      <a:defRPr sz="591"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81,36%</a:t>
                    </a:r>
                  </a:p>
                  <a:p>
                    <a:pPr>
                      <a:defRPr sz="591"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2"/>
              <c:layout>
                <c:manualLayout>
                  <c:x val="-0.10856727779876224"/>
                  <c:y val="-0.20347302558744393"/>
                </c:manualLayout>
              </c:layout>
              <c:tx>
                <c:rich>
                  <a:bodyPr/>
                  <a:lstStyle/>
                  <a:p>
                    <a:pPr>
                      <a:defRPr sz="593" b="1" i="0" u="none" strike="noStrike" baseline="0">
                        <a:solidFill>
                          <a:srgbClr val="000000"/>
                        </a:solidFill>
                        <a:latin typeface="Arial"/>
                        <a:ea typeface="Arial"/>
                        <a:cs typeface="Arial"/>
                      </a:defRPr>
                    </a:pPr>
                    <a:r>
                      <a:rPr lang="vi-VN" sz="814" b="0" i="0" strike="noStrike">
                        <a:solidFill>
                          <a:srgbClr val="000000"/>
                        </a:solidFill>
                        <a:latin typeface="Arial"/>
                        <a:cs typeface="Arial"/>
                      </a:rPr>
                      <a:t>păduri</a:t>
                    </a:r>
                    <a:endParaRPr lang="vi-VN" sz="1050" b="0" i="0" strike="noStrike">
                      <a:solidFill>
                        <a:srgbClr val="000000"/>
                      </a:solidFill>
                      <a:latin typeface="Arial"/>
                      <a:cs typeface="Arial"/>
                    </a:endParaRPr>
                  </a:p>
                  <a:p>
                    <a:pPr>
                      <a:defRPr sz="593" b="1" i="0" u="none" strike="noStrike" baseline="0">
                        <a:solidFill>
                          <a:srgbClr val="000000"/>
                        </a:solidFill>
                        <a:latin typeface="Arial"/>
                        <a:ea typeface="Arial"/>
                        <a:cs typeface="Arial"/>
                      </a:defRPr>
                    </a:pPr>
                    <a:r>
                      <a:rPr lang="vi-VN" sz="779" b="0" i="0" strike="noStrike">
                        <a:solidFill>
                          <a:srgbClr val="000000"/>
                        </a:solidFill>
                        <a:latin typeface="Arial"/>
                        <a:cs typeface="Arial"/>
                      </a:rPr>
                      <a:t>6,0</a:t>
                    </a:r>
                    <a:r>
                      <a:rPr lang="ro-RO" sz="779" b="0" i="0" strike="noStrike">
                        <a:solidFill>
                          <a:srgbClr val="000000"/>
                        </a:solidFill>
                        <a:latin typeface="Arial"/>
                        <a:cs typeface="Arial"/>
                      </a:rPr>
                      <a:t>2</a:t>
                    </a:r>
                    <a:r>
                      <a:rPr lang="vi-VN" sz="779" b="0" i="0" strike="noStrike">
                        <a:solidFill>
                          <a:srgbClr val="000000"/>
                        </a:solidFill>
                        <a:latin typeface="Arial"/>
                        <a:cs typeface="Arial"/>
                      </a:rPr>
                      <a:t>%</a:t>
                    </a:r>
                  </a:p>
                </c:rich>
              </c:tx>
              <c:spPr>
                <a:solidFill>
                  <a:srgbClr val="FBF3F3"/>
                </a:solidFill>
                <a:ln w="18842">
                  <a:noFill/>
                </a:ln>
              </c:spPr>
              <c:dLblPos val="bestFit"/>
            </c:dLbl>
            <c:dLbl>
              <c:idx val="3"/>
              <c:layout>
                <c:manualLayout>
                  <c:x val="0.13025218569188651"/>
                  <c:y val="-5.9214977281918671E-2"/>
                </c:manualLayout>
              </c:layout>
              <c:tx>
                <c:rich>
                  <a:bodyPr/>
                  <a:lstStyle/>
                  <a:p>
                    <a:pPr>
                      <a:defRPr sz="592" b="1" i="0" u="none" strike="noStrike" baseline="0">
                        <a:solidFill>
                          <a:srgbClr val="000000"/>
                        </a:solidFill>
                        <a:latin typeface="Arial"/>
                        <a:ea typeface="Arial"/>
                        <a:cs typeface="Arial"/>
                      </a:defRPr>
                    </a:pPr>
                    <a:r>
                      <a:rPr lang="ro-RO" sz="814" b="0" i="0" strike="noStrike">
                        <a:solidFill>
                          <a:srgbClr val="000000"/>
                        </a:solidFill>
                        <a:latin typeface="Arial"/>
                        <a:cs typeface="Arial"/>
                      </a:rPr>
                      <a:t>alte terenuri</a:t>
                    </a:r>
                    <a:endParaRPr lang="ro-RO" sz="1050" b="0" i="0" strike="noStrike">
                      <a:solidFill>
                        <a:srgbClr val="000000"/>
                      </a:solidFill>
                      <a:latin typeface="Arial"/>
                      <a:cs typeface="Arial"/>
                    </a:endParaRPr>
                  </a:p>
                  <a:p>
                    <a:pPr>
                      <a:defRPr sz="592" b="1" i="0" u="none" strike="noStrike" baseline="0">
                        <a:solidFill>
                          <a:srgbClr val="000000"/>
                        </a:solidFill>
                        <a:latin typeface="Arial"/>
                        <a:ea typeface="Arial"/>
                        <a:cs typeface="Arial"/>
                      </a:defRPr>
                    </a:pPr>
                    <a:r>
                      <a:rPr lang="ro-RO" sz="779" b="0" i="0" strike="noStrike">
                        <a:solidFill>
                          <a:srgbClr val="000000"/>
                        </a:solidFill>
                        <a:latin typeface="Arial"/>
                        <a:cs typeface="Arial"/>
                      </a:rPr>
                      <a:t>12,62%</a:t>
                    </a:r>
                  </a:p>
                  <a:p>
                    <a:pPr>
                      <a:defRPr sz="592" b="1" i="0" u="none" strike="noStrike" baseline="0">
                        <a:solidFill>
                          <a:srgbClr val="000000"/>
                        </a:solidFill>
                        <a:latin typeface="Arial"/>
                        <a:ea typeface="Arial"/>
                        <a:cs typeface="Arial"/>
                      </a:defRPr>
                    </a:pPr>
                    <a:endParaRPr lang="ro-RO" sz="780" b="0" i="0" strike="noStrike">
                      <a:solidFill>
                        <a:srgbClr val="000000"/>
                      </a:solidFill>
                      <a:latin typeface="Arial"/>
                      <a:cs typeface="Arial"/>
                    </a:endParaRPr>
                  </a:p>
                </c:rich>
              </c:tx>
              <c:spPr>
                <a:solidFill>
                  <a:srgbClr val="FBF3F3"/>
                </a:solidFill>
                <a:ln w="18842">
                  <a:noFill/>
                </a:ln>
              </c:spPr>
              <c:dLblPos val="bestFit"/>
            </c:dLbl>
            <c:dLbl>
              <c:idx val="4"/>
              <c:delete val="1"/>
            </c:dLbl>
            <c:dLbl>
              <c:idx val="5"/>
              <c:layout>
                <c:manualLayout>
                  <c:xMode val="edge"/>
                  <c:yMode val="edge"/>
                  <c:x val="0.81796690307328601"/>
                  <c:y val="0.56140350877191458"/>
                </c:manualLayout>
              </c:layout>
              <c:tx>
                <c:rich>
                  <a:bodyPr/>
                  <a:lstStyle/>
                  <a:p>
                    <a:pPr>
                      <a:defRPr sz="349" b="0" i="1" u="none" strike="noStrike" baseline="0">
                        <a:solidFill>
                          <a:srgbClr val="000000"/>
                        </a:solidFill>
                        <a:latin typeface="Arial"/>
                        <a:ea typeface="Arial"/>
                        <a:cs typeface="Arial"/>
                      </a:defRPr>
                    </a:pPr>
                    <a:r>
                      <a:t>  fâneţe
0,02%</a:t>
                    </a:r>
                  </a:p>
                </c:rich>
              </c:tx>
              <c:numFmt formatCode="0%" sourceLinked="0"/>
              <c:spPr>
                <a:solidFill>
                  <a:srgbClr val="FBF3F3"/>
                </a:solidFill>
                <a:ln w="18842">
                  <a:noFill/>
                </a:ln>
              </c:spPr>
              <c:dLblPos val="bestFit"/>
            </c:dLbl>
            <c:numFmt formatCode="0%" sourceLinked="0"/>
            <c:spPr>
              <a:solidFill>
                <a:srgbClr val="FBF3F3"/>
              </a:solidFill>
              <a:ln w="18842">
                <a:noFill/>
              </a:ln>
            </c:spPr>
            <c:txPr>
              <a:bodyPr/>
              <a:lstStyle/>
              <a:p>
                <a:pPr>
                  <a:defRPr sz="779" b="0" i="0" u="none" strike="noStrike" baseline="0">
                    <a:solidFill>
                      <a:srgbClr val="000000"/>
                    </a:solidFill>
                    <a:latin typeface="Arial"/>
                    <a:ea typeface="Arial"/>
                    <a:cs typeface="Arial"/>
                  </a:defRPr>
                </a:pPr>
                <a:endParaRPr lang="ro-RO"/>
              </a:p>
            </c:txPr>
            <c:showCatName val="1"/>
            <c:showPercent val="1"/>
            <c:showLeaderLines val="1"/>
            <c:leaderLines>
              <c:spPr>
                <a:ln w="9422">
                  <a:solidFill>
                    <a:srgbClr val="000000"/>
                  </a:solidFill>
                  <a:prstDash val="solid"/>
                </a:ln>
              </c:spPr>
            </c:leaderLines>
          </c:dLbls>
          <c:cat>
            <c:strRef>
              <c:f>Sheet1!$B$1:$F$1</c:f>
              <c:strCache>
                <c:ptCount val="4"/>
                <c:pt idx="1">
                  <c:v>agricole</c:v>
                </c:pt>
                <c:pt idx="2">
                  <c:v>paduri</c:v>
                </c:pt>
                <c:pt idx="3">
                  <c:v>alte terenuri</c:v>
                </c:pt>
              </c:strCache>
            </c:strRef>
          </c:cat>
          <c:val>
            <c:numRef>
              <c:f>Sheet1!$B$2:$F$2</c:f>
              <c:numCache>
                <c:formatCode>General</c:formatCode>
                <c:ptCount val="4"/>
                <c:pt idx="1">
                  <c:v>387363</c:v>
                </c:pt>
                <c:pt idx="2">
                  <c:v>28383</c:v>
                </c:pt>
                <c:pt idx="3">
                  <c:v>60830</c:v>
                </c:pt>
              </c:numCache>
            </c:numRef>
          </c:val>
        </c:ser>
        <c:dLbls>
          <c:showCatName val="1"/>
          <c:showPercent val="1"/>
        </c:dLbls>
      </c:pie3DChart>
      <c:spPr>
        <a:solidFill>
          <a:srgbClr val="FBF3F3"/>
        </a:solidFill>
        <a:ln w="18842">
          <a:noFill/>
        </a:ln>
        <a:effectLst>
          <a:outerShdw blurRad="50800" dist="50800" dir="5400000" algn="ctr" rotWithShape="0">
            <a:srgbClr val="FBF3F3"/>
          </a:outerShdw>
        </a:effectLst>
      </c:spPr>
    </c:plotArea>
    <c:plotVisOnly val="1"/>
    <c:dispBlanksAs val="zero"/>
  </c:chart>
  <c:spPr>
    <a:solidFill>
      <a:srgbClr val="FBF3F3"/>
    </a:solidFill>
    <a:ln>
      <a:solidFill>
        <a:sysClr val="windowText" lastClr="000000"/>
      </a:solidFill>
    </a:ln>
  </c:spPr>
  <c:txPr>
    <a:bodyPr/>
    <a:lstStyle/>
    <a:p>
      <a:pPr>
        <a:defRPr sz="594" b="1" i="0" u="none" strike="noStrike" baseline="0">
          <a:solidFill>
            <a:srgbClr val="000000"/>
          </a:solidFill>
          <a:latin typeface="Arial"/>
          <a:ea typeface="Arial"/>
          <a:cs typeface="Arial"/>
        </a:defRPr>
      </a:pPr>
      <a:endParaRPr lang="ro-RO"/>
    </a:p>
  </c:txPr>
  <c:externalData r:id="rId2"/>
  <c:userShapes r:id="rId3"/>
</c:chartSpace>
</file>

<file path=word/charts/chart6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perspective val="0"/>
    </c:view3D>
    <c:plotArea>
      <c:layout>
        <c:manualLayout>
          <c:layoutTarget val="inner"/>
          <c:xMode val="edge"/>
          <c:yMode val="edge"/>
          <c:x val="0.20932973617999809"/>
          <c:y val="0.33960018038124923"/>
          <c:w val="0.56457490747160799"/>
          <c:h val="0.60141459331828762"/>
        </c:manualLayout>
      </c:layout>
      <c:pie3DChart>
        <c:varyColors val="1"/>
        <c:ser>
          <c:idx val="0"/>
          <c:order val="0"/>
          <c:tx>
            <c:strRef>
              <c:f>Sheet1!$A$2</c:f>
              <c:strCache>
                <c:ptCount val="1"/>
                <c:pt idx="0">
                  <c:v>387750</c:v>
                </c:pt>
              </c:strCache>
            </c:strRef>
          </c:tx>
          <c:spPr>
            <a:ln w="2165">
              <a:solidFill>
                <a:srgbClr val="000000"/>
              </a:solidFill>
              <a:prstDash val="solid"/>
            </a:ln>
          </c:spPr>
          <c:explosion val="15"/>
          <c:dPt>
            <c:idx val="0"/>
            <c:spPr>
              <a:solidFill>
                <a:srgbClr val="99CCFF"/>
              </a:solidFill>
              <a:ln w="17318">
                <a:noFill/>
              </a:ln>
            </c:spPr>
          </c:dPt>
          <c:dPt>
            <c:idx val="1"/>
            <c:explosion val="0"/>
            <c:spPr>
              <a:solidFill>
                <a:srgbClr val="99CC00"/>
              </a:solidFill>
              <a:ln w="17318">
                <a:noFill/>
              </a:ln>
            </c:spPr>
          </c:dPt>
          <c:dPt>
            <c:idx val="2"/>
            <c:spPr>
              <a:solidFill>
                <a:srgbClr val="FF9900"/>
              </a:solidFill>
              <a:ln w="17318">
                <a:noFill/>
              </a:ln>
            </c:spPr>
          </c:dPt>
          <c:dPt>
            <c:idx val="3"/>
            <c:explosion val="17"/>
            <c:spPr>
              <a:solidFill>
                <a:srgbClr val="FF0000"/>
              </a:solidFill>
              <a:ln w="17318">
                <a:noFill/>
              </a:ln>
            </c:spPr>
          </c:dPt>
          <c:dPt>
            <c:idx val="4"/>
            <c:spPr>
              <a:solidFill>
                <a:srgbClr val="808000"/>
              </a:solidFill>
              <a:ln w="17318">
                <a:noFill/>
              </a:ln>
            </c:spPr>
          </c:dPt>
          <c:dLbls>
            <c:dLbl>
              <c:idx val="0"/>
              <c:delete val="1"/>
            </c:dLbl>
            <c:dLbl>
              <c:idx val="1"/>
              <c:layout>
                <c:manualLayout>
                  <c:x val="0.15929336419154827"/>
                  <c:y val="1.4248019882470439E-2"/>
                </c:manualLayout>
              </c:layout>
              <c:tx>
                <c:rich>
                  <a:bodyPr/>
                  <a:lstStyle/>
                  <a:p>
                    <a:pPr>
                      <a:defRPr lang="en-US" sz="819" b="1" i="0" u="none" strike="noStrike" baseline="0">
                        <a:solidFill>
                          <a:srgbClr val="000000"/>
                        </a:solidFill>
                        <a:latin typeface="Arial"/>
                        <a:ea typeface="Arial"/>
                        <a:cs typeface="Arial"/>
                      </a:defRPr>
                    </a:pPr>
                    <a:r>
                      <a:rPr lang="en-US"/>
                      <a:t>terenuri arabile
90,</a:t>
                    </a:r>
                    <a:r>
                      <a:rPr lang="ro-RO"/>
                      <a:t>63</a:t>
                    </a:r>
                    <a:r>
                      <a:rPr lang="en-US"/>
                      <a:t>%</a:t>
                    </a:r>
                  </a:p>
                </c:rich>
              </c:tx>
              <c:spPr>
                <a:solidFill>
                  <a:srgbClr val="DBE6C4">
                    <a:alpha val="15000"/>
                  </a:srgbClr>
                </a:solidFill>
                <a:ln w="17318">
                  <a:noFill/>
                </a:ln>
              </c:spPr>
              <c:dLblPos val="bestFit"/>
            </c:dLbl>
            <c:dLbl>
              <c:idx val="2"/>
              <c:layout>
                <c:manualLayout>
                  <c:x val="-0.14784960055584018"/>
                  <c:y val="-4.8417651501412133E-2"/>
                </c:manualLayout>
              </c:layout>
              <c:tx>
                <c:rich>
                  <a:bodyPr/>
                  <a:lstStyle/>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păşuni</a:t>
                    </a:r>
                  </a:p>
                  <a:p>
                    <a:pPr>
                      <a:defRPr sz="596" b="1" i="0" u="none" strike="noStrike" baseline="0">
                        <a:solidFill>
                          <a:srgbClr val="000000"/>
                        </a:solidFill>
                        <a:latin typeface="Arial"/>
                        <a:ea typeface="Arial"/>
                        <a:cs typeface="Arial"/>
                      </a:defRPr>
                    </a:pPr>
                    <a:r>
                      <a:rPr lang="vi-VN" sz="813" b="1" i="0" strike="noStrike">
                        <a:solidFill>
                          <a:srgbClr val="000000"/>
                        </a:solidFill>
                        <a:latin typeface="Arial"/>
                        <a:cs typeface="Arial"/>
                      </a:rPr>
                      <a:t>8,</a:t>
                    </a:r>
                    <a:r>
                      <a:rPr lang="ro-RO" sz="813" b="1" i="0" strike="noStrike">
                        <a:solidFill>
                          <a:srgbClr val="000000"/>
                        </a:solidFill>
                        <a:latin typeface="Arial"/>
                        <a:cs typeface="Arial"/>
                      </a:rPr>
                      <a:t>03</a:t>
                    </a:r>
                    <a:r>
                      <a:rPr lang="vi-VN" sz="813" b="1" i="0" strike="noStrike">
                        <a:solidFill>
                          <a:srgbClr val="000000"/>
                        </a:solidFill>
                        <a:latin typeface="Arial"/>
                        <a:cs typeface="Arial"/>
                      </a:rPr>
                      <a:t>%</a:t>
                    </a:r>
                  </a:p>
                </c:rich>
              </c:tx>
              <c:spPr>
                <a:solidFill>
                  <a:srgbClr val="DBE6C4">
                    <a:alpha val="15000"/>
                  </a:srgbClr>
                </a:solidFill>
                <a:ln w="17318">
                  <a:noFill/>
                </a:ln>
              </c:spPr>
              <c:dLblPos val="bestFit"/>
            </c:dLbl>
            <c:dLbl>
              <c:idx val="3"/>
              <c:layout>
                <c:manualLayout>
                  <c:x val="-3.023380698102475E-2"/>
                  <c:y val="-0.11099900123104089"/>
                </c:manualLayout>
              </c:layout>
              <c:tx>
                <c:rich>
                  <a:bodyPr/>
                  <a:lstStyle/>
                  <a:p>
                    <a:pPr>
                      <a:defRPr lang="en-US" sz="819" b="1" i="0" u="none" strike="noStrike" baseline="0">
                        <a:solidFill>
                          <a:srgbClr val="000000"/>
                        </a:solidFill>
                        <a:latin typeface="Arial"/>
                        <a:ea typeface="Arial"/>
                        <a:cs typeface="Arial"/>
                      </a:defRPr>
                    </a:pPr>
                    <a:r>
                      <a:rPr lang="en-US"/>
                      <a:t>vii
1,18%</a:t>
                    </a:r>
                  </a:p>
                </c:rich>
              </c:tx>
              <c:spPr>
                <a:solidFill>
                  <a:srgbClr val="DBE6C4">
                    <a:alpha val="15000"/>
                  </a:srgbClr>
                </a:solidFill>
                <a:ln w="17318">
                  <a:noFill/>
                </a:ln>
              </c:spPr>
              <c:dLblPos val="bestFit"/>
            </c:dLbl>
            <c:dLbl>
              <c:idx val="4"/>
              <c:layout>
                <c:manualLayout>
                  <c:x val="0.23703168848107828"/>
                  <c:y val="-7.0654647872656684E-2"/>
                </c:manualLayout>
              </c:layout>
              <c:tx>
                <c:rich>
                  <a:bodyPr/>
                  <a:lstStyle/>
                  <a:p>
                    <a:pPr>
                      <a:defRPr lang="en-US" sz="819" b="1" i="0" u="none" strike="noStrike" baseline="0">
                        <a:solidFill>
                          <a:srgbClr val="000000"/>
                        </a:solidFill>
                        <a:latin typeface="Arial"/>
                        <a:ea typeface="Arial"/>
                        <a:cs typeface="Arial"/>
                      </a:defRPr>
                    </a:pPr>
                    <a:r>
                      <a:rPr lang="en-US"/>
                      <a:t>livezi
0,16%</a:t>
                    </a:r>
                  </a:p>
                </c:rich>
              </c:tx>
              <c:spPr>
                <a:solidFill>
                  <a:srgbClr val="DBE6C4">
                    <a:alpha val="15000"/>
                  </a:srgbClr>
                </a:solidFill>
                <a:ln w="17318">
                  <a:noFill/>
                </a:ln>
              </c:spPr>
              <c:dLblPos val="bestFit"/>
            </c:dLbl>
            <c:dLbl>
              <c:idx val="5"/>
              <c:delete val="1"/>
            </c:dLbl>
            <c:numFmt formatCode="0%" sourceLinked="0"/>
            <c:spPr>
              <a:solidFill>
                <a:srgbClr val="DBE6C4">
                  <a:alpha val="15000"/>
                </a:srgbClr>
              </a:solidFill>
              <a:ln w="17318">
                <a:noFill/>
              </a:ln>
            </c:spPr>
            <c:txPr>
              <a:bodyPr/>
              <a:lstStyle/>
              <a:p>
                <a:pPr>
                  <a:defRPr sz="753" b="1" i="0" u="none" strike="noStrike" baseline="0">
                    <a:solidFill>
                      <a:srgbClr val="000000"/>
                    </a:solidFill>
                    <a:latin typeface="Arial"/>
                    <a:ea typeface="Arial"/>
                    <a:cs typeface="Arial"/>
                  </a:defRPr>
                </a:pPr>
                <a:endParaRPr lang="ro-RO"/>
              </a:p>
            </c:txPr>
            <c:showCatName val="1"/>
            <c:showPercent val="1"/>
            <c:showLeaderLines val="1"/>
            <c:leaderLines>
              <c:spPr>
                <a:ln w="2165">
                  <a:solidFill>
                    <a:srgbClr val="000000"/>
                  </a:solidFill>
                  <a:prstDash val="solid"/>
                </a:ln>
              </c:spPr>
            </c:leaderLines>
          </c:dLbls>
          <c:cat>
            <c:strRef>
              <c:f>Sheet1!$B$1:$G$1</c:f>
              <c:strCache>
                <c:ptCount val="5"/>
                <c:pt idx="1">
                  <c:v>terenuri arabile</c:v>
                </c:pt>
                <c:pt idx="2">
                  <c:v>păşuni</c:v>
                </c:pt>
                <c:pt idx="3">
                  <c:v>vii</c:v>
                </c:pt>
                <c:pt idx="4">
                  <c:v>livezi</c:v>
                </c:pt>
              </c:strCache>
            </c:strRef>
          </c:cat>
          <c:val>
            <c:numRef>
              <c:f>Sheet1!$B$2:$G$2</c:f>
              <c:numCache>
                <c:formatCode>General</c:formatCode>
                <c:ptCount val="5"/>
                <c:pt idx="1">
                  <c:v>351420</c:v>
                </c:pt>
                <c:pt idx="2">
                  <c:v>31132</c:v>
                </c:pt>
                <c:pt idx="3">
                  <c:v>4560</c:v>
                </c:pt>
                <c:pt idx="4">
                  <c:v>638</c:v>
                </c:pt>
              </c:numCache>
            </c:numRef>
          </c:val>
        </c:ser>
        <c:dLbls>
          <c:showCatName val="1"/>
          <c:showPercent val="1"/>
        </c:dLbls>
      </c:pie3DChart>
      <c:spPr>
        <a:solidFill>
          <a:srgbClr val="DBE6C4"/>
        </a:solidFill>
        <a:ln w="17318">
          <a:noFill/>
        </a:ln>
      </c:spPr>
    </c:plotArea>
    <c:plotVisOnly val="1"/>
    <c:dispBlanksAs val="zero"/>
  </c:chart>
  <c:spPr>
    <a:solidFill>
      <a:srgbClr val="DBE6C4">
        <a:alpha val="46000"/>
      </a:srgbClr>
    </a:solidFill>
    <a:ln>
      <a:solidFill>
        <a:sysClr val="windowText" lastClr="000000"/>
      </a:solidFill>
    </a:ln>
  </c:spPr>
  <c:txPr>
    <a:bodyPr/>
    <a:lstStyle/>
    <a:p>
      <a:pPr>
        <a:defRPr sz="598" b="1" i="0" u="none" strike="noStrike" baseline="0">
          <a:solidFill>
            <a:srgbClr val="000000"/>
          </a:solidFill>
          <a:latin typeface="Arial"/>
          <a:ea typeface="Arial"/>
          <a:cs typeface="Arial"/>
        </a:defRPr>
      </a:pPr>
      <a:endParaRPr lang="ro-RO"/>
    </a:p>
  </c:txPr>
  <c:externalData r:id="rId2"/>
  <c:userShapes r:id="rId3"/>
</c:chartSpace>
</file>

<file path=word/charts/chart6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0039E-2"/>
          <c:w val="0.60899322192241967"/>
          <c:h val="0.70639481478418775"/>
        </c:manualLayout>
      </c:layout>
      <c:barChart>
        <c:barDir val="col"/>
        <c:grouping val="clustered"/>
        <c:ser>
          <c:idx val="0"/>
          <c:order val="0"/>
          <c:tx>
            <c:strRef>
              <c:f>Sheet1!$B$1</c:f>
              <c:strCache>
                <c:ptCount val="1"/>
                <c:pt idx="0">
                  <c:v>Terenuri agricole</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358</c:v>
                </c:pt>
              </c:numCache>
            </c:numRef>
          </c:val>
        </c:ser>
        <c:ser>
          <c:idx val="1"/>
          <c:order val="1"/>
          <c:tx>
            <c:strRef>
              <c:f>Sheet1!$C$1</c:f>
              <c:strCache>
                <c:ptCount val="1"/>
                <c:pt idx="0">
                  <c:v>Păduri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299</c:v>
                </c:pt>
              </c:numCache>
            </c:numRef>
          </c:val>
        </c:ser>
        <c:ser>
          <c:idx val="2"/>
          <c:order val="2"/>
          <c:tx>
            <c:strRef>
              <c:f>Sheet1!$D$1</c:f>
              <c:strCache>
                <c:ptCount val="1"/>
                <c:pt idx="0">
                  <c:v>Ape</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-2840</c:v>
                </c:pt>
              </c:numCache>
            </c:numRef>
          </c:val>
        </c:ser>
        <c:ser>
          <c:idx val="3"/>
          <c:order val="3"/>
          <c:tx>
            <c:strRef>
              <c:f>Sheet1!$E$1</c:f>
              <c:strCache>
                <c:ptCount val="1"/>
                <c:pt idx="0">
                  <c:v>Drumuri și căi ferate</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43</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showVal val="1"/>
          </c:dLbls>
          <c:cat>
            <c:numRef>
              <c:f>Sheet1!$A$2</c:f>
              <c:numCache>
                <c:formatCode>General</c:formatCode>
                <c:ptCount val="1"/>
              </c:numCache>
            </c:numRef>
          </c:cat>
          <c:val>
            <c:numRef>
              <c:f>Sheet1!$F$2</c:f>
              <c:numCache>
                <c:formatCode>General</c:formatCode>
                <c:ptCount val="1"/>
                <c:pt idx="0">
                  <c:v>559</c:v>
                </c:pt>
              </c:numCache>
            </c:numRef>
          </c:val>
        </c:ser>
        <c:ser>
          <c:idx val="5"/>
          <c:order val="5"/>
          <c:tx>
            <c:strRef>
              <c:f>Sheet1!$G$1</c:f>
              <c:strCache>
                <c:ptCount val="1"/>
                <c:pt idx="0">
                  <c:v>Terenuri neproductive</c:v>
                </c:pt>
              </c:strCache>
            </c:strRef>
          </c:tx>
          <c:spPr>
            <a:solidFill>
              <a:srgbClr val="FF0000"/>
            </a:solidFill>
          </c:spPr>
          <c:dLbls>
            <c:showVal val="1"/>
          </c:dLbls>
          <c:cat>
            <c:numRef>
              <c:f>Sheet1!$A$2</c:f>
              <c:numCache>
                <c:formatCode>General</c:formatCode>
                <c:ptCount val="1"/>
              </c:numCache>
            </c:numRef>
          </c:cat>
          <c:val>
            <c:numRef>
              <c:f>Sheet1!$G$2</c:f>
              <c:numCache>
                <c:formatCode>General</c:formatCode>
                <c:ptCount val="1"/>
                <c:pt idx="0">
                  <c:v>-568</c:v>
                </c:pt>
              </c:numCache>
            </c:numRef>
          </c:val>
        </c:ser>
        <c:axId val="87818240"/>
        <c:axId val="87819776"/>
      </c:barChart>
      <c:catAx>
        <c:axId val="87818240"/>
        <c:scaling>
          <c:orientation val="minMax"/>
        </c:scaling>
        <c:axPos val="b"/>
        <c:numFmt formatCode="General" sourceLinked="1"/>
        <c:tickLblPos val="nextTo"/>
        <c:crossAx val="87819776"/>
        <c:crosses val="autoZero"/>
        <c:auto val="1"/>
        <c:lblAlgn val="ctr"/>
        <c:lblOffset val="100"/>
      </c:catAx>
      <c:valAx>
        <c:axId val="87819776"/>
        <c:scaling>
          <c:orientation val="minMax"/>
        </c:scaling>
        <c:axPos val="l"/>
        <c:majorGridlines/>
        <c:numFmt formatCode="General" sourceLinked="1"/>
        <c:tickLblPos val="nextTo"/>
        <c:crossAx val="87818240"/>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4576"/>
          <c:y val="0.13508960492007155"/>
          <c:w val="0.22436446437288271"/>
          <c:h val="0.78201384462594259"/>
        </c:manualLayout>
      </c:layout>
    </c:legend>
    <c:plotVisOnly val="1"/>
  </c:chart>
  <c:spPr>
    <a:solidFill>
      <a:srgbClr val="DBE6C4">
        <a:alpha val="50000"/>
      </a:srgbClr>
    </a:solidFill>
  </c:spPr>
  <c:externalData r:id="rId1"/>
</c:chartSpace>
</file>

<file path=word/charts/chart7.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hPercent val="42"/>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0831721470019343"/>
          <c:y val="9.268292682926825E-2"/>
          <c:w val="0.64603481624759684"/>
          <c:h val="0.60487804878049412"/>
        </c:manualLayout>
      </c:layout>
      <c:bar3DChart>
        <c:barDir val="col"/>
        <c:grouping val="clustered"/>
        <c:ser>
          <c:idx val="0"/>
          <c:order val="0"/>
          <c:tx>
            <c:strRef>
              <c:f>Sheet1!$A$2</c:f>
              <c:strCache>
                <c:ptCount val="1"/>
                <c:pt idx="0">
                  <c:v>Medii anuale 2008</c:v>
                </c:pt>
              </c:strCache>
            </c:strRef>
          </c:tx>
          <c:spPr>
            <a:solidFill>
              <a:srgbClr val="9999FF"/>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Sheet1!$B$2:$F$2</c:f>
              <c:numCache>
                <c:formatCode>General</c:formatCode>
                <c:ptCount val="5"/>
                <c:pt idx="0">
                  <c:v>3.51</c:v>
                </c:pt>
                <c:pt idx="2">
                  <c:v>10.3</c:v>
                </c:pt>
                <c:pt idx="3">
                  <c:v>11.47</c:v>
                </c:pt>
                <c:pt idx="4">
                  <c:v>7.51</c:v>
                </c:pt>
              </c:numCache>
            </c:numRef>
          </c:val>
        </c:ser>
        <c:ser>
          <c:idx val="1"/>
          <c:order val="1"/>
          <c:tx>
            <c:strRef>
              <c:f>Sheet1!$A$3</c:f>
              <c:strCache>
                <c:ptCount val="1"/>
                <c:pt idx="0">
                  <c:v>Medii anuale 2009</c:v>
                </c:pt>
              </c:strCache>
            </c:strRef>
          </c:tx>
          <c:spPr>
            <a:solidFill>
              <a:srgbClr val="993366"/>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Sheet1!$B$3:$F$3</c:f>
              <c:numCache>
                <c:formatCode>General</c:formatCode>
                <c:ptCount val="5"/>
                <c:pt idx="0">
                  <c:v>8.64</c:v>
                </c:pt>
                <c:pt idx="2">
                  <c:v>10.77</c:v>
                </c:pt>
                <c:pt idx="3">
                  <c:v>12.8</c:v>
                </c:pt>
                <c:pt idx="4">
                  <c:v>12.29</c:v>
                </c:pt>
              </c:numCache>
            </c:numRef>
          </c:val>
        </c:ser>
        <c:ser>
          <c:idx val="2"/>
          <c:order val="2"/>
          <c:tx>
            <c:strRef>
              <c:f>Sheet1!$A$4</c:f>
              <c:strCache>
                <c:ptCount val="1"/>
                <c:pt idx="0">
                  <c:v>Medii anuale 2010</c:v>
                </c:pt>
              </c:strCache>
            </c:strRef>
          </c:tx>
          <c:spPr>
            <a:solidFill>
              <a:srgbClr val="00FF00"/>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Sheet1!$B$4:$F$4</c:f>
              <c:numCache>
                <c:formatCode>General</c:formatCode>
                <c:ptCount val="5"/>
                <c:pt idx="0">
                  <c:v>14.74</c:v>
                </c:pt>
                <c:pt idx="1">
                  <c:v>11.62</c:v>
                </c:pt>
                <c:pt idx="2">
                  <c:v>13.99</c:v>
                </c:pt>
                <c:pt idx="3">
                  <c:v>13.64</c:v>
                </c:pt>
                <c:pt idx="4">
                  <c:v>15.14</c:v>
                </c:pt>
              </c:numCache>
            </c:numRef>
          </c:val>
        </c:ser>
        <c:ser>
          <c:idx val="3"/>
          <c:order val="3"/>
          <c:tx>
            <c:strRef>
              <c:f>Sheet1!$A$5</c:f>
              <c:strCache>
                <c:ptCount val="1"/>
                <c:pt idx="0">
                  <c:v>Medii anuale 2011</c:v>
                </c:pt>
              </c:strCache>
            </c:strRef>
          </c:tx>
          <c:spPr>
            <a:solidFill>
              <a:srgbClr val="CCFFFF"/>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Sheet1!$B$5:$F$5</c:f>
              <c:numCache>
                <c:formatCode>General</c:formatCode>
                <c:ptCount val="5"/>
                <c:pt idx="1">
                  <c:v>11.73</c:v>
                </c:pt>
                <c:pt idx="2">
                  <c:v>17.239999999999988</c:v>
                </c:pt>
                <c:pt idx="3">
                  <c:v>16.920000000000002</c:v>
                </c:pt>
                <c:pt idx="4">
                  <c:v>16.53</c:v>
                </c:pt>
              </c:numCache>
            </c:numRef>
          </c:val>
        </c:ser>
        <c:ser>
          <c:idx val="4"/>
          <c:order val="4"/>
          <c:tx>
            <c:strRef>
              <c:f>Sheet1!$A$6</c:f>
              <c:strCache>
                <c:ptCount val="1"/>
                <c:pt idx="0">
                  <c:v>Medii anuale 2012</c:v>
                </c:pt>
              </c:strCache>
            </c:strRef>
          </c:tx>
          <c:spPr>
            <a:solidFill>
              <a:srgbClr val="660066"/>
            </a:solidFill>
            <a:ln w="12699">
              <a:solidFill>
                <a:srgbClr val="000000"/>
              </a:solidFill>
              <a:prstDash val="solid"/>
            </a:ln>
          </c:spPr>
          <c:cat>
            <c:strRef>
              <c:f>Sheet1!$B$1:$F$1</c:f>
              <c:strCache>
                <c:ptCount val="5"/>
                <c:pt idx="0">
                  <c:v>Br1</c:v>
                </c:pt>
                <c:pt idx="1">
                  <c:v>Br2</c:v>
                </c:pt>
                <c:pt idx="2">
                  <c:v>Br3</c:v>
                </c:pt>
                <c:pt idx="3">
                  <c:v>Br4</c:v>
                </c:pt>
                <c:pt idx="4">
                  <c:v>Br5</c:v>
                </c:pt>
              </c:strCache>
            </c:strRef>
          </c:cat>
          <c:val>
            <c:numRef>
              <c:f>Sheet1!$B$6:$F$6</c:f>
              <c:numCache>
                <c:formatCode>General</c:formatCode>
                <c:ptCount val="5"/>
                <c:pt idx="1">
                  <c:v>10.63</c:v>
                </c:pt>
                <c:pt idx="2">
                  <c:v>14.55</c:v>
                </c:pt>
                <c:pt idx="3">
                  <c:v>10.71</c:v>
                </c:pt>
                <c:pt idx="4">
                  <c:v>17.3</c:v>
                </c:pt>
              </c:numCache>
            </c:numRef>
          </c:val>
        </c:ser>
        <c:ser>
          <c:idx val="5"/>
          <c:order val="5"/>
          <c:tx>
            <c:strRef>
              <c:f>Sheet1!$A$7</c:f>
              <c:strCache>
                <c:ptCount val="1"/>
                <c:pt idx="0">
                  <c:v>Medii anuale 2013</c:v>
                </c:pt>
              </c:strCache>
            </c:strRef>
          </c:tx>
          <c:cat>
            <c:strRef>
              <c:f>Sheet1!$B$1:$F$1</c:f>
              <c:strCache>
                <c:ptCount val="5"/>
                <c:pt idx="0">
                  <c:v>Br1</c:v>
                </c:pt>
                <c:pt idx="1">
                  <c:v>Br2</c:v>
                </c:pt>
                <c:pt idx="2">
                  <c:v>Br3</c:v>
                </c:pt>
                <c:pt idx="3">
                  <c:v>Br4</c:v>
                </c:pt>
                <c:pt idx="4">
                  <c:v>Br5</c:v>
                </c:pt>
              </c:strCache>
            </c:strRef>
          </c:cat>
          <c:val>
            <c:numRef>
              <c:f>Sheet1!$B$7:$F$7</c:f>
              <c:numCache>
                <c:formatCode>General</c:formatCode>
                <c:ptCount val="5"/>
                <c:pt idx="3">
                  <c:v>2.06</c:v>
                </c:pt>
                <c:pt idx="4">
                  <c:v>13.97</c:v>
                </c:pt>
              </c:numCache>
            </c:numRef>
          </c:val>
        </c:ser>
        <c:ser>
          <c:idx val="6"/>
          <c:order val="6"/>
          <c:tx>
            <c:strRef>
              <c:f>Sheet1!$A$8</c:f>
              <c:strCache>
                <c:ptCount val="1"/>
                <c:pt idx="0">
                  <c:v>Medii anuale 2014</c:v>
                </c:pt>
              </c:strCache>
            </c:strRef>
          </c:tx>
          <c:cat>
            <c:strRef>
              <c:f>Sheet1!$B$1:$F$1</c:f>
              <c:strCache>
                <c:ptCount val="5"/>
                <c:pt idx="0">
                  <c:v>Br1</c:v>
                </c:pt>
                <c:pt idx="1">
                  <c:v>Br2</c:v>
                </c:pt>
                <c:pt idx="2">
                  <c:v>Br3</c:v>
                </c:pt>
                <c:pt idx="3">
                  <c:v>Br4</c:v>
                </c:pt>
                <c:pt idx="4">
                  <c:v>Br5</c:v>
                </c:pt>
              </c:strCache>
            </c:strRef>
          </c:cat>
          <c:val>
            <c:numRef>
              <c:f>Sheet1!$B$8:$F$8</c:f>
              <c:numCache>
                <c:formatCode>General</c:formatCode>
                <c:ptCount val="5"/>
              </c:numCache>
            </c:numRef>
          </c:val>
        </c:ser>
        <c:gapWidth val="290"/>
        <c:gapDepth val="0"/>
        <c:shape val="box"/>
        <c:axId val="223382144"/>
        <c:axId val="223396224"/>
        <c:axId val="0"/>
      </c:bar3DChart>
      <c:catAx>
        <c:axId val="223382144"/>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3396224"/>
        <c:crosses val="autoZero"/>
        <c:auto val="1"/>
        <c:lblAlgn val="ctr"/>
        <c:lblOffset val="100"/>
        <c:tickLblSkip val="1"/>
        <c:tickMarkSkip val="1"/>
      </c:catAx>
      <c:valAx>
        <c:axId val="223396224"/>
        <c:scaling>
          <c:orientation val="minMax"/>
        </c:scaling>
        <c:axPos val="l"/>
        <c:majorGridlines>
          <c:spPr>
            <a:ln w="3175">
              <a:solidFill>
                <a:srgbClr val="000000"/>
              </a:solidFill>
              <a:prstDash val="solid"/>
            </a:ln>
          </c:spPr>
        </c:majorGridlines>
        <c:title>
          <c:tx>
            <c:rich>
              <a:bodyPr/>
              <a:lstStyle/>
              <a:p>
                <a:pPr>
                  <a:defRPr sz="1000"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6.7698259187620888E-2"/>
              <c:y val="0.14634146341463444"/>
            </c:manualLayout>
          </c:layout>
          <c:spPr>
            <a:noFill/>
            <a:ln w="25399">
              <a:noFill/>
            </a:ln>
          </c:spPr>
        </c:title>
        <c:numFmt formatCode="General" sourceLinked="1"/>
        <c:tickLblPos val="nextTo"/>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223382144"/>
        <c:crosses val="autoZero"/>
        <c:crossBetween val="between"/>
      </c:valAx>
      <c:spPr>
        <a:noFill/>
        <a:ln w="25399">
          <a:noFill/>
        </a:ln>
      </c:spPr>
    </c:plotArea>
    <c:legend>
      <c:legendPos val="r"/>
      <c:layout>
        <c:manualLayout>
          <c:xMode val="edge"/>
          <c:yMode val="edge"/>
          <c:x val="0.7736943907156677"/>
          <c:y val="0.15609756097560976"/>
          <c:w val="0.19205187586845765"/>
          <c:h val="0.61351498504547397"/>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900" b="1" i="0" u="none" strike="noStrike" baseline="0">
          <a:solidFill>
            <a:srgbClr val="000000"/>
          </a:solidFill>
          <a:latin typeface="Arial"/>
          <a:ea typeface="Arial"/>
          <a:cs typeface="Arial"/>
        </a:defRPr>
      </a:pPr>
      <a:endParaRPr lang="ro-RO"/>
    </a:p>
  </c:txPr>
  <c:externalData r:id="rId1"/>
</c:chartSpace>
</file>

<file path=word/charts/chart70.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0978954913334187E-2"/>
          <c:y val="4.7793497058200102E-2"/>
          <c:w val="0.60899322192241967"/>
          <c:h val="0.88921965251130564"/>
        </c:manualLayout>
      </c:layout>
      <c:barChart>
        <c:barDir val="col"/>
        <c:grouping val="clustered"/>
        <c:ser>
          <c:idx val="0"/>
          <c:order val="0"/>
          <c:tx>
            <c:strRef>
              <c:f>Sheet1!$B$1</c:f>
              <c:strCache>
                <c:ptCount val="1"/>
                <c:pt idx="0">
                  <c:v>Terenuri agricole</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9.0000000000000024E-2</c:v>
                </c:pt>
              </c:numCache>
            </c:numRef>
          </c:val>
        </c:ser>
        <c:ser>
          <c:idx val="1"/>
          <c:order val="1"/>
          <c:tx>
            <c:strRef>
              <c:f>Sheet1!$C$1</c:f>
              <c:strCache>
                <c:ptCount val="1"/>
                <c:pt idx="0">
                  <c:v>Păduri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1.01</c:v>
                </c:pt>
              </c:numCache>
            </c:numRef>
          </c:val>
        </c:ser>
        <c:ser>
          <c:idx val="2"/>
          <c:order val="2"/>
          <c:tx>
            <c:strRef>
              <c:f>Sheet1!$D$1</c:f>
              <c:strCache>
                <c:ptCount val="1"/>
                <c:pt idx="0">
                  <c:v>Ape</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-8.56</c:v>
                </c:pt>
              </c:numCache>
            </c:numRef>
          </c:val>
        </c:ser>
        <c:ser>
          <c:idx val="3"/>
          <c:order val="3"/>
          <c:tx>
            <c:strRef>
              <c:f>Sheet1!$E$1</c:f>
              <c:strCache>
                <c:ptCount val="1"/>
                <c:pt idx="0">
                  <c:v>Drumuri și căi ferate</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0.5</c:v>
                </c:pt>
              </c:numCache>
            </c:numRef>
          </c:val>
        </c:ser>
        <c:ser>
          <c:idx val="4"/>
          <c:order val="4"/>
          <c:tx>
            <c:strRef>
              <c:f>Sheet1!$F$1</c:f>
              <c:strCache>
                <c:ptCount val="1"/>
                <c:pt idx="0">
                  <c:v>Curți și construcții</c:v>
                </c:pt>
              </c:strCache>
            </c:strRef>
          </c:tx>
          <c:spPr>
            <a:solidFill>
              <a:schemeClr val="accent2">
                <a:lumMod val="60000"/>
                <a:lumOff val="40000"/>
              </a:schemeClr>
            </a:solidFill>
          </c:spPr>
          <c:dLbls>
            <c:showVal val="1"/>
          </c:dLbls>
          <c:cat>
            <c:numRef>
              <c:f>Sheet1!$A$2</c:f>
              <c:numCache>
                <c:formatCode>General</c:formatCode>
                <c:ptCount val="1"/>
              </c:numCache>
            </c:numRef>
          </c:cat>
          <c:val>
            <c:numRef>
              <c:f>Sheet1!$F$2</c:f>
              <c:numCache>
                <c:formatCode>General</c:formatCode>
                <c:ptCount val="1"/>
                <c:pt idx="0">
                  <c:v>4.3899999999999997</c:v>
                </c:pt>
              </c:numCache>
            </c:numRef>
          </c:val>
        </c:ser>
        <c:ser>
          <c:idx val="5"/>
          <c:order val="5"/>
          <c:tx>
            <c:strRef>
              <c:f>Sheet1!$G$1</c:f>
              <c:strCache>
                <c:ptCount val="1"/>
                <c:pt idx="0">
                  <c:v>Terenuri neproductive</c:v>
                </c:pt>
              </c:strCache>
            </c:strRef>
          </c:tx>
          <c:spPr>
            <a:solidFill>
              <a:srgbClr val="FF0000"/>
            </a:solidFill>
          </c:spPr>
          <c:dLbls>
            <c:showVal val="1"/>
          </c:dLbls>
          <c:cat>
            <c:numRef>
              <c:f>Sheet1!$A$2</c:f>
              <c:numCache>
                <c:formatCode>General</c:formatCode>
                <c:ptCount val="1"/>
              </c:numCache>
            </c:numRef>
          </c:cat>
          <c:val>
            <c:numRef>
              <c:f>Sheet1!$G$2</c:f>
              <c:numCache>
                <c:formatCode>General</c:formatCode>
                <c:ptCount val="1"/>
                <c:pt idx="0">
                  <c:v>-6.6899999999999995</c:v>
                </c:pt>
              </c:numCache>
            </c:numRef>
          </c:val>
        </c:ser>
        <c:axId val="87934080"/>
        <c:axId val="87935616"/>
      </c:barChart>
      <c:catAx>
        <c:axId val="87934080"/>
        <c:scaling>
          <c:orientation val="minMax"/>
        </c:scaling>
        <c:axPos val="b"/>
        <c:numFmt formatCode="General" sourceLinked="1"/>
        <c:tickLblPos val="nextTo"/>
        <c:crossAx val="87935616"/>
        <c:crosses val="autoZero"/>
        <c:auto val="1"/>
        <c:lblAlgn val="ctr"/>
        <c:lblOffset val="100"/>
      </c:catAx>
      <c:valAx>
        <c:axId val="87935616"/>
        <c:scaling>
          <c:orientation val="minMax"/>
        </c:scaling>
        <c:axPos val="l"/>
        <c:majorGridlines/>
        <c:numFmt formatCode="General" sourceLinked="1"/>
        <c:tickLblPos val="nextTo"/>
        <c:crossAx val="87934080"/>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4"/>
        <c:txPr>
          <a:bodyPr/>
          <a:lstStyle/>
          <a:p>
            <a:pPr>
              <a:defRPr sz="1200"/>
            </a:pPr>
            <a:endParaRPr lang="ro-RO"/>
          </a:p>
        </c:txPr>
      </c:legendEntry>
      <c:legendEntry>
        <c:idx val="5"/>
        <c:txPr>
          <a:bodyPr/>
          <a:lstStyle/>
          <a:p>
            <a:pPr>
              <a:defRPr sz="1200"/>
            </a:pPr>
            <a:endParaRPr lang="ro-RO"/>
          </a:p>
        </c:txPr>
      </c:legendEntry>
      <c:layout>
        <c:manualLayout>
          <c:xMode val="edge"/>
          <c:yMode val="edge"/>
          <c:x val="0.77563550269964621"/>
          <c:y val="0.13508960492007155"/>
          <c:w val="0.22436446437288271"/>
          <c:h val="0.78174576265408202"/>
        </c:manualLayout>
      </c:layout>
    </c:legend>
    <c:plotVisOnly val="1"/>
  </c:chart>
  <c:spPr>
    <a:solidFill>
      <a:srgbClr val="DBE6C4">
        <a:alpha val="47000"/>
      </a:srgbClr>
    </a:solidFill>
  </c:spPr>
  <c:externalData r:id="rId1"/>
</c:chartSpace>
</file>

<file path=word/charts/chart71.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0607103548460932"/>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showVal val="1"/>
          </c:dLbls>
          <c:cat>
            <c:numRef>
              <c:f>Sheet1!$A$2</c:f>
              <c:numCache>
                <c:formatCode>General</c:formatCode>
                <c:ptCount val="1"/>
              </c:numCache>
            </c:numRef>
          </c:cat>
          <c:val>
            <c:numRef>
              <c:f>Sheet1!$B$2</c:f>
              <c:numCache>
                <c:formatCode>General</c:formatCode>
                <c:ptCount val="1"/>
                <c:pt idx="0">
                  <c:v>2331</c:v>
                </c:pt>
              </c:numCache>
            </c:numRef>
          </c:val>
        </c:ser>
        <c:ser>
          <c:idx val="1"/>
          <c:order val="1"/>
          <c:tx>
            <c:strRef>
              <c:f>Sheet1!$C$1</c:f>
              <c:strCache>
                <c:ptCount val="1"/>
                <c:pt idx="0">
                  <c:v>Pășuni</c:v>
                </c:pt>
              </c:strCache>
            </c:strRef>
          </c:tx>
          <c:spPr>
            <a:solidFill>
              <a:srgbClr val="00B050"/>
            </a:solidFill>
          </c:spPr>
          <c:dLbls>
            <c:showVal val="1"/>
          </c:dLbls>
          <c:cat>
            <c:numRef>
              <c:f>Sheet1!$A$2</c:f>
              <c:numCache>
                <c:formatCode>General</c:formatCode>
                <c:ptCount val="1"/>
              </c:numCache>
            </c:numRef>
          </c:cat>
          <c:val>
            <c:numRef>
              <c:f>Sheet1!$C$2</c:f>
              <c:numCache>
                <c:formatCode>General</c:formatCode>
                <c:ptCount val="1"/>
                <c:pt idx="0">
                  <c:v>-2039</c:v>
                </c:pt>
              </c:numCache>
            </c:numRef>
          </c:val>
        </c:ser>
        <c:ser>
          <c:idx val="2"/>
          <c:order val="2"/>
          <c:tx>
            <c:strRef>
              <c:f>Sheet1!$D$1</c:f>
              <c:strCache>
                <c:ptCount val="1"/>
                <c:pt idx="0">
                  <c:v>Vii</c:v>
                </c:pt>
              </c:strCache>
            </c:strRef>
          </c:tx>
          <c:spPr>
            <a:solidFill>
              <a:schemeClr val="accent1"/>
            </a:solidFill>
          </c:spPr>
          <c:dLbls>
            <c:showVal val="1"/>
          </c:dLbls>
          <c:cat>
            <c:numRef>
              <c:f>Sheet1!$A$2</c:f>
              <c:numCache>
                <c:formatCode>General</c:formatCode>
                <c:ptCount val="1"/>
              </c:numCache>
            </c:numRef>
          </c:cat>
          <c:val>
            <c:numRef>
              <c:f>Sheet1!$D$2</c:f>
              <c:numCache>
                <c:formatCode>General</c:formatCode>
                <c:ptCount val="1"/>
                <c:pt idx="0">
                  <c:v>68</c:v>
                </c:pt>
              </c:numCache>
            </c:numRef>
          </c:val>
        </c:ser>
        <c:ser>
          <c:idx val="3"/>
          <c:order val="3"/>
          <c:tx>
            <c:strRef>
              <c:f>Sheet1!$E$1</c:f>
              <c:strCache>
                <c:ptCount val="1"/>
                <c:pt idx="0">
                  <c:v>Livezi</c:v>
                </c:pt>
              </c:strCache>
            </c:strRef>
          </c:tx>
          <c:spPr>
            <a:solidFill>
              <a:srgbClr val="FFC000"/>
            </a:solidFill>
          </c:spPr>
          <c:dLbls>
            <c:showVal val="1"/>
          </c:dLbls>
          <c:cat>
            <c:numRef>
              <c:f>Sheet1!$A$2</c:f>
              <c:numCache>
                <c:formatCode>General</c:formatCode>
                <c:ptCount val="1"/>
              </c:numCache>
            </c:numRef>
          </c:cat>
          <c:val>
            <c:numRef>
              <c:f>Sheet1!$E$2</c:f>
              <c:numCache>
                <c:formatCode>General</c:formatCode>
                <c:ptCount val="1"/>
                <c:pt idx="0">
                  <c:v>-2</c:v>
                </c:pt>
              </c:numCache>
            </c:numRef>
          </c:val>
        </c:ser>
        <c:axId val="88039424"/>
        <c:axId val="88040960"/>
      </c:barChart>
      <c:catAx>
        <c:axId val="88039424"/>
        <c:scaling>
          <c:orientation val="minMax"/>
        </c:scaling>
        <c:axPos val="b"/>
        <c:numFmt formatCode="General" sourceLinked="1"/>
        <c:tickLblPos val="nextTo"/>
        <c:crossAx val="88040960"/>
        <c:crosses val="autoZero"/>
        <c:auto val="1"/>
        <c:lblAlgn val="ctr"/>
        <c:lblOffset val="100"/>
      </c:catAx>
      <c:valAx>
        <c:axId val="88040960"/>
        <c:scaling>
          <c:orientation val="minMax"/>
        </c:scaling>
        <c:axPos val="l"/>
        <c:majorGridlines/>
        <c:numFmt formatCode="General" sourceLinked="1"/>
        <c:tickLblPos val="nextTo"/>
        <c:crossAx val="88039424"/>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29495"/>
          <c:y val="0.22684781283327871"/>
          <c:w val="0.23265403010651245"/>
          <c:h val="0.41268678632211664"/>
        </c:manualLayout>
      </c:layout>
    </c:legend>
    <c:plotVisOnly val="1"/>
  </c:chart>
  <c:spPr>
    <a:solidFill>
      <a:srgbClr val="DBE6C4">
        <a:alpha val="50000"/>
      </a:srgbClr>
    </a:solidFill>
  </c:spPr>
  <c:externalData r:id="rId1"/>
</c:chartSpace>
</file>

<file path=word/charts/chart72.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41962785554014481"/>
          <c:h val="0.89877106476948465"/>
        </c:manualLayout>
      </c:layout>
      <c:barChart>
        <c:barDir val="col"/>
        <c:grouping val="clustered"/>
        <c:ser>
          <c:idx val="0"/>
          <c:order val="0"/>
          <c:tx>
            <c:strRef>
              <c:f>Sheet1!$B$1</c:f>
              <c:strCache>
                <c:ptCount val="1"/>
                <c:pt idx="0">
                  <c:v>Teren arabil</c:v>
                </c:pt>
              </c:strCache>
            </c:strRef>
          </c:tx>
          <c:spPr>
            <a:solidFill>
              <a:srgbClr val="C00000"/>
            </a:solidFill>
          </c:spPr>
          <c:dLbls>
            <c:showVal val="1"/>
          </c:dLbls>
          <c:cat>
            <c:numRef>
              <c:f>Sheet1!$A$2</c:f>
              <c:numCache>
                <c:formatCode>General</c:formatCode>
                <c:ptCount val="1"/>
              </c:numCache>
            </c:numRef>
          </c:cat>
          <c:val>
            <c:numRef>
              <c:f>Sheet1!$B$2</c:f>
              <c:numCache>
                <c:formatCode>0.00%</c:formatCode>
                <c:ptCount val="1"/>
                <c:pt idx="0">
                  <c:v>6.7000000000000288E-3</c:v>
                </c:pt>
              </c:numCache>
            </c:numRef>
          </c:val>
        </c:ser>
        <c:ser>
          <c:idx val="1"/>
          <c:order val="1"/>
          <c:tx>
            <c:strRef>
              <c:f>Sheet1!$C$1</c:f>
              <c:strCache>
                <c:ptCount val="1"/>
                <c:pt idx="0">
                  <c:v>Pășuni</c:v>
                </c:pt>
              </c:strCache>
            </c:strRef>
          </c:tx>
          <c:spPr>
            <a:solidFill>
              <a:srgbClr val="00B050"/>
            </a:solidFill>
          </c:spPr>
          <c:dLbls>
            <c:showVal val="1"/>
          </c:dLbls>
          <c:cat>
            <c:numRef>
              <c:f>Sheet1!$A$2</c:f>
              <c:numCache>
                <c:formatCode>General</c:formatCode>
                <c:ptCount val="1"/>
              </c:numCache>
            </c:numRef>
          </c:cat>
          <c:val>
            <c:numRef>
              <c:f>Sheet1!$C$2</c:f>
              <c:numCache>
                <c:formatCode>0.00%</c:formatCode>
                <c:ptCount val="1"/>
                <c:pt idx="0">
                  <c:v>-6.1499999999999999E-2</c:v>
                </c:pt>
              </c:numCache>
            </c:numRef>
          </c:val>
        </c:ser>
        <c:ser>
          <c:idx val="2"/>
          <c:order val="2"/>
          <c:tx>
            <c:strRef>
              <c:f>Sheet1!$D$1</c:f>
              <c:strCache>
                <c:ptCount val="1"/>
                <c:pt idx="0">
                  <c:v>Vii</c:v>
                </c:pt>
              </c:strCache>
            </c:strRef>
          </c:tx>
          <c:spPr>
            <a:solidFill>
              <a:schemeClr val="accent1"/>
            </a:solidFill>
          </c:spPr>
          <c:dLbls>
            <c:showVal val="1"/>
          </c:dLbls>
          <c:cat>
            <c:numRef>
              <c:f>Sheet1!$A$2</c:f>
              <c:numCache>
                <c:formatCode>General</c:formatCode>
                <c:ptCount val="1"/>
              </c:numCache>
            </c:numRef>
          </c:cat>
          <c:val>
            <c:numRef>
              <c:f>Sheet1!$D$2</c:f>
              <c:numCache>
                <c:formatCode>0.00%</c:formatCode>
                <c:ptCount val="1"/>
                <c:pt idx="0">
                  <c:v>1.5100000000000021E-2</c:v>
                </c:pt>
              </c:numCache>
            </c:numRef>
          </c:val>
        </c:ser>
        <c:ser>
          <c:idx val="3"/>
          <c:order val="3"/>
          <c:tx>
            <c:strRef>
              <c:f>Sheet1!$E$1</c:f>
              <c:strCache>
                <c:ptCount val="1"/>
                <c:pt idx="0">
                  <c:v>Livezi</c:v>
                </c:pt>
              </c:strCache>
            </c:strRef>
          </c:tx>
          <c:spPr>
            <a:solidFill>
              <a:srgbClr val="FFC000"/>
            </a:solidFill>
          </c:spPr>
          <c:dLbls>
            <c:showVal val="1"/>
          </c:dLbls>
          <c:cat>
            <c:numRef>
              <c:f>Sheet1!$A$2</c:f>
              <c:numCache>
                <c:formatCode>General</c:formatCode>
                <c:ptCount val="1"/>
              </c:numCache>
            </c:numRef>
          </c:cat>
          <c:val>
            <c:numRef>
              <c:f>Sheet1!$E$2</c:f>
              <c:numCache>
                <c:formatCode>0.00%</c:formatCode>
                <c:ptCount val="1"/>
                <c:pt idx="0">
                  <c:v>-3.1000000000000151E-3</c:v>
                </c:pt>
              </c:numCache>
            </c:numRef>
          </c:val>
        </c:ser>
        <c:axId val="88070400"/>
        <c:axId val="87703552"/>
      </c:barChart>
      <c:catAx>
        <c:axId val="88070400"/>
        <c:scaling>
          <c:orientation val="minMax"/>
        </c:scaling>
        <c:axPos val="b"/>
        <c:numFmt formatCode="General" sourceLinked="1"/>
        <c:tickLblPos val="nextTo"/>
        <c:crossAx val="87703552"/>
        <c:crosses val="autoZero"/>
        <c:auto val="1"/>
        <c:lblAlgn val="ctr"/>
        <c:lblOffset val="100"/>
      </c:catAx>
      <c:valAx>
        <c:axId val="87703552"/>
        <c:scaling>
          <c:orientation val="minMax"/>
        </c:scaling>
        <c:axPos val="l"/>
        <c:majorGridlines/>
        <c:numFmt formatCode="0.00%" sourceLinked="1"/>
        <c:tickLblPos val="nextTo"/>
        <c:crossAx val="88070400"/>
        <c:crosses val="autoZero"/>
        <c:crossBetween val="between"/>
      </c:valAx>
    </c:plotArea>
    <c:legend>
      <c:legendPos val="r"/>
      <c:legendEntry>
        <c:idx val="0"/>
        <c:txPr>
          <a:bodyPr/>
          <a:lstStyle/>
          <a:p>
            <a:pPr>
              <a:defRPr sz="1200"/>
            </a:pPr>
            <a:endParaRPr lang="ro-RO"/>
          </a:p>
        </c:txPr>
      </c:legendEntry>
      <c:legendEntry>
        <c:idx val="1"/>
        <c:txPr>
          <a:bodyPr/>
          <a:lstStyle/>
          <a:p>
            <a:pPr>
              <a:defRPr sz="1000"/>
            </a:pPr>
            <a:endParaRPr lang="ro-RO"/>
          </a:p>
        </c:txPr>
      </c:legendEntry>
      <c:legendEntry>
        <c:idx val="2"/>
        <c:txPr>
          <a:bodyPr/>
          <a:lstStyle/>
          <a:p>
            <a:pPr>
              <a:defRPr sz="1200" baseline="0"/>
            </a:pPr>
            <a:endParaRPr lang="ro-RO"/>
          </a:p>
        </c:txPr>
      </c:legendEntry>
      <c:legendEntry>
        <c:idx val="3"/>
        <c:txPr>
          <a:bodyPr/>
          <a:lstStyle/>
          <a:p>
            <a:pPr>
              <a:defRPr sz="1100"/>
            </a:pPr>
            <a:endParaRPr lang="ro-RO"/>
          </a:p>
        </c:txPr>
      </c:legendEntry>
      <c:layout>
        <c:manualLayout>
          <c:xMode val="edge"/>
          <c:yMode val="edge"/>
          <c:x val="0.74164164131629529"/>
          <c:y val="0.20503711253806217"/>
          <c:w val="0.23265403010651245"/>
          <c:h val="0.43449748661733206"/>
        </c:manualLayout>
      </c:layout>
    </c:legend>
    <c:plotVisOnly val="1"/>
  </c:chart>
  <c:spPr>
    <a:solidFill>
      <a:srgbClr val="DBE6C4">
        <a:alpha val="50000"/>
      </a:srgbClr>
    </a:solidFill>
  </c:spPr>
  <c:externalData r:id="rId1"/>
</c:chartSpace>
</file>

<file path=word/charts/chart73.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8.9243965515196727E-2"/>
          <c:y val="5.1523736315508883E-2"/>
          <c:w val="0.62807797462817883"/>
          <c:h val="0.82745688038995058"/>
        </c:manualLayout>
      </c:layout>
      <c:barChart>
        <c:barDir val="bar"/>
        <c:grouping val="clustered"/>
        <c:ser>
          <c:idx val="0"/>
          <c:order val="0"/>
          <c:tx>
            <c:strRef>
              <c:f>Sheet1!$B$1</c:f>
              <c:strCache>
                <c:ptCount val="1"/>
                <c:pt idx="0">
                  <c:v>Drumuri și căi ferate</c:v>
                </c:pt>
              </c:strCache>
            </c:strRef>
          </c:tx>
          <c:spPr>
            <a:solidFill>
              <a:srgbClr val="FFC000"/>
            </a:solidFill>
            <a:ln>
              <a:solidFill>
                <a:srgbClr val="FFC000"/>
              </a:solidFill>
            </a:ln>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8543</c:v>
                </c:pt>
                <c:pt idx="1">
                  <c:v>8587</c:v>
                </c:pt>
                <c:pt idx="2">
                  <c:v>8597</c:v>
                </c:pt>
                <c:pt idx="3">
                  <c:v>8592</c:v>
                </c:pt>
                <c:pt idx="4">
                  <c:v>8586</c:v>
                </c:pt>
              </c:numCache>
            </c:numRef>
          </c:val>
        </c:ser>
        <c:ser>
          <c:idx val="1"/>
          <c:order val="1"/>
          <c:tx>
            <c:strRef>
              <c:f>Sheet1!$C$1</c:f>
              <c:strCache>
                <c:ptCount val="1"/>
                <c:pt idx="0">
                  <c:v>Curți și construcții</c:v>
                </c:pt>
              </c:strCache>
            </c:strRef>
          </c:tx>
          <c:spPr>
            <a:solidFill>
              <a:schemeClr val="accent2">
                <a:lumMod val="60000"/>
                <a:lumOff val="40000"/>
              </a:schemeClr>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12735</c:v>
                </c:pt>
                <c:pt idx="1">
                  <c:v>13058</c:v>
                </c:pt>
                <c:pt idx="2">
                  <c:v>13066</c:v>
                </c:pt>
                <c:pt idx="3">
                  <c:v>13267</c:v>
                </c:pt>
                <c:pt idx="4">
                  <c:v>13294</c:v>
                </c:pt>
              </c:numCache>
            </c:numRef>
          </c:val>
        </c:ser>
        <c:ser>
          <c:idx val="2"/>
          <c:order val="2"/>
          <c:tx>
            <c:strRef>
              <c:f>Sheet1!$D$1</c:f>
              <c:strCache>
                <c:ptCount val="1"/>
                <c:pt idx="0">
                  <c:v>Neproductive</c:v>
                </c:pt>
              </c:strCache>
            </c:strRef>
          </c:tx>
          <c:spPr>
            <a:solidFill>
              <a:srgbClr val="FF0000"/>
            </a:solidFill>
          </c:spP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8496</c:v>
                </c:pt>
                <c:pt idx="1">
                  <c:v>8513</c:v>
                </c:pt>
                <c:pt idx="2">
                  <c:v>8616</c:v>
                </c:pt>
                <c:pt idx="3">
                  <c:v>8110</c:v>
                </c:pt>
                <c:pt idx="4">
                  <c:v>7928</c:v>
                </c:pt>
              </c:numCache>
            </c:numRef>
          </c:val>
        </c:ser>
        <c:ser>
          <c:idx val="3"/>
          <c:order val="3"/>
          <c:tx>
            <c:strRef>
              <c:f>Sheet1!$E$1</c:f>
              <c:strCache>
                <c:ptCount val="1"/>
                <c:pt idx="0">
                  <c:v>Păduri</c:v>
                </c:pt>
              </c:strCache>
            </c:strRef>
          </c:tx>
          <c:spPr>
            <a:solidFill>
              <a:srgbClr val="00B050"/>
            </a:solidFill>
          </c:spPr>
          <c:cat>
            <c:numRef>
              <c:f>Sheet1!$A$2:$A$6</c:f>
              <c:numCache>
                <c:formatCode>General</c:formatCode>
                <c:ptCount val="5"/>
                <c:pt idx="0">
                  <c:v>2010</c:v>
                </c:pt>
                <c:pt idx="1">
                  <c:v>2011</c:v>
                </c:pt>
                <c:pt idx="2">
                  <c:v>2012</c:v>
                </c:pt>
                <c:pt idx="3">
                  <c:v>2013</c:v>
                </c:pt>
                <c:pt idx="4">
                  <c:v>2014</c:v>
                </c:pt>
              </c:numCache>
            </c:numRef>
          </c:cat>
          <c:val>
            <c:numRef>
              <c:f>Sheet1!$E$2:$E$6</c:f>
              <c:numCache>
                <c:formatCode>#,##0</c:formatCode>
                <c:ptCount val="5"/>
                <c:pt idx="0">
                  <c:v>28388</c:v>
                </c:pt>
                <c:pt idx="1">
                  <c:v>28383</c:v>
                </c:pt>
                <c:pt idx="2" formatCode="General">
                  <c:v>28552</c:v>
                </c:pt>
                <c:pt idx="3" formatCode="General">
                  <c:v>28653</c:v>
                </c:pt>
                <c:pt idx="4" formatCode="General">
                  <c:v>28687</c:v>
                </c:pt>
              </c:numCache>
            </c:numRef>
          </c:val>
        </c:ser>
        <c:ser>
          <c:idx val="4"/>
          <c:order val="4"/>
          <c:tx>
            <c:strRef>
              <c:f>Sheet1!$F$1</c:f>
              <c:strCache>
                <c:ptCount val="1"/>
                <c:pt idx="0">
                  <c:v>Ape</c:v>
                </c:pt>
              </c:strCache>
            </c:strRef>
          </c:tx>
          <c:cat>
            <c:numRef>
              <c:f>Sheet1!$A$2:$A$6</c:f>
              <c:numCache>
                <c:formatCode>General</c:formatCode>
                <c:ptCount val="5"/>
                <c:pt idx="0">
                  <c:v>2010</c:v>
                </c:pt>
                <c:pt idx="1">
                  <c:v>2011</c:v>
                </c:pt>
                <c:pt idx="2">
                  <c:v>2012</c:v>
                </c:pt>
                <c:pt idx="3">
                  <c:v>2013</c:v>
                </c:pt>
                <c:pt idx="4">
                  <c:v>2014</c:v>
                </c:pt>
              </c:numCache>
            </c:numRef>
          </c:cat>
          <c:val>
            <c:numRef>
              <c:f>Sheet1!$F$2:$F$6</c:f>
              <c:numCache>
                <c:formatCode>#,##0</c:formatCode>
                <c:ptCount val="5"/>
                <c:pt idx="0">
                  <c:v>33171</c:v>
                </c:pt>
                <c:pt idx="1">
                  <c:v>30672</c:v>
                </c:pt>
                <c:pt idx="2">
                  <c:v>30590</c:v>
                </c:pt>
                <c:pt idx="3" formatCode="General">
                  <c:v>30556</c:v>
                </c:pt>
                <c:pt idx="4" formatCode="General">
                  <c:v>30331</c:v>
                </c:pt>
              </c:numCache>
            </c:numRef>
          </c:val>
        </c:ser>
        <c:axId val="87730816"/>
        <c:axId val="87982464"/>
      </c:barChart>
      <c:catAx>
        <c:axId val="87730816"/>
        <c:scaling>
          <c:orientation val="minMax"/>
        </c:scaling>
        <c:axPos val="l"/>
        <c:numFmt formatCode="General" sourceLinked="1"/>
        <c:tickLblPos val="nextTo"/>
        <c:crossAx val="87982464"/>
        <c:crosses val="autoZero"/>
        <c:auto val="1"/>
        <c:lblAlgn val="ctr"/>
        <c:lblOffset val="100"/>
      </c:catAx>
      <c:valAx>
        <c:axId val="87982464"/>
        <c:scaling>
          <c:orientation val="minMax"/>
        </c:scaling>
        <c:axPos val="b"/>
        <c:majorGridlines/>
        <c:numFmt formatCode="General" sourceLinked="1"/>
        <c:tickLblPos val="nextTo"/>
        <c:crossAx val="87730816"/>
        <c:crosses val="autoZero"/>
        <c:crossBetween val="between"/>
      </c:valAx>
    </c:plotArea>
    <c:legend>
      <c:legendPos val="r"/>
    </c:legend>
    <c:plotVisOnly val="1"/>
  </c:chart>
  <c:spPr>
    <a:solidFill>
      <a:srgbClr val="DBE6C4">
        <a:alpha val="50000"/>
      </a:srgbClr>
    </a:solidFill>
  </c:spPr>
  <c:externalData r:id="rId1"/>
</c:chartSpace>
</file>

<file path=word/charts/chart7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388253869185164"/>
          <c:h val="0.55055737172328356"/>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12735</c:v>
                </c:pt>
                <c:pt idx="1">
                  <c:v>13058</c:v>
                </c:pt>
                <c:pt idx="2">
                  <c:v>13066</c:v>
                </c:pt>
                <c:pt idx="3">
                  <c:v>13267</c:v>
                </c:pt>
                <c:pt idx="4">
                  <c:v>13294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8543</c:v>
                </c:pt>
                <c:pt idx="1">
                  <c:v>8587</c:v>
                </c:pt>
                <c:pt idx="2">
                  <c:v>8597</c:v>
                </c:pt>
                <c:pt idx="3">
                  <c:v>8592</c:v>
                </c:pt>
                <c:pt idx="4">
                  <c:v>8586</c:v>
                </c:pt>
              </c:numCache>
            </c:numRef>
          </c:val>
        </c:ser>
        <c:axId val="146650624"/>
        <c:axId val="146652160"/>
      </c:barChart>
      <c:catAx>
        <c:axId val="146650624"/>
        <c:scaling>
          <c:orientation val="minMax"/>
        </c:scaling>
        <c:axPos val="l"/>
        <c:numFmt formatCode="General" sourceLinked="1"/>
        <c:tickLblPos val="nextTo"/>
        <c:crossAx val="146652160"/>
        <c:crosses val="autoZero"/>
        <c:auto val="1"/>
        <c:lblAlgn val="ctr"/>
        <c:lblOffset val="100"/>
      </c:catAx>
      <c:valAx>
        <c:axId val="146652160"/>
        <c:scaling>
          <c:orientation val="minMax"/>
        </c:scaling>
        <c:axPos val="b"/>
        <c:majorGridlines/>
        <c:numFmt formatCode="General" sourceLinked="1"/>
        <c:tickLblPos val="nextTo"/>
        <c:crossAx val="146650624"/>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o-RO"/>
          </a:p>
        </c:txPr>
      </c:legendEntry>
      <c:legendEntry>
        <c:idx val="1"/>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5815"/>
          <c:w val="0.74098323348088135"/>
          <c:h val="0.12666709187295774"/>
        </c:manualLayout>
      </c:layout>
    </c:legend>
    <c:plotVisOnly val="1"/>
  </c:chart>
  <c:spPr>
    <a:solidFill>
      <a:srgbClr val="DBE6C4">
        <a:alpha val="50000"/>
      </a:srgbClr>
    </a:solidFill>
    <a:ln>
      <a:solidFill>
        <a:sysClr val="windowText" lastClr="000000">
          <a:alpha val="50000"/>
        </a:sysClr>
      </a:solidFill>
    </a:ln>
  </c:spPr>
  <c:externalData r:id="rId1"/>
</c:chartSpace>
</file>

<file path=word/charts/chart7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title>
      <c:tx>
        <c:rich>
          <a:bodyPr/>
          <a:lstStyle/>
          <a:p>
            <a:pPr algn="l">
              <a:defRPr sz="837" b="1" i="0" u="none" strike="noStrike" baseline="0">
                <a:solidFill>
                  <a:srgbClr val="000000"/>
                </a:solidFill>
                <a:latin typeface="Arial"/>
                <a:ea typeface="Arial"/>
                <a:cs typeface="Arial"/>
              </a:defRPr>
            </a:pPr>
            <a:r>
              <a:rPr lang="ro-RO" sz="969" b="1" i="1" strike="noStrike">
                <a:solidFill>
                  <a:srgbClr val="000000"/>
                </a:solidFill>
                <a:latin typeface="Arial"/>
                <a:cs typeface="Arial"/>
              </a:rPr>
              <a:t>Evoluţia suprafeţei agricole în perioada 2010-2014</a:t>
            </a: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r>
              <a:rPr lang="ro-RO" sz="704" b="1" i="1" strike="noStrike">
                <a:solidFill>
                  <a:srgbClr val="000000"/>
                </a:solidFill>
                <a:latin typeface="Arial"/>
                <a:cs typeface="Arial"/>
              </a:rPr>
              <a:t> </a:t>
            </a: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a:p>
            <a:pPr algn="l">
              <a:defRPr sz="837" b="1" i="0" u="none" strike="noStrike" baseline="0">
                <a:solidFill>
                  <a:srgbClr val="000000"/>
                </a:solidFill>
                <a:latin typeface="Arial"/>
                <a:ea typeface="Arial"/>
                <a:cs typeface="Arial"/>
              </a:defRPr>
            </a:pPr>
            <a:endParaRPr lang="ro-RO" sz="800" b="1" i="1" strike="noStrike">
              <a:solidFill>
                <a:srgbClr val="000000"/>
              </a:solidFill>
              <a:latin typeface="Arial"/>
              <a:cs typeface="Arial"/>
            </a:endParaRPr>
          </a:p>
        </c:rich>
      </c:tx>
      <c:layout>
        <c:manualLayout>
          <c:xMode val="edge"/>
          <c:yMode val="edge"/>
          <c:x val="0.15705784776903042"/>
          <c:y val="0"/>
        </c:manualLayout>
      </c:layout>
      <c:spPr>
        <a:noFill/>
        <a:ln w="22495">
          <a:noFill/>
        </a:ln>
      </c:spPr>
    </c:title>
    <c:view3D>
      <c:hPercent val="39"/>
      <c:depthPercent val="100"/>
      <c:rAngAx val="1"/>
    </c:view3D>
    <c:floor>
      <c:spPr>
        <a:solidFill>
          <a:srgbClr val="C0C0C0"/>
        </a:solidFill>
        <a:ln w="3175">
          <a:solidFill>
            <a:srgbClr val="000000"/>
          </a:solidFill>
          <a:prstDash val="solid"/>
        </a:ln>
      </c:spPr>
    </c:floor>
    <c:sideWall>
      <c:spPr>
        <a:solidFill>
          <a:srgbClr val="969696"/>
        </a:solidFill>
        <a:ln w="12700">
          <a:solidFill>
            <a:srgbClr val="808080"/>
          </a:solidFill>
          <a:prstDash val="solid"/>
        </a:ln>
      </c:spPr>
    </c:sideWall>
    <c:backWall>
      <c:spPr>
        <a:solidFill>
          <a:srgbClr val="969696"/>
        </a:solidFill>
        <a:ln w="12700">
          <a:solidFill>
            <a:srgbClr val="808080"/>
          </a:solidFill>
          <a:prstDash val="solid"/>
        </a:ln>
      </c:spPr>
    </c:backWall>
    <c:plotArea>
      <c:layout>
        <c:manualLayout>
          <c:layoutTarget val="inner"/>
          <c:xMode val="edge"/>
          <c:yMode val="edge"/>
          <c:x val="9.5808383233532968E-2"/>
          <c:y val="0.18888888888888891"/>
          <c:w val="0.82808777241908815"/>
          <c:h val="0.57777777777777772"/>
        </c:manualLayout>
      </c:layout>
      <c:bar3DChart>
        <c:barDir val="col"/>
        <c:grouping val="clustered"/>
        <c:ser>
          <c:idx val="0"/>
          <c:order val="0"/>
          <c:tx>
            <c:strRef>
              <c:f>Sheet1!$A$2</c:f>
              <c:strCache>
                <c:ptCount val="1"/>
              </c:strCache>
            </c:strRef>
          </c:tx>
          <c:spPr>
            <a:solidFill>
              <a:srgbClr val="D20000"/>
            </a:solidFill>
            <a:ln w="11251">
              <a:solidFill>
                <a:srgbClr val="000000"/>
              </a:solidFill>
              <a:prstDash val="solid"/>
            </a:ln>
          </c:spPr>
          <c:dLbls>
            <c:showVal val="1"/>
          </c:dLbls>
          <c:cat>
            <c:numRef>
              <c:f>Sheet1!$B$1:$G$1</c:f>
              <c:numCache>
                <c:formatCode>General</c:formatCode>
                <c:ptCount val="5"/>
                <c:pt idx="0">
                  <c:v>2010</c:v>
                </c:pt>
                <c:pt idx="1">
                  <c:v>2011</c:v>
                </c:pt>
                <c:pt idx="2">
                  <c:v>2012</c:v>
                </c:pt>
                <c:pt idx="3">
                  <c:v>2013</c:v>
                </c:pt>
                <c:pt idx="4">
                  <c:v>2014</c:v>
                </c:pt>
              </c:numCache>
            </c:numRef>
          </c:cat>
          <c:val>
            <c:numRef>
              <c:f>Sheet1!$B$2:$G$2</c:f>
              <c:numCache>
                <c:formatCode>General</c:formatCode>
                <c:ptCount val="5"/>
                <c:pt idx="0">
                  <c:v>387363</c:v>
                </c:pt>
                <c:pt idx="1">
                  <c:v>387163</c:v>
                </c:pt>
                <c:pt idx="2">
                  <c:v>387160</c:v>
                </c:pt>
                <c:pt idx="3">
                  <c:v>387598</c:v>
                </c:pt>
                <c:pt idx="4">
                  <c:v>387750</c:v>
                </c:pt>
              </c:numCache>
            </c:numRef>
          </c:val>
        </c:ser>
        <c:gapDepth val="0"/>
        <c:shape val="box"/>
        <c:axId val="87773184"/>
        <c:axId val="87774720"/>
        <c:axId val="0"/>
      </c:bar3DChart>
      <c:catAx>
        <c:axId val="87773184"/>
        <c:scaling>
          <c:orientation val="minMax"/>
        </c:scaling>
        <c:axPos val="b"/>
        <c:numFmt formatCode="General" sourceLinked="1"/>
        <c:tickLblPos val="low"/>
        <c:spPr>
          <a:ln w="2813">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ro-RO"/>
          </a:p>
        </c:txPr>
        <c:crossAx val="87774720"/>
        <c:crosses val="autoZero"/>
        <c:auto val="1"/>
        <c:lblAlgn val="ctr"/>
        <c:lblOffset val="100"/>
        <c:tickLblSkip val="1"/>
        <c:tickMarkSkip val="1"/>
      </c:catAx>
      <c:valAx>
        <c:axId val="87774720"/>
        <c:scaling>
          <c:orientation val="minMax"/>
        </c:scaling>
        <c:axPos val="l"/>
        <c:majorGridlines>
          <c:spPr>
            <a:ln w="2813">
              <a:solidFill>
                <a:srgbClr val="000000"/>
              </a:solidFill>
              <a:prstDash val="solid"/>
            </a:ln>
          </c:spPr>
        </c:majorGridlines>
        <c:numFmt formatCode="General" sourceLinked="1"/>
        <c:tickLblPos val="nextTo"/>
        <c:spPr>
          <a:ln w="2813">
            <a:solidFill>
              <a:srgbClr val="000000"/>
            </a:solidFill>
            <a:prstDash val="solid"/>
          </a:ln>
        </c:spPr>
        <c:txPr>
          <a:bodyPr rot="0" vert="horz"/>
          <a:lstStyle/>
          <a:p>
            <a:pPr>
              <a:defRPr sz="844" b="1" i="0" u="none" strike="noStrike" baseline="0">
                <a:solidFill>
                  <a:srgbClr val="000000"/>
                </a:solidFill>
                <a:latin typeface="Arial"/>
                <a:ea typeface="Arial"/>
                <a:cs typeface="Arial"/>
              </a:defRPr>
            </a:pPr>
            <a:endParaRPr lang="ro-RO"/>
          </a:p>
        </c:txPr>
        <c:crossAx val="87773184"/>
        <c:crosses val="autoZero"/>
        <c:crossBetween val="between"/>
      </c:valAx>
      <c:spPr>
        <a:noFill/>
        <a:ln w="25379">
          <a:noFill/>
        </a:ln>
      </c:spPr>
    </c:plotArea>
    <c:plotVisOnly val="1"/>
    <c:dispBlanksAs val="gap"/>
  </c:chart>
  <c:spPr>
    <a:noFill/>
    <a:ln>
      <a:noFill/>
    </a:ln>
  </c:spPr>
  <c:txPr>
    <a:bodyPr/>
    <a:lstStyle/>
    <a:p>
      <a:pPr>
        <a:defRPr sz="844" b="1" i="0" u="none" strike="noStrike" baseline="0">
          <a:solidFill>
            <a:srgbClr val="000000"/>
          </a:solidFill>
          <a:latin typeface="Arial"/>
          <a:ea typeface="Arial"/>
          <a:cs typeface="Arial"/>
        </a:defRPr>
      </a:pPr>
      <a:endParaRPr lang="ro-RO"/>
    </a:p>
  </c:txPr>
  <c:externalData r:id="rId2"/>
</c:chartSpace>
</file>

<file path=word/charts/chart76.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plotArea>
      <c:layout>
        <c:manualLayout>
          <c:layoutTarget val="inner"/>
          <c:xMode val="edge"/>
          <c:yMode val="edge"/>
          <c:x val="0.17534246575342627"/>
          <c:y val="9.4594594594595849E-2"/>
          <c:w val="0.624515971648125"/>
          <c:h val="0.72072072072072069"/>
        </c:manualLayout>
      </c:layout>
      <c:barChart>
        <c:barDir val="col"/>
        <c:grouping val="clustered"/>
        <c:ser>
          <c:idx val="0"/>
          <c:order val="0"/>
          <c:tx>
            <c:strRef>
              <c:f>Sheet1!$A$2</c:f>
              <c:strCache>
                <c:ptCount val="1"/>
                <c:pt idx="0">
                  <c:v>2011</c:v>
                </c:pt>
              </c:strCache>
            </c:strRef>
          </c:tx>
          <c:spPr>
            <a:solidFill>
              <a:srgbClr val="9999FF"/>
            </a:solidFill>
            <a:ln w="10696">
              <a:solidFill>
                <a:srgbClr val="000000"/>
              </a:solidFill>
              <a:prstDash val="solid"/>
            </a:ln>
          </c:spPr>
          <c:cat>
            <c:strRef>
              <c:f>Sheet1!$B$1:$C$1</c:f>
              <c:strCache>
                <c:ptCount val="2"/>
                <c:pt idx="0">
                  <c:v>Urban </c:v>
                </c:pt>
                <c:pt idx="1">
                  <c:v>Rural</c:v>
                </c:pt>
              </c:strCache>
            </c:strRef>
          </c:cat>
          <c:val>
            <c:numRef>
              <c:f>Sheet1!$B$2:$C$2</c:f>
              <c:numCache>
                <c:formatCode>General</c:formatCode>
                <c:ptCount val="2"/>
                <c:pt idx="0">
                  <c:v>200765</c:v>
                </c:pt>
                <c:pt idx="1">
                  <c:v>120447</c:v>
                </c:pt>
              </c:numCache>
            </c:numRef>
          </c:val>
        </c:ser>
        <c:ser>
          <c:idx val="1"/>
          <c:order val="1"/>
          <c:tx>
            <c:strRef>
              <c:f>Sheet1!$A$3</c:f>
              <c:strCache>
                <c:ptCount val="1"/>
                <c:pt idx="0">
                  <c:v>2012</c:v>
                </c:pt>
              </c:strCache>
            </c:strRef>
          </c:tx>
          <c:spPr>
            <a:solidFill>
              <a:srgbClr val="993366"/>
            </a:solidFill>
            <a:ln w="10696">
              <a:solidFill>
                <a:srgbClr val="000000"/>
              </a:solidFill>
              <a:prstDash val="solid"/>
            </a:ln>
          </c:spPr>
          <c:cat>
            <c:strRef>
              <c:f>Sheet1!$B$1:$C$1</c:f>
              <c:strCache>
                <c:ptCount val="2"/>
                <c:pt idx="0">
                  <c:v>Urban </c:v>
                </c:pt>
                <c:pt idx="1">
                  <c:v>Rural</c:v>
                </c:pt>
              </c:strCache>
            </c:strRef>
          </c:cat>
          <c:val>
            <c:numRef>
              <c:f>Sheet1!$B$3:$C$3</c:f>
              <c:numCache>
                <c:formatCode>General</c:formatCode>
                <c:ptCount val="2"/>
                <c:pt idx="0">
                  <c:v>199634</c:v>
                </c:pt>
                <c:pt idx="1">
                  <c:v>120040</c:v>
                </c:pt>
              </c:numCache>
            </c:numRef>
          </c:val>
        </c:ser>
        <c:ser>
          <c:idx val="2"/>
          <c:order val="2"/>
          <c:tx>
            <c:strRef>
              <c:f>Sheet1!$A$4</c:f>
              <c:strCache>
                <c:ptCount val="1"/>
                <c:pt idx="0">
                  <c:v>2013</c:v>
                </c:pt>
              </c:strCache>
            </c:strRef>
          </c:tx>
          <c:spPr>
            <a:solidFill>
              <a:srgbClr val="FFFFCC"/>
            </a:solidFill>
            <a:ln w="10696">
              <a:solidFill>
                <a:srgbClr val="000000"/>
              </a:solidFill>
              <a:prstDash val="solid"/>
            </a:ln>
          </c:spPr>
          <c:cat>
            <c:strRef>
              <c:f>Sheet1!$B$1:$C$1</c:f>
              <c:strCache>
                <c:ptCount val="2"/>
                <c:pt idx="0">
                  <c:v>Urban </c:v>
                </c:pt>
                <c:pt idx="1">
                  <c:v>Rural</c:v>
                </c:pt>
              </c:strCache>
            </c:strRef>
          </c:cat>
          <c:val>
            <c:numRef>
              <c:f>Sheet1!$B$4:$C$4</c:f>
              <c:numCache>
                <c:formatCode>General</c:formatCode>
                <c:ptCount val="2"/>
                <c:pt idx="0">
                  <c:v>196563</c:v>
                </c:pt>
                <c:pt idx="1">
                  <c:v>119035</c:v>
                </c:pt>
              </c:numCache>
            </c:numRef>
          </c:val>
        </c:ser>
        <c:ser>
          <c:idx val="3"/>
          <c:order val="3"/>
          <c:tx>
            <c:strRef>
              <c:f>Sheet1!$A$5</c:f>
              <c:strCache>
                <c:ptCount val="1"/>
                <c:pt idx="0">
                  <c:v>2014</c:v>
                </c:pt>
              </c:strCache>
            </c:strRef>
          </c:tx>
          <c:spPr>
            <a:solidFill>
              <a:srgbClr val="CCFFFF"/>
            </a:solidFill>
            <a:ln w="10696">
              <a:solidFill>
                <a:srgbClr val="000000"/>
              </a:solidFill>
              <a:prstDash val="solid"/>
            </a:ln>
          </c:spPr>
          <c:cat>
            <c:strRef>
              <c:f>Sheet1!$B$1:$C$1</c:f>
              <c:strCache>
                <c:ptCount val="2"/>
                <c:pt idx="0">
                  <c:v>Urban </c:v>
                </c:pt>
                <c:pt idx="1">
                  <c:v>Rural</c:v>
                </c:pt>
              </c:strCache>
            </c:strRef>
          </c:cat>
          <c:val>
            <c:numRef>
              <c:f>Sheet1!$B$5:$C$5</c:f>
              <c:numCache>
                <c:formatCode>General</c:formatCode>
                <c:ptCount val="2"/>
                <c:pt idx="0">
                  <c:v>194025</c:v>
                </c:pt>
                <c:pt idx="1">
                  <c:v>118064</c:v>
                </c:pt>
              </c:numCache>
            </c:numRef>
          </c:val>
        </c:ser>
        <c:ser>
          <c:idx val="4"/>
          <c:order val="4"/>
          <c:tx>
            <c:strRef>
              <c:f>Sheet1!#REF!</c:f>
              <c:strCache>
                <c:ptCount val="1"/>
                <c:pt idx="0">
                  <c:v>#REF!</c:v>
                </c:pt>
              </c:strCache>
            </c:strRef>
          </c:tx>
          <c:spPr>
            <a:solidFill>
              <a:srgbClr val="660066"/>
            </a:solidFill>
            <a:ln w="10696">
              <a:solidFill>
                <a:srgbClr val="000000"/>
              </a:solidFill>
              <a:prstDash val="solid"/>
            </a:ln>
          </c:spPr>
          <c:cat>
            <c:strRef>
              <c:f>Sheet1!$B$1:$C$1</c:f>
              <c:strCache>
                <c:ptCount val="2"/>
                <c:pt idx="0">
                  <c:v>Urban </c:v>
                </c:pt>
                <c:pt idx="1">
                  <c:v>Rural</c:v>
                </c:pt>
              </c:strCache>
            </c:strRef>
          </c:cat>
          <c:val>
            <c:numRef>
              <c:f>Sheet1!#REF!</c:f>
              <c:numCache>
                <c:formatCode>General</c:formatCode>
                <c:ptCount val="1"/>
                <c:pt idx="0">
                  <c:v>1</c:v>
                </c:pt>
              </c:numCache>
            </c:numRef>
          </c:val>
        </c:ser>
        <c:axId val="146702336"/>
        <c:axId val="146703872"/>
      </c:barChart>
      <c:catAx>
        <c:axId val="146702336"/>
        <c:scaling>
          <c:orientation val="minMax"/>
        </c:scaling>
        <c:axPos val="b"/>
        <c:numFmt formatCode="General" sourceLinked="1"/>
        <c:tickLblPos val="nextTo"/>
        <c:spPr>
          <a:ln w="2674">
            <a:solidFill>
              <a:srgbClr val="000000"/>
            </a:solidFill>
            <a:prstDash val="solid"/>
          </a:ln>
        </c:spPr>
        <c:txPr>
          <a:bodyPr rot="0" vert="horz"/>
          <a:lstStyle/>
          <a:p>
            <a:pPr>
              <a:defRPr sz="819" b="1" i="0" u="none" strike="noStrike" baseline="0">
                <a:solidFill>
                  <a:srgbClr val="000000"/>
                </a:solidFill>
                <a:latin typeface="Calibri"/>
                <a:ea typeface="Calibri"/>
                <a:cs typeface="Calibri"/>
              </a:defRPr>
            </a:pPr>
            <a:endParaRPr lang="ro-RO"/>
          </a:p>
        </c:txPr>
        <c:crossAx val="146703872"/>
        <c:crosses val="autoZero"/>
        <c:auto val="1"/>
        <c:lblAlgn val="ctr"/>
        <c:lblOffset val="100"/>
        <c:tickLblSkip val="1"/>
        <c:tickMarkSkip val="1"/>
      </c:catAx>
      <c:valAx>
        <c:axId val="146703872"/>
        <c:scaling>
          <c:orientation val="minMax"/>
        </c:scaling>
        <c:axPos val="l"/>
        <c:majorGridlines>
          <c:spPr>
            <a:ln w="2674">
              <a:solidFill>
                <a:srgbClr val="000000"/>
              </a:solidFill>
              <a:prstDash val="solid"/>
            </a:ln>
          </c:spPr>
        </c:majorGridlines>
        <c:numFmt formatCode="General" sourceLinked="1"/>
        <c:tickLblPos val="nextTo"/>
        <c:spPr>
          <a:ln w="2674">
            <a:solidFill>
              <a:srgbClr val="000000"/>
            </a:solidFill>
            <a:prstDash val="solid"/>
          </a:ln>
        </c:spPr>
        <c:txPr>
          <a:bodyPr rot="0" vert="horz"/>
          <a:lstStyle/>
          <a:p>
            <a:pPr>
              <a:defRPr sz="819" b="1" i="0" u="none" strike="noStrike" baseline="0">
                <a:solidFill>
                  <a:srgbClr val="000000"/>
                </a:solidFill>
                <a:latin typeface="Calibri"/>
                <a:ea typeface="Calibri"/>
                <a:cs typeface="Calibri"/>
              </a:defRPr>
            </a:pPr>
            <a:endParaRPr lang="ro-RO"/>
          </a:p>
        </c:txPr>
        <c:crossAx val="146702336"/>
        <c:crosses val="autoZero"/>
        <c:crossBetween val="between"/>
      </c:valAx>
      <c:spPr>
        <a:solidFill>
          <a:srgbClr val="C0C0C0"/>
        </a:solidFill>
        <a:ln w="10696">
          <a:solidFill>
            <a:srgbClr val="808080"/>
          </a:solidFill>
          <a:prstDash val="solid"/>
        </a:ln>
      </c:spPr>
    </c:plotArea>
    <c:legend>
      <c:legendPos val="r"/>
      <c:legendEntry>
        <c:idx val="4"/>
        <c:delete val="1"/>
      </c:legendEntry>
      <c:layout>
        <c:manualLayout>
          <c:xMode val="edge"/>
          <c:yMode val="edge"/>
          <c:x val="0.85753438784753344"/>
          <c:y val="0.21621640843281853"/>
          <c:w val="0.13150665458853061"/>
          <c:h val="0.47747726695453596"/>
        </c:manualLayout>
      </c:layout>
      <c:spPr>
        <a:noFill/>
        <a:ln w="2674">
          <a:solidFill>
            <a:srgbClr val="000000"/>
          </a:solidFill>
          <a:prstDash val="solid"/>
        </a:ln>
      </c:spPr>
      <c:txPr>
        <a:bodyPr/>
        <a:lstStyle/>
        <a:p>
          <a:pPr>
            <a:defRPr sz="753" b="1" i="0" u="none" strike="noStrike" baseline="0">
              <a:solidFill>
                <a:srgbClr val="000000"/>
              </a:solidFill>
              <a:latin typeface="Calibri"/>
              <a:ea typeface="Calibri"/>
              <a:cs typeface="Calibri"/>
            </a:defRPr>
          </a:pPr>
          <a:endParaRPr lang="ro-RO"/>
        </a:p>
      </c:txPr>
    </c:legend>
    <c:plotVisOnly val="1"/>
    <c:dispBlanksAs val="gap"/>
  </c:chart>
  <c:spPr>
    <a:noFill/>
    <a:ln w="6350" cap="flat" cmpd="sng" algn="ctr">
      <a:solidFill>
        <a:srgbClr val="000000"/>
      </a:solidFill>
      <a:prstDash val="solid"/>
      <a:miter lim="800000"/>
      <a:headEnd type="none" w="med" len="med"/>
      <a:tailEnd type="none" w="med" len="med"/>
    </a:ln>
  </c:spPr>
  <c:txPr>
    <a:bodyPr/>
    <a:lstStyle/>
    <a:p>
      <a:pPr>
        <a:defRPr sz="819" b="1" i="0" u="none" strike="noStrike" baseline="0">
          <a:solidFill>
            <a:srgbClr val="000000"/>
          </a:solidFill>
          <a:latin typeface="Calibri"/>
          <a:ea typeface="Calibri"/>
          <a:cs typeface="Calibri"/>
        </a:defRPr>
      </a:pPr>
      <a:endParaRPr lang="ro-RO"/>
    </a:p>
  </c:txPr>
  <c:externalData r:id="rId2"/>
</c:chartSpace>
</file>

<file path=word/charts/chart77.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764237778525147E-2"/>
          <c:y val="5.5461317785157796E-2"/>
          <c:w val="0.39322437299712054"/>
          <c:h val="0.8612355814621736"/>
        </c:manualLayout>
      </c:layout>
      <c:barChart>
        <c:barDir val="col"/>
        <c:grouping val="clustered"/>
        <c:ser>
          <c:idx val="0"/>
          <c:order val="0"/>
          <c:tx>
            <c:strRef>
              <c:f>Sheet1!$B$1</c:f>
              <c:strCache>
                <c:ptCount val="1"/>
                <c:pt idx="0">
                  <c:v>Urban</c:v>
                </c:pt>
              </c:strCache>
            </c:strRef>
          </c:tx>
          <c:spPr>
            <a:solidFill>
              <a:srgbClr val="C00000"/>
            </a:solidFill>
          </c:spPr>
          <c:dLbls>
            <c:showVal val="1"/>
          </c:dLbls>
          <c:cat>
            <c:numRef>
              <c:f>Sheet1!$A$2</c:f>
              <c:numCache>
                <c:formatCode>General</c:formatCode>
                <c:ptCount val="1"/>
              </c:numCache>
            </c:numRef>
          </c:cat>
          <c:val>
            <c:numRef>
              <c:f>Sheet1!$B$2</c:f>
              <c:numCache>
                <c:formatCode>0.00%</c:formatCode>
                <c:ptCount val="1"/>
                <c:pt idx="0">
                  <c:v>-3.3599999999999998E-2</c:v>
                </c:pt>
              </c:numCache>
            </c:numRef>
          </c:val>
        </c:ser>
        <c:ser>
          <c:idx val="1"/>
          <c:order val="1"/>
          <c:tx>
            <c:strRef>
              <c:f>Sheet1!$C$1</c:f>
              <c:strCache>
                <c:ptCount val="1"/>
                <c:pt idx="0">
                  <c:v>Rural</c:v>
                </c:pt>
              </c:strCache>
            </c:strRef>
          </c:tx>
          <c:spPr>
            <a:solidFill>
              <a:srgbClr val="00B050"/>
            </a:solidFill>
          </c:spPr>
          <c:dLbls>
            <c:dLbl>
              <c:idx val="0"/>
              <c:layout>
                <c:manualLayout>
                  <c:x val="4.9322399554156855E-2"/>
                  <c:y val="0"/>
                </c:manualLayout>
              </c:layout>
              <c:showVal val="1"/>
            </c:dLbl>
            <c:showVal val="1"/>
          </c:dLbls>
          <c:cat>
            <c:numRef>
              <c:f>Sheet1!$A$2</c:f>
              <c:numCache>
                <c:formatCode>General</c:formatCode>
                <c:ptCount val="1"/>
              </c:numCache>
            </c:numRef>
          </c:cat>
          <c:val>
            <c:numRef>
              <c:f>Sheet1!$C$2</c:f>
              <c:numCache>
                <c:formatCode>0.00%</c:formatCode>
                <c:ptCount val="1"/>
                <c:pt idx="0">
                  <c:v>-1.190000000000007E-2</c:v>
                </c:pt>
              </c:numCache>
            </c:numRef>
          </c:val>
        </c:ser>
        <c:axId val="87755392"/>
        <c:axId val="88363392"/>
      </c:barChart>
      <c:catAx>
        <c:axId val="87755392"/>
        <c:scaling>
          <c:orientation val="minMax"/>
        </c:scaling>
        <c:axPos val="b"/>
        <c:numFmt formatCode="General" sourceLinked="1"/>
        <c:tickLblPos val="nextTo"/>
        <c:crossAx val="88363392"/>
        <c:crosses val="autoZero"/>
        <c:auto val="1"/>
        <c:lblAlgn val="ctr"/>
        <c:lblOffset val="100"/>
      </c:catAx>
      <c:valAx>
        <c:axId val="88363392"/>
        <c:scaling>
          <c:orientation val="minMax"/>
        </c:scaling>
        <c:axPos val="l"/>
        <c:majorGridlines/>
        <c:numFmt formatCode="0.00%" sourceLinked="1"/>
        <c:tickLblPos val="nextTo"/>
        <c:crossAx val="87755392"/>
        <c:crosses val="autoZero"/>
        <c:crossBetween val="between"/>
      </c:valAx>
    </c:plotArea>
    <c:legend>
      <c:legendPos val="r"/>
      <c:legendEntry>
        <c:idx val="0"/>
        <c:txPr>
          <a:bodyPr/>
          <a:lstStyle/>
          <a:p>
            <a:pPr>
              <a:defRPr sz="1100"/>
            </a:pPr>
            <a:endParaRPr lang="ro-RO"/>
          </a:p>
        </c:txPr>
      </c:legendEntry>
      <c:legendEntry>
        <c:idx val="1"/>
        <c:txPr>
          <a:bodyPr/>
          <a:lstStyle/>
          <a:p>
            <a:pPr>
              <a:defRPr sz="1100"/>
            </a:pPr>
            <a:endParaRPr lang="ro-RO"/>
          </a:p>
        </c:txPr>
      </c:legendEntry>
      <c:layout>
        <c:manualLayout>
          <c:xMode val="edge"/>
          <c:yMode val="edge"/>
          <c:x val="0.72418875332780563"/>
          <c:y val="0.56550247832428002"/>
          <c:w val="0.27581124667219425"/>
          <c:h val="0.43449748661733206"/>
        </c:manualLayout>
      </c:layout>
    </c:legend>
    <c:plotVisOnly val="1"/>
  </c:chart>
  <c:spPr>
    <a:solidFill>
      <a:srgbClr val="FFFFDD"/>
    </a:solidFill>
  </c:spPr>
  <c:externalData r:id="rId1"/>
</c:chartSpace>
</file>

<file path=word/charts/chart78.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200" b="0"/>
              <a:t>Densitatea populației județului Brăila</a:t>
            </a:r>
            <a:endParaRPr lang="ro-RO" sz="1200" b="0"/>
          </a:p>
          <a:p>
            <a:pPr>
              <a:defRPr/>
            </a:pPr>
            <a:r>
              <a:rPr lang="ro-RO" sz="1200" b="0"/>
              <a:t> (locuitori/km</a:t>
            </a:r>
            <a:r>
              <a:rPr lang="ro-RO" sz="1200" b="0" baseline="0"/>
              <a:t> 2)</a:t>
            </a:r>
            <a:endParaRPr lang="vi-VN" sz="1200" b="0"/>
          </a:p>
        </c:rich>
      </c:tx>
    </c:title>
    <c:plotArea>
      <c:layout>
        <c:manualLayout>
          <c:layoutTarget val="inner"/>
          <c:xMode val="edge"/>
          <c:yMode val="edge"/>
          <c:x val="9.0553044912753566E-2"/>
          <c:y val="0.23323348177361444"/>
          <c:w val="0.83668490709487287"/>
          <c:h val="0.50791049347708461"/>
        </c:manualLayout>
      </c:layout>
      <c:lineChart>
        <c:grouping val="standard"/>
        <c:ser>
          <c:idx val="0"/>
          <c:order val="0"/>
          <c:tx>
            <c:strRef>
              <c:f>Sheet1!$B$1</c:f>
              <c:strCache>
                <c:ptCount val="1"/>
                <c:pt idx="0">
                  <c:v>Densitatea populației județului Brăila</c:v>
                </c:pt>
              </c:strCache>
            </c:strRef>
          </c:tx>
          <c:cat>
            <c:numRef>
              <c:f>Sheet1!$A$2:$A$5</c:f>
              <c:numCache>
                <c:formatCode>General</c:formatCode>
                <c:ptCount val="4"/>
                <c:pt idx="0">
                  <c:v>2011</c:v>
                </c:pt>
                <c:pt idx="1">
                  <c:v>2012</c:v>
                </c:pt>
                <c:pt idx="2">
                  <c:v>2013</c:v>
                </c:pt>
                <c:pt idx="3">
                  <c:v>2014</c:v>
                </c:pt>
              </c:numCache>
            </c:numRef>
          </c:cat>
          <c:val>
            <c:numRef>
              <c:f>Sheet1!$B$2:$B$5</c:f>
              <c:numCache>
                <c:formatCode>General</c:formatCode>
                <c:ptCount val="4"/>
                <c:pt idx="0">
                  <c:v>67.39</c:v>
                </c:pt>
                <c:pt idx="1">
                  <c:v>67.08</c:v>
                </c:pt>
                <c:pt idx="2">
                  <c:v>66.22</c:v>
                </c:pt>
                <c:pt idx="3">
                  <c:v>65.489999999999995</c:v>
                </c:pt>
              </c:numCache>
            </c:numRef>
          </c:val>
        </c:ser>
        <c:marker val="1"/>
        <c:axId val="146728448"/>
        <c:axId val="87798528"/>
      </c:lineChart>
      <c:catAx>
        <c:axId val="146728448"/>
        <c:scaling>
          <c:orientation val="minMax"/>
        </c:scaling>
        <c:axPos val="b"/>
        <c:numFmt formatCode="General" sourceLinked="1"/>
        <c:tickLblPos val="nextTo"/>
        <c:crossAx val="87798528"/>
        <c:crosses val="autoZero"/>
        <c:auto val="1"/>
        <c:lblAlgn val="ctr"/>
        <c:lblOffset val="100"/>
      </c:catAx>
      <c:valAx>
        <c:axId val="87798528"/>
        <c:scaling>
          <c:orientation val="minMax"/>
        </c:scaling>
        <c:axPos val="l"/>
        <c:majorGridlines/>
        <c:numFmt formatCode="General" sourceLinked="1"/>
        <c:tickLblPos val="nextTo"/>
        <c:crossAx val="146728448"/>
        <c:crosses val="autoZero"/>
        <c:crossBetween val="between"/>
      </c:valAx>
    </c:plotArea>
    <c:legend>
      <c:legendPos val="r"/>
      <c:layout>
        <c:manualLayout>
          <c:xMode val="edge"/>
          <c:yMode val="edge"/>
          <c:x val="0.18783109505332449"/>
          <c:y val="0.87697600594295755"/>
          <c:w val="0.6050462962962988"/>
          <c:h val="0.11970566179227612"/>
        </c:manualLayout>
      </c:layout>
    </c:legend>
    <c:plotVisOnly val="1"/>
  </c:chart>
  <c:spPr>
    <a:solidFill>
      <a:srgbClr val="FFFFC5">
        <a:alpha val="39000"/>
      </a:srgbClr>
    </a:solidFill>
    <a:ln>
      <a:solidFill>
        <a:sysClr val="windowText" lastClr="000000">
          <a:alpha val="41000"/>
        </a:sysClr>
      </a:solidFill>
    </a:ln>
  </c:spPr>
  <c:externalData r:id="rId1"/>
</c:chartSpace>
</file>

<file path=word/charts/chart79.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1458664999133771E-2"/>
          <c:y val="0.10314976545083072"/>
          <c:w val="0.70628747882513432"/>
          <c:h val="0.5216822638615255"/>
        </c:manualLayout>
      </c:layout>
      <c:barChart>
        <c:barDir val="bar"/>
        <c:grouping val="clustered"/>
        <c:ser>
          <c:idx val="0"/>
          <c:order val="0"/>
          <c:tx>
            <c:strRef>
              <c:f>Sheet1!$B$1</c:f>
              <c:strCache>
                <c:ptCount val="1"/>
                <c:pt idx="0">
                  <c:v>Total terenuri urbane și  artificiale</c:v>
                </c:pt>
              </c:strCache>
            </c:strRef>
          </c:tx>
          <c:spPr>
            <a:solidFill>
              <a:schemeClr val="accent4">
                <a:lumMod val="75000"/>
              </a:schemeClr>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21278</c:v>
                </c:pt>
                <c:pt idx="1">
                  <c:v>21645</c:v>
                </c:pt>
                <c:pt idx="2">
                  <c:v>21663</c:v>
                </c:pt>
                <c:pt idx="3">
                  <c:v>21859</c:v>
                </c:pt>
                <c:pt idx="4">
                  <c:v>21880</c:v>
                </c:pt>
              </c:numCache>
            </c:numRef>
          </c:val>
        </c:ser>
        <c:ser>
          <c:idx val="1"/>
          <c:order val="1"/>
          <c:tx>
            <c:strRef>
              <c:f>Sheet1!$C$1</c:f>
              <c:strCache>
                <c:ptCount val="1"/>
                <c:pt idx="0">
                  <c:v>Curți construcții</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12735</c:v>
                </c:pt>
                <c:pt idx="1">
                  <c:v>13058</c:v>
                </c:pt>
                <c:pt idx="2">
                  <c:v>13066</c:v>
                </c:pt>
                <c:pt idx="3">
                  <c:v>13267</c:v>
                </c:pt>
                <c:pt idx="4">
                  <c:v>13294</c:v>
                </c:pt>
              </c:numCache>
            </c:numRef>
          </c:val>
        </c:ser>
        <c:ser>
          <c:idx val="2"/>
          <c:order val="2"/>
          <c:tx>
            <c:strRef>
              <c:f>Sheet1!$D$1</c:f>
              <c:strCache>
                <c:ptCount val="1"/>
                <c:pt idx="0">
                  <c:v>Drumuri și căi ferate</c:v>
                </c:pt>
              </c:strCache>
            </c:strRef>
          </c:tx>
          <c:spPr>
            <a:solidFill>
              <a:srgbClr val="FFC000"/>
            </a:solidFill>
          </c:spPr>
          <c:cat>
            <c:numRef>
              <c:f>Sheet1!$A$2:$A$6</c:f>
              <c:numCache>
                <c:formatCode>General</c:formatCode>
                <c:ptCount val="5"/>
                <c:pt idx="0">
                  <c:v>2010</c:v>
                </c:pt>
                <c:pt idx="1">
                  <c:v>2011</c:v>
                </c:pt>
                <c:pt idx="2">
                  <c:v>2012</c:v>
                </c:pt>
                <c:pt idx="3">
                  <c:v>2013</c:v>
                </c:pt>
                <c:pt idx="4">
                  <c:v>2014</c:v>
                </c:pt>
              </c:numCache>
            </c:numRef>
          </c:cat>
          <c:val>
            <c:numRef>
              <c:f>Sheet1!$D$2:$D$6</c:f>
              <c:numCache>
                <c:formatCode>General</c:formatCode>
                <c:ptCount val="5"/>
                <c:pt idx="0">
                  <c:v>8543</c:v>
                </c:pt>
                <c:pt idx="1">
                  <c:v>8587</c:v>
                </c:pt>
                <c:pt idx="2">
                  <c:v>8597</c:v>
                </c:pt>
                <c:pt idx="3">
                  <c:v>8592</c:v>
                </c:pt>
                <c:pt idx="4">
                  <c:v>8586</c:v>
                </c:pt>
              </c:numCache>
            </c:numRef>
          </c:val>
        </c:ser>
        <c:axId val="149765120"/>
        <c:axId val="149771008"/>
      </c:barChart>
      <c:catAx>
        <c:axId val="149765120"/>
        <c:scaling>
          <c:orientation val="minMax"/>
        </c:scaling>
        <c:axPos val="l"/>
        <c:numFmt formatCode="General" sourceLinked="1"/>
        <c:tickLblPos val="nextTo"/>
        <c:crossAx val="149771008"/>
        <c:crosses val="autoZero"/>
        <c:auto val="1"/>
        <c:lblAlgn val="ctr"/>
        <c:lblOffset val="100"/>
      </c:catAx>
      <c:valAx>
        <c:axId val="149771008"/>
        <c:scaling>
          <c:orientation val="minMax"/>
        </c:scaling>
        <c:axPos val="b"/>
        <c:majorGridlines/>
        <c:numFmt formatCode="General" sourceLinked="1"/>
        <c:tickLblPos val="nextTo"/>
        <c:crossAx val="149765120"/>
        <c:crosses val="autoZero"/>
        <c:crossBetween val="between"/>
      </c:valAx>
    </c:plotArea>
    <c:legend>
      <c:legendPos val="r"/>
      <c:legendEntry>
        <c:idx val="0"/>
        <c:txPr>
          <a:bodyPr/>
          <a:lstStyle/>
          <a:p>
            <a:pPr>
              <a:defRPr sz="1100">
                <a:latin typeface="Times New Roman" pitchFamily="18" charset="0"/>
                <a:cs typeface="Times New Roman" pitchFamily="18" charset="0"/>
              </a:defRPr>
            </a:pPr>
            <a:endParaRPr lang="ro-RO"/>
          </a:p>
        </c:txPr>
      </c:legendEntry>
      <c:legendEntry>
        <c:idx val="1"/>
        <c:txPr>
          <a:bodyPr/>
          <a:lstStyle/>
          <a:p>
            <a:pPr>
              <a:defRPr sz="1100">
                <a:latin typeface="Times New Roman" pitchFamily="18" charset="0"/>
                <a:cs typeface="Times New Roman" pitchFamily="18" charset="0"/>
              </a:defRPr>
            </a:pPr>
            <a:endParaRPr lang="ro-RO"/>
          </a:p>
        </c:txPr>
      </c:legendEntry>
      <c:legendEntry>
        <c:idx val="2"/>
        <c:txPr>
          <a:bodyPr/>
          <a:lstStyle/>
          <a:p>
            <a:pPr>
              <a:defRPr sz="1100">
                <a:latin typeface="Times New Roman" pitchFamily="18" charset="0"/>
                <a:cs typeface="Times New Roman" pitchFamily="18" charset="0"/>
              </a:defRPr>
            </a:pPr>
            <a:endParaRPr lang="ro-RO"/>
          </a:p>
        </c:txPr>
      </c:legendEntry>
      <c:layout>
        <c:manualLayout>
          <c:xMode val="edge"/>
          <c:yMode val="edge"/>
          <c:x val="3.5697452558886025E-2"/>
          <c:y val="0.82623851933851356"/>
          <c:w val="0.94231837873754265"/>
          <c:h val="8.2323041634058472E-2"/>
        </c:manualLayout>
      </c:layout>
    </c:legend>
    <c:plotVisOnly val="1"/>
  </c:chart>
  <c:spPr>
    <a:solidFill>
      <a:srgbClr val="FFFFDD">
        <a:alpha val="72000"/>
      </a:srgbClr>
    </a:solidFill>
  </c:spPr>
  <c:externalData r:id="rId1"/>
</c:chartSpace>
</file>

<file path=word/charts/chart8.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48"/>
      <c:hPercent val="46"/>
      <c:rotY val="44"/>
      <c:depthPercent val="100"/>
      <c:rAngAx val="1"/>
    </c:view3D>
    <c:floor>
      <c:spPr>
        <a:no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7.3954983922829592E-2"/>
          <c:y val="2.1897810218978492E-2"/>
          <c:w val="0.67202572347266964"/>
          <c:h val="0.5948905109489051"/>
        </c:manualLayout>
      </c:layout>
      <c:bar3DChart>
        <c:barDir val="col"/>
        <c:grouping val="clustered"/>
        <c:ser>
          <c:idx val="0"/>
          <c:order val="0"/>
          <c:tx>
            <c:strRef>
              <c:f>Sheet1!$A$2</c:f>
              <c:strCache>
                <c:ptCount val="1"/>
                <c:pt idx="0">
                  <c:v>Medii anuale nef. 2008</c:v>
                </c:pt>
              </c:strCache>
            </c:strRef>
          </c:tx>
          <c:spPr>
            <a:solidFill>
              <a:srgbClr val="9999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Sheet1!$B$2:$G$2</c:f>
              <c:numCache>
                <c:formatCode>General</c:formatCode>
                <c:ptCount val="6"/>
                <c:pt idx="0">
                  <c:v>28.54</c:v>
                </c:pt>
                <c:pt idx="3">
                  <c:v>32.54</c:v>
                </c:pt>
                <c:pt idx="4">
                  <c:v>38.290000000000013</c:v>
                </c:pt>
                <c:pt idx="5">
                  <c:v>24.759999999999987</c:v>
                </c:pt>
              </c:numCache>
            </c:numRef>
          </c:val>
        </c:ser>
        <c:ser>
          <c:idx val="1"/>
          <c:order val="1"/>
          <c:tx>
            <c:strRef>
              <c:f>Sheet1!$A$3</c:f>
              <c:strCache>
                <c:ptCount val="1"/>
                <c:pt idx="0">
                  <c:v>Medii anuale nef. 2009</c:v>
                </c:pt>
              </c:strCache>
            </c:strRef>
          </c:tx>
          <c:spPr>
            <a:solidFill>
              <a:srgbClr val="993366"/>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Sheet1!$B$3:$G$3</c:f>
              <c:numCache>
                <c:formatCode>General</c:formatCode>
                <c:ptCount val="6"/>
                <c:pt idx="0">
                  <c:v>22.64</c:v>
                </c:pt>
                <c:pt idx="1">
                  <c:v>15.46</c:v>
                </c:pt>
                <c:pt idx="3">
                  <c:v>22.25</c:v>
                </c:pt>
                <c:pt idx="4">
                  <c:v>27.16</c:v>
                </c:pt>
                <c:pt idx="5">
                  <c:v>28.87</c:v>
                </c:pt>
              </c:numCache>
            </c:numRef>
          </c:val>
        </c:ser>
        <c:ser>
          <c:idx val="5"/>
          <c:order val="2"/>
          <c:tx>
            <c:strRef>
              <c:f>Sheet1!$A$4</c:f>
              <c:strCache>
                <c:ptCount val="1"/>
                <c:pt idx="0">
                  <c:v>Medii anuale nef. 2010</c:v>
                </c:pt>
              </c:strCache>
            </c:strRef>
          </c:tx>
          <c:spPr>
            <a:solidFill>
              <a:srgbClr val="FF8080"/>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Sheet1!$B$4:$G$4</c:f>
              <c:numCache>
                <c:formatCode>General</c:formatCode>
                <c:ptCount val="6"/>
                <c:pt idx="0">
                  <c:v>29.07</c:v>
                </c:pt>
                <c:pt idx="1">
                  <c:v>19.2</c:v>
                </c:pt>
                <c:pt idx="3">
                  <c:v>27.259999999999987</c:v>
                </c:pt>
                <c:pt idx="4">
                  <c:v>19.829999999999988</c:v>
                </c:pt>
                <c:pt idx="5">
                  <c:v>29.1</c:v>
                </c:pt>
              </c:numCache>
            </c:numRef>
          </c:val>
        </c:ser>
        <c:ser>
          <c:idx val="7"/>
          <c:order val="3"/>
          <c:tx>
            <c:strRef>
              <c:f>Sheet1!$A$5</c:f>
              <c:strCache>
                <c:ptCount val="1"/>
                <c:pt idx="0">
                  <c:v>Medii anuale nef. 2011</c:v>
                </c:pt>
              </c:strCache>
            </c:strRef>
          </c:tx>
          <c:spPr>
            <a:solidFill>
              <a:srgbClr val="CCCC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Sheet1!$B$5:$G$5</c:f>
              <c:numCache>
                <c:formatCode>General</c:formatCode>
                <c:ptCount val="6"/>
                <c:pt idx="2">
                  <c:v>29.51</c:v>
                </c:pt>
                <c:pt idx="3">
                  <c:v>32.89</c:v>
                </c:pt>
                <c:pt idx="4">
                  <c:v>30.650000000000031</c:v>
                </c:pt>
                <c:pt idx="5">
                  <c:v>35.4</c:v>
                </c:pt>
              </c:numCache>
            </c:numRef>
          </c:val>
        </c:ser>
        <c:ser>
          <c:idx val="9"/>
          <c:order val="4"/>
          <c:tx>
            <c:strRef>
              <c:f>Sheet1!$A$6</c:f>
              <c:strCache>
                <c:ptCount val="1"/>
                <c:pt idx="0">
                  <c:v>Medii anuale nef. 2012</c:v>
                </c:pt>
              </c:strCache>
            </c:strRef>
          </c:tx>
          <c:spPr>
            <a:solidFill>
              <a:srgbClr val="FF00FF"/>
            </a:solidFill>
            <a:ln w="12700">
              <a:solidFill>
                <a:srgbClr val="000000"/>
              </a:solidFill>
              <a:prstDash val="solid"/>
            </a:ln>
          </c:spPr>
          <c:cat>
            <c:strRef>
              <c:f>Sheet1!$B$1:$G$1</c:f>
              <c:strCache>
                <c:ptCount val="6"/>
                <c:pt idx="0">
                  <c:v>Br1</c:v>
                </c:pt>
                <c:pt idx="1">
                  <c:v>Br2-PM2,5</c:v>
                </c:pt>
                <c:pt idx="2">
                  <c:v>Br2-PM10</c:v>
                </c:pt>
                <c:pt idx="3">
                  <c:v>Br3</c:v>
                </c:pt>
                <c:pt idx="4">
                  <c:v>Br4</c:v>
                </c:pt>
                <c:pt idx="5">
                  <c:v>Br5</c:v>
                </c:pt>
              </c:strCache>
            </c:strRef>
          </c:cat>
          <c:val>
            <c:numRef>
              <c:f>Sheet1!$B$6:$G$6</c:f>
              <c:numCache>
                <c:formatCode>General</c:formatCode>
                <c:ptCount val="6"/>
                <c:pt idx="2">
                  <c:v>22.610000000000031</c:v>
                </c:pt>
                <c:pt idx="3">
                  <c:v>27.419999999999987</c:v>
                </c:pt>
                <c:pt idx="4">
                  <c:v>27.830000000000005</c:v>
                </c:pt>
                <c:pt idx="5">
                  <c:v>28.310000000000031</c:v>
                </c:pt>
              </c:numCache>
            </c:numRef>
          </c:val>
        </c:ser>
        <c:ser>
          <c:idx val="10"/>
          <c:order val="5"/>
          <c:tx>
            <c:strRef>
              <c:f>Sheet1!$A$7</c:f>
              <c:strCache>
                <c:ptCount val="1"/>
                <c:pt idx="0">
                  <c:v>Medii anuale nef. 2013</c:v>
                </c:pt>
              </c:strCache>
            </c:strRef>
          </c:tx>
          <c:cat>
            <c:strRef>
              <c:f>Sheet1!$B$1:$G$1</c:f>
              <c:strCache>
                <c:ptCount val="6"/>
                <c:pt idx="0">
                  <c:v>Br1</c:v>
                </c:pt>
                <c:pt idx="1">
                  <c:v>Br2-PM2,5</c:v>
                </c:pt>
                <c:pt idx="2">
                  <c:v>Br2-PM10</c:v>
                </c:pt>
                <c:pt idx="3">
                  <c:v>Br3</c:v>
                </c:pt>
                <c:pt idx="4">
                  <c:v>Br4</c:v>
                </c:pt>
                <c:pt idx="5">
                  <c:v>Br5</c:v>
                </c:pt>
              </c:strCache>
            </c:strRef>
          </c:cat>
          <c:val>
            <c:numRef>
              <c:f>Sheet1!$B$7:$G$7</c:f>
              <c:numCache>
                <c:formatCode>General</c:formatCode>
                <c:ptCount val="6"/>
                <c:pt idx="3">
                  <c:v>43.220000000000013</c:v>
                </c:pt>
                <c:pt idx="5">
                  <c:v>36.5</c:v>
                </c:pt>
              </c:numCache>
            </c:numRef>
          </c:val>
        </c:ser>
        <c:ser>
          <c:idx val="2"/>
          <c:order val="6"/>
          <c:tx>
            <c:strRef>
              <c:f>Sheet1!$A$8</c:f>
              <c:strCache>
                <c:ptCount val="1"/>
                <c:pt idx="0">
                  <c:v>Medii anuale nef. 2014</c:v>
                </c:pt>
              </c:strCache>
            </c:strRef>
          </c:tx>
          <c:cat>
            <c:strRef>
              <c:f>Sheet1!$B$1:$G$1</c:f>
              <c:strCache>
                <c:ptCount val="6"/>
                <c:pt idx="0">
                  <c:v>Br1</c:v>
                </c:pt>
                <c:pt idx="1">
                  <c:v>Br2-PM2,5</c:v>
                </c:pt>
                <c:pt idx="2">
                  <c:v>Br2-PM10</c:v>
                </c:pt>
                <c:pt idx="3">
                  <c:v>Br3</c:v>
                </c:pt>
                <c:pt idx="4">
                  <c:v>Br4</c:v>
                </c:pt>
                <c:pt idx="5">
                  <c:v>Br5</c:v>
                </c:pt>
              </c:strCache>
            </c:strRef>
          </c:cat>
          <c:val>
            <c:numRef>
              <c:f>Sheet1!$B$8:$G$8</c:f>
              <c:numCache>
                <c:formatCode>General</c:formatCode>
                <c:ptCount val="6"/>
                <c:pt idx="5">
                  <c:v>46.03</c:v>
                </c:pt>
              </c:numCache>
            </c:numRef>
          </c:val>
        </c:ser>
        <c:ser>
          <c:idx val="3"/>
          <c:order val="7"/>
          <c:tx>
            <c:strRef>
              <c:f>Sheet1!$A$9</c:f>
              <c:strCache>
                <c:ptCount val="1"/>
                <c:pt idx="0">
                  <c:v>Medii anuale grav. 2008</c:v>
                </c:pt>
              </c:strCache>
            </c:strRef>
          </c:tx>
          <c:cat>
            <c:strRef>
              <c:f>Sheet1!$B$1:$G$1</c:f>
              <c:strCache>
                <c:ptCount val="6"/>
                <c:pt idx="0">
                  <c:v>Br1</c:v>
                </c:pt>
                <c:pt idx="1">
                  <c:v>Br2-PM2,5</c:v>
                </c:pt>
                <c:pt idx="2">
                  <c:v>Br2-PM10</c:v>
                </c:pt>
                <c:pt idx="3">
                  <c:v>Br3</c:v>
                </c:pt>
                <c:pt idx="4">
                  <c:v>Br4</c:v>
                </c:pt>
                <c:pt idx="5">
                  <c:v>Br5</c:v>
                </c:pt>
              </c:strCache>
            </c:strRef>
          </c:cat>
          <c:val>
            <c:numRef>
              <c:f>Sheet1!$B$9:$G$9</c:f>
              <c:numCache>
                <c:formatCode>General</c:formatCode>
                <c:ptCount val="6"/>
                <c:pt idx="0">
                  <c:v>25.5</c:v>
                </c:pt>
                <c:pt idx="3">
                  <c:v>8.9700000000000006</c:v>
                </c:pt>
                <c:pt idx="4">
                  <c:v>21.3</c:v>
                </c:pt>
              </c:numCache>
            </c:numRef>
          </c:val>
        </c:ser>
        <c:ser>
          <c:idx val="4"/>
          <c:order val="8"/>
          <c:tx>
            <c:strRef>
              <c:f>Sheet1!$A$10</c:f>
              <c:strCache>
                <c:ptCount val="1"/>
                <c:pt idx="0">
                  <c:v>Medii anuale grav. 2009</c:v>
                </c:pt>
              </c:strCache>
            </c:strRef>
          </c:tx>
          <c:cat>
            <c:strRef>
              <c:f>Sheet1!$B$1:$G$1</c:f>
              <c:strCache>
                <c:ptCount val="6"/>
                <c:pt idx="0">
                  <c:v>Br1</c:v>
                </c:pt>
                <c:pt idx="1">
                  <c:v>Br2-PM2,5</c:v>
                </c:pt>
                <c:pt idx="2">
                  <c:v>Br2-PM10</c:v>
                </c:pt>
                <c:pt idx="3">
                  <c:v>Br3</c:v>
                </c:pt>
                <c:pt idx="4">
                  <c:v>Br4</c:v>
                </c:pt>
                <c:pt idx="5">
                  <c:v>Br5</c:v>
                </c:pt>
              </c:strCache>
            </c:strRef>
          </c:cat>
          <c:val>
            <c:numRef>
              <c:f>Sheet1!$B$10:$G$10</c:f>
              <c:numCache>
                <c:formatCode>General</c:formatCode>
                <c:ptCount val="6"/>
                <c:pt idx="0">
                  <c:v>21.5</c:v>
                </c:pt>
                <c:pt idx="1">
                  <c:v>13.6</c:v>
                </c:pt>
                <c:pt idx="3">
                  <c:v>23</c:v>
                </c:pt>
                <c:pt idx="4">
                  <c:v>27.3</c:v>
                </c:pt>
              </c:numCache>
            </c:numRef>
          </c:val>
        </c:ser>
        <c:ser>
          <c:idx val="6"/>
          <c:order val="9"/>
          <c:tx>
            <c:strRef>
              <c:f>Sheet1!$A$11</c:f>
              <c:strCache>
                <c:ptCount val="1"/>
                <c:pt idx="0">
                  <c:v>Medii anuale grav. 2010</c:v>
                </c:pt>
              </c:strCache>
            </c:strRef>
          </c:tx>
          <c:cat>
            <c:strRef>
              <c:f>Sheet1!$B$1:$G$1</c:f>
              <c:strCache>
                <c:ptCount val="6"/>
                <c:pt idx="0">
                  <c:v>Br1</c:v>
                </c:pt>
                <c:pt idx="1">
                  <c:v>Br2-PM2,5</c:v>
                </c:pt>
                <c:pt idx="2">
                  <c:v>Br2-PM10</c:v>
                </c:pt>
                <c:pt idx="3">
                  <c:v>Br3</c:v>
                </c:pt>
                <c:pt idx="4">
                  <c:v>Br4</c:v>
                </c:pt>
                <c:pt idx="5">
                  <c:v>Br5</c:v>
                </c:pt>
              </c:strCache>
            </c:strRef>
          </c:cat>
          <c:val>
            <c:numRef>
              <c:f>Sheet1!$B$11:$G$11</c:f>
              <c:numCache>
                <c:formatCode>General</c:formatCode>
                <c:ptCount val="6"/>
                <c:pt idx="0">
                  <c:v>34.190000000000012</c:v>
                </c:pt>
                <c:pt idx="1">
                  <c:v>19.899999999999999</c:v>
                </c:pt>
                <c:pt idx="3">
                  <c:v>23.57</c:v>
                </c:pt>
                <c:pt idx="4">
                  <c:v>18.57</c:v>
                </c:pt>
              </c:numCache>
            </c:numRef>
          </c:val>
        </c:ser>
        <c:ser>
          <c:idx val="8"/>
          <c:order val="10"/>
          <c:tx>
            <c:strRef>
              <c:f>Sheet1!$A$12</c:f>
              <c:strCache>
                <c:ptCount val="1"/>
                <c:pt idx="0">
                  <c:v>Medii anuale grav. 2011</c:v>
                </c:pt>
              </c:strCache>
            </c:strRef>
          </c:tx>
          <c:cat>
            <c:strRef>
              <c:f>Sheet1!$B$1:$G$1</c:f>
              <c:strCache>
                <c:ptCount val="6"/>
                <c:pt idx="0">
                  <c:v>Br1</c:v>
                </c:pt>
                <c:pt idx="1">
                  <c:v>Br2-PM2,5</c:v>
                </c:pt>
                <c:pt idx="2">
                  <c:v>Br2-PM10</c:v>
                </c:pt>
                <c:pt idx="3">
                  <c:v>Br3</c:v>
                </c:pt>
                <c:pt idx="4">
                  <c:v>Br4</c:v>
                </c:pt>
                <c:pt idx="5">
                  <c:v>Br5</c:v>
                </c:pt>
              </c:strCache>
            </c:strRef>
          </c:cat>
          <c:val>
            <c:numRef>
              <c:f>Sheet1!$B$12:$G$12</c:f>
              <c:numCache>
                <c:formatCode>General</c:formatCode>
                <c:ptCount val="6"/>
                <c:pt idx="1">
                  <c:v>18.600000000000001</c:v>
                </c:pt>
                <c:pt idx="3">
                  <c:v>22.73</c:v>
                </c:pt>
              </c:numCache>
            </c:numRef>
          </c:val>
        </c:ser>
        <c:ser>
          <c:idx val="11"/>
          <c:order val="11"/>
          <c:tx>
            <c:strRef>
              <c:f>Sheet1!$A$13</c:f>
              <c:strCache>
                <c:ptCount val="1"/>
                <c:pt idx="0">
                  <c:v>Medii anuale grav. 2012</c:v>
                </c:pt>
              </c:strCache>
            </c:strRef>
          </c:tx>
          <c:cat>
            <c:strRef>
              <c:f>Sheet1!$B$1:$G$1</c:f>
              <c:strCache>
                <c:ptCount val="6"/>
                <c:pt idx="0">
                  <c:v>Br1</c:v>
                </c:pt>
                <c:pt idx="1">
                  <c:v>Br2-PM2,5</c:v>
                </c:pt>
                <c:pt idx="2">
                  <c:v>Br2-PM10</c:v>
                </c:pt>
                <c:pt idx="3">
                  <c:v>Br3</c:v>
                </c:pt>
                <c:pt idx="4">
                  <c:v>Br4</c:v>
                </c:pt>
                <c:pt idx="5">
                  <c:v>Br5</c:v>
                </c:pt>
              </c:strCache>
            </c:strRef>
          </c:cat>
          <c:val>
            <c:numRef>
              <c:f>Sheet1!$B$13:$G$13</c:f>
              <c:numCache>
                <c:formatCode>General</c:formatCode>
                <c:ptCount val="6"/>
                <c:pt idx="1">
                  <c:v>21.610000000000031</c:v>
                </c:pt>
                <c:pt idx="3">
                  <c:v>30.939999999999987</c:v>
                </c:pt>
                <c:pt idx="4">
                  <c:v>21.259999999999987</c:v>
                </c:pt>
              </c:numCache>
            </c:numRef>
          </c:val>
        </c:ser>
        <c:ser>
          <c:idx val="12"/>
          <c:order val="12"/>
          <c:tx>
            <c:strRef>
              <c:f>Sheet1!$A$14</c:f>
              <c:strCache>
                <c:ptCount val="1"/>
                <c:pt idx="0">
                  <c:v>Medii anuale grav. 2013</c:v>
                </c:pt>
              </c:strCache>
            </c:strRef>
          </c:tx>
          <c:cat>
            <c:strRef>
              <c:f>Sheet1!$B$1:$G$1</c:f>
              <c:strCache>
                <c:ptCount val="6"/>
                <c:pt idx="0">
                  <c:v>Br1</c:v>
                </c:pt>
                <c:pt idx="1">
                  <c:v>Br2-PM2,5</c:v>
                </c:pt>
                <c:pt idx="2">
                  <c:v>Br2-PM10</c:v>
                </c:pt>
                <c:pt idx="3">
                  <c:v>Br3</c:v>
                </c:pt>
                <c:pt idx="4">
                  <c:v>Br4</c:v>
                </c:pt>
                <c:pt idx="5">
                  <c:v>Br5</c:v>
                </c:pt>
              </c:strCache>
            </c:strRef>
          </c:cat>
          <c:val>
            <c:numRef>
              <c:f>Sheet1!$B$14:$G$14</c:f>
              <c:numCache>
                <c:formatCode>General</c:formatCode>
                <c:ptCount val="6"/>
                <c:pt idx="3">
                  <c:v>39.1</c:v>
                </c:pt>
              </c:numCache>
            </c:numRef>
          </c:val>
        </c:ser>
        <c:ser>
          <c:idx val="13"/>
          <c:order val="13"/>
          <c:tx>
            <c:strRef>
              <c:f>Sheet1!$A$15</c:f>
              <c:strCache>
                <c:ptCount val="1"/>
                <c:pt idx="0">
                  <c:v>Medii anuale grav. 2014</c:v>
                </c:pt>
              </c:strCache>
            </c:strRef>
          </c:tx>
          <c:cat>
            <c:strRef>
              <c:f>Sheet1!$B$1:$G$1</c:f>
              <c:strCache>
                <c:ptCount val="6"/>
                <c:pt idx="0">
                  <c:v>Br1</c:v>
                </c:pt>
                <c:pt idx="1">
                  <c:v>Br2-PM2,5</c:v>
                </c:pt>
                <c:pt idx="2">
                  <c:v>Br2-PM10</c:v>
                </c:pt>
                <c:pt idx="3">
                  <c:v>Br3</c:v>
                </c:pt>
                <c:pt idx="4">
                  <c:v>Br4</c:v>
                </c:pt>
                <c:pt idx="5">
                  <c:v>Br5</c:v>
                </c:pt>
              </c:strCache>
            </c:strRef>
          </c:cat>
          <c:val>
            <c:numRef>
              <c:f>Sheet1!$B$15:$G$15</c:f>
              <c:numCache>
                <c:formatCode>General</c:formatCode>
                <c:ptCount val="6"/>
                <c:pt idx="3">
                  <c:v>39.1</c:v>
                </c:pt>
              </c:numCache>
            </c:numRef>
          </c:val>
        </c:ser>
        <c:gapWidth val="270"/>
        <c:gapDepth val="0"/>
        <c:shape val="box"/>
        <c:axId val="223775360"/>
        <c:axId val="223793536"/>
        <c:axId val="0"/>
      </c:bar3DChart>
      <c:catAx>
        <c:axId val="223775360"/>
        <c:scaling>
          <c:orientation val="minMax"/>
        </c:scaling>
        <c:axPos val="b"/>
        <c:numFmt formatCode="General" sourceLinked="1"/>
        <c:tickLblPos val="low"/>
        <c:spPr>
          <a:ln w="3175">
            <a:solidFill>
              <a:srgbClr val="000000"/>
            </a:solidFill>
            <a:prstDash val="solid"/>
          </a:ln>
        </c:spPr>
        <c:txPr>
          <a:bodyPr rot="0" vert="horz"/>
          <a:lstStyle/>
          <a:p>
            <a:pPr>
              <a:defRPr sz="800" b="1" i="0" u="none" strike="noStrike" baseline="0">
                <a:solidFill>
                  <a:srgbClr val="000000"/>
                </a:solidFill>
                <a:latin typeface="Arial"/>
                <a:ea typeface="Arial"/>
                <a:cs typeface="Arial"/>
              </a:defRPr>
            </a:pPr>
            <a:endParaRPr lang="ro-RO"/>
          </a:p>
        </c:txPr>
        <c:crossAx val="223793536"/>
        <c:crosses val="autoZero"/>
        <c:auto val="1"/>
        <c:lblAlgn val="ctr"/>
        <c:lblOffset val="100"/>
        <c:tickLblSkip val="1"/>
        <c:tickMarkSkip val="1"/>
      </c:catAx>
      <c:valAx>
        <c:axId val="223793536"/>
        <c:scaling>
          <c:orientation val="minMax"/>
        </c:scaling>
        <c:axPos val="l"/>
        <c:majorGridlines>
          <c:spPr>
            <a:ln w="3175">
              <a:solidFill>
                <a:srgbClr val="000000"/>
              </a:solidFill>
              <a:prstDash val="solid"/>
            </a:ln>
          </c:spPr>
        </c:majorGridlines>
        <c:title>
          <c:tx>
            <c:rich>
              <a:bodyPr/>
              <a:lstStyle/>
              <a:p>
                <a:pPr>
                  <a:defRPr sz="975"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2.7236286919831241E-2"/>
              <c:y val="0.15068019666555768"/>
            </c:manualLayout>
          </c:layout>
          <c:spPr>
            <a:noFill/>
            <a:ln w="25399">
              <a:noFill/>
            </a:ln>
          </c:spPr>
        </c:title>
        <c:numFmt formatCode="General" sourceLinked="1"/>
        <c:tickLblPos val="nextTo"/>
        <c:spPr>
          <a:ln w="3175">
            <a:solidFill>
              <a:srgbClr val="000000"/>
            </a:solidFill>
            <a:prstDash val="solid"/>
          </a:ln>
        </c:spPr>
        <c:txPr>
          <a:bodyPr rot="0" vert="horz"/>
          <a:lstStyle/>
          <a:p>
            <a:pPr>
              <a:defRPr sz="950" b="1" i="0" u="none" strike="noStrike" baseline="0">
                <a:solidFill>
                  <a:srgbClr val="000000"/>
                </a:solidFill>
                <a:latin typeface="Arial"/>
                <a:ea typeface="Arial"/>
                <a:cs typeface="Arial"/>
              </a:defRPr>
            </a:pPr>
            <a:endParaRPr lang="ro-RO"/>
          </a:p>
        </c:txPr>
        <c:crossAx val="223775360"/>
        <c:crosses val="autoZero"/>
        <c:crossBetween val="between"/>
      </c:valAx>
      <c:spPr>
        <a:noFill/>
        <a:ln w="25399">
          <a:noFill/>
        </a:ln>
      </c:spPr>
    </c:plotArea>
    <c:legend>
      <c:legendPos val="r"/>
      <c:layout>
        <c:manualLayout>
          <c:xMode val="edge"/>
          <c:yMode val="edge"/>
          <c:x val="0.76205787781351508"/>
          <c:y val="4.0145985401459645E-2"/>
          <c:w val="0.20151583109073551"/>
          <c:h val="0.86256256700306322"/>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200" b="1" i="0" u="none" strike="noStrike" baseline="0">
          <a:solidFill>
            <a:srgbClr val="000000"/>
          </a:solidFill>
          <a:latin typeface="Arial"/>
          <a:ea typeface="Arial"/>
          <a:cs typeface="Arial"/>
        </a:defRPr>
      </a:pPr>
      <a:endParaRPr lang="ro-RO"/>
    </a:p>
  </c:txPr>
  <c:externalData r:id="rId1"/>
</c:chartSpace>
</file>

<file path=word/charts/chart80.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9.3879228638087064E-2"/>
          <c:y val="4.3650793650793704E-2"/>
          <c:w val="0.77159649314669065"/>
          <c:h val="0.5927549242076311"/>
        </c:manualLayout>
      </c:layout>
      <c:barChart>
        <c:barDir val="bar"/>
        <c:grouping val="clustered"/>
        <c:ser>
          <c:idx val="0"/>
          <c:order val="0"/>
          <c:tx>
            <c:strRef>
              <c:f>Sheet1!$B$1</c:f>
              <c:strCache>
                <c:ptCount val="1"/>
                <c:pt idx="0">
                  <c:v>Curți construcții</c:v>
                </c:pt>
              </c:strCache>
            </c:strRef>
          </c:tx>
          <c:spPr>
            <a:solidFill>
              <a:schemeClr val="accent2">
                <a:lumMod val="75000"/>
              </a:schemeClr>
            </a:solidFill>
          </c:spPr>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12735</c:v>
                </c:pt>
                <c:pt idx="1">
                  <c:v>13058</c:v>
                </c:pt>
                <c:pt idx="2">
                  <c:v>13066</c:v>
                </c:pt>
                <c:pt idx="3">
                  <c:v>13267</c:v>
                </c:pt>
                <c:pt idx="4">
                  <c:v>13294</c:v>
                </c:pt>
              </c:numCache>
            </c:numRef>
          </c:val>
        </c:ser>
        <c:ser>
          <c:idx val="1"/>
          <c:order val="1"/>
          <c:tx>
            <c:strRef>
              <c:f>Sheet1!$C$1</c:f>
              <c:strCache>
                <c:ptCount val="1"/>
                <c:pt idx="0">
                  <c:v>Drumuri și căi ferate</c:v>
                </c:pt>
              </c:strCache>
            </c:strRef>
          </c:tx>
          <c:spPr>
            <a:solidFill>
              <a:srgbClr val="FFC000"/>
            </a:solidFill>
          </c:spPr>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8543</c:v>
                </c:pt>
                <c:pt idx="1">
                  <c:v>8587</c:v>
                </c:pt>
                <c:pt idx="2">
                  <c:v>8597</c:v>
                </c:pt>
                <c:pt idx="3">
                  <c:v>8592</c:v>
                </c:pt>
                <c:pt idx="4">
                  <c:v>8586</c:v>
                </c:pt>
              </c:numCache>
            </c:numRef>
          </c:val>
        </c:ser>
        <c:axId val="149788544"/>
        <c:axId val="149790080"/>
      </c:barChart>
      <c:catAx>
        <c:axId val="149788544"/>
        <c:scaling>
          <c:orientation val="minMax"/>
        </c:scaling>
        <c:axPos val="l"/>
        <c:numFmt formatCode="General" sourceLinked="1"/>
        <c:tickLblPos val="nextTo"/>
        <c:crossAx val="149790080"/>
        <c:crosses val="autoZero"/>
        <c:auto val="1"/>
        <c:lblAlgn val="ctr"/>
        <c:lblOffset val="100"/>
      </c:catAx>
      <c:valAx>
        <c:axId val="149790080"/>
        <c:scaling>
          <c:orientation val="minMax"/>
        </c:scaling>
        <c:axPos val="b"/>
        <c:majorGridlines/>
        <c:numFmt formatCode="General" sourceLinked="1"/>
        <c:tickLblPos val="nextTo"/>
        <c:crossAx val="149788544"/>
        <c:crosses val="autoZero"/>
        <c:crossBetween val="between"/>
      </c:valAx>
    </c:plotArea>
    <c:legend>
      <c:legendPos val="r"/>
      <c:legendEntry>
        <c:idx val="0"/>
        <c:txPr>
          <a:bodyPr/>
          <a:lstStyle/>
          <a:p>
            <a:pPr>
              <a:defRPr sz="1200">
                <a:latin typeface="Times New Roman" pitchFamily="18" charset="0"/>
                <a:cs typeface="Times New Roman" pitchFamily="18" charset="0"/>
              </a:defRPr>
            </a:pPr>
            <a:endParaRPr lang="ro-RO"/>
          </a:p>
        </c:txPr>
      </c:legendEntry>
      <c:legendEntry>
        <c:idx val="1"/>
        <c:txPr>
          <a:bodyPr/>
          <a:lstStyle/>
          <a:p>
            <a:pPr>
              <a:defRPr sz="1200">
                <a:latin typeface="Times New Roman" pitchFamily="18" charset="0"/>
                <a:cs typeface="Times New Roman" pitchFamily="18" charset="0"/>
              </a:defRPr>
            </a:pPr>
            <a:endParaRPr lang="ro-RO"/>
          </a:p>
        </c:txPr>
      </c:legendEntry>
      <c:layout>
        <c:manualLayout>
          <c:xMode val="edge"/>
          <c:yMode val="edge"/>
          <c:x val="0.10197078470845529"/>
          <c:y val="0.7521258374740587"/>
          <c:w val="0.74098323348088191"/>
          <c:h val="0.12666709187295774"/>
        </c:manualLayout>
      </c:layout>
    </c:legend>
    <c:plotVisOnly val="1"/>
  </c:chart>
  <c:spPr>
    <a:solidFill>
      <a:srgbClr val="FFFFDD">
        <a:alpha val="57000"/>
      </a:srgbClr>
    </a:solidFill>
  </c:spPr>
  <c:externalData r:id="rId1"/>
</c:chartSpace>
</file>

<file path=word/charts/chart81.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en-US" sz="1200"/>
              <a:t>Nr. </a:t>
            </a:r>
            <a:r>
              <a:rPr lang="ro-RO" sz="1200"/>
              <a:t>a</a:t>
            </a:r>
            <a:r>
              <a:rPr lang="en-US" sz="1200"/>
              <a:t>rii naturale protejate</a:t>
            </a:r>
          </a:p>
        </c:rich>
      </c:tx>
    </c:title>
    <c:plotArea>
      <c:layout/>
      <c:barChart>
        <c:barDir val="bar"/>
        <c:grouping val="clustered"/>
        <c:ser>
          <c:idx val="0"/>
          <c:order val="0"/>
          <c:tx>
            <c:strRef>
              <c:f>Sheet1!$B$1</c:f>
              <c:strCache>
                <c:ptCount val="1"/>
                <c:pt idx="0">
                  <c:v>Nr. Arii naturale protejate</c:v>
                </c:pt>
              </c:strCache>
            </c:strRef>
          </c:tx>
          <c:cat>
            <c:strRef>
              <c:f>Sheet1!$A$2:$A$5</c:f>
              <c:strCache>
                <c:ptCount val="2"/>
                <c:pt idx="0">
                  <c:v>Anul 1994</c:v>
                </c:pt>
                <c:pt idx="1">
                  <c:v>Anul 2011</c:v>
                </c:pt>
              </c:strCache>
            </c:strRef>
          </c:cat>
          <c:val>
            <c:numRef>
              <c:f>Sheet1!$B$2:$B$5</c:f>
              <c:numCache>
                <c:formatCode>General</c:formatCode>
                <c:ptCount val="4"/>
                <c:pt idx="0">
                  <c:v>4</c:v>
                </c:pt>
                <c:pt idx="1">
                  <c:v>24</c:v>
                </c:pt>
              </c:numCache>
            </c:numRef>
          </c:val>
        </c:ser>
        <c:axId val="149801216"/>
        <c:axId val="146792448"/>
      </c:barChart>
      <c:catAx>
        <c:axId val="149801216"/>
        <c:scaling>
          <c:orientation val="minMax"/>
        </c:scaling>
        <c:axPos val="l"/>
        <c:numFmt formatCode="General" sourceLinked="1"/>
        <c:tickLblPos val="nextTo"/>
        <c:crossAx val="146792448"/>
        <c:crosses val="autoZero"/>
        <c:auto val="1"/>
        <c:lblAlgn val="ctr"/>
        <c:lblOffset val="100"/>
      </c:catAx>
      <c:valAx>
        <c:axId val="146792448"/>
        <c:scaling>
          <c:orientation val="minMax"/>
        </c:scaling>
        <c:axPos val="b"/>
        <c:majorGridlines/>
        <c:numFmt formatCode="General" sourceLinked="1"/>
        <c:tickLblPos val="nextTo"/>
        <c:crossAx val="149801216"/>
        <c:crosses val="autoZero"/>
        <c:crossBetween val="between"/>
      </c:valAx>
    </c:plotArea>
    <c:legend>
      <c:legendPos val="r"/>
    </c:legend>
    <c:plotVisOnly val="1"/>
  </c:chart>
  <c:spPr>
    <a:solidFill>
      <a:srgbClr val="FFFF00"/>
    </a:solidFill>
  </c:spPr>
  <c:externalData r:id="rId1"/>
</c:chartSpace>
</file>

<file path=word/charts/chart82.xml><?xml version="1.0" encoding="utf-8"?>
<c:chartSpace xmlns:c="http://schemas.openxmlformats.org/drawingml/2006/chart" xmlns:a="http://schemas.openxmlformats.org/drawingml/2006/main" xmlns:r="http://schemas.openxmlformats.org/officeDocument/2006/relationships">
  <c:date1904 val="1"/>
  <c:lang val="ro-RO"/>
  <c:style val="5"/>
  <c:chart>
    <c:title>
      <c:tx>
        <c:rich>
          <a:bodyPr/>
          <a:lstStyle/>
          <a:p>
            <a:pPr>
              <a:defRPr/>
            </a:pPr>
            <a:r>
              <a:rPr lang="ro-RO" sz="1200"/>
              <a:t>Evolutia suprafetei totale arii protejate(ha)</a:t>
            </a:r>
          </a:p>
        </c:rich>
      </c:tx>
    </c:title>
    <c:plotArea>
      <c:layout/>
      <c:barChart>
        <c:barDir val="bar"/>
        <c:grouping val="clustered"/>
        <c:ser>
          <c:idx val="0"/>
          <c:order val="0"/>
          <c:tx>
            <c:strRef>
              <c:f>Sheet1!$B$1</c:f>
              <c:strCache>
                <c:ptCount val="1"/>
                <c:pt idx="0">
                  <c:v>Suprafata totala arii protejate(ha)</c:v>
                </c:pt>
              </c:strCache>
            </c:strRef>
          </c:tx>
          <c:cat>
            <c:strRef>
              <c:f>Sheet1!$A$2:$A$5</c:f>
              <c:strCache>
                <c:ptCount val="2"/>
                <c:pt idx="0">
                  <c:v>Anul 1994</c:v>
                </c:pt>
                <c:pt idx="1">
                  <c:v>Anul 2011</c:v>
                </c:pt>
              </c:strCache>
            </c:strRef>
          </c:cat>
          <c:val>
            <c:numRef>
              <c:f>Sheet1!$B$2:$B$5</c:f>
              <c:numCache>
                <c:formatCode>General</c:formatCode>
                <c:ptCount val="4"/>
                <c:pt idx="0">
                  <c:v>17511</c:v>
                </c:pt>
                <c:pt idx="1">
                  <c:v>60000</c:v>
                </c:pt>
              </c:numCache>
            </c:numRef>
          </c:val>
        </c:ser>
        <c:axId val="149884288"/>
        <c:axId val="149890176"/>
      </c:barChart>
      <c:catAx>
        <c:axId val="149884288"/>
        <c:scaling>
          <c:orientation val="minMax"/>
        </c:scaling>
        <c:axPos val="l"/>
        <c:tickLblPos val="nextTo"/>
        <c:crossAx val="149890176"/>
        <c:crosses val="autoZero"/>
        <c:auto val="1"/>
        <c:lblAlgn val="ctr"/>
        <c:lblOffset val="100"/>
      </c:catAx>
      <c:valAx>
        <c:axId val="149890176"/>
        <c:scaling>
          <c:orientation val="minMax"/>
        </c:scaling>
        <c:axPos val="b"/>
        <c:majorGridlines/>
        <c:numFmt formatCode="General" sourceLinked="1"/>
        <c:tickLblPos val="nextTo"/>
        <c:crossAx val="149884288"/>
        <c:crosses val="autoZero"/>
        <c:crossBetween val="between"/>
      </c:valAx>
    </c:plotArea>
    <c:legend>
      <c:legendPos val="r"/>
    </c:legend>
    <c:plotVisOnly val="1"/>
  </c:chart>
  <c:spPr>
    <a:solidFill>
      <a:srgbClr val="FFFF00"/>
    </a:solidFill>
  </c:spPr>
  <c:externalData r:id="rId1"/>
</c:chartSpace>
</file>

<file path=word/charts/chart83.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Sheet1!$B$1</c:f>
              <c:strCache>
                <c:ptCount val="1"/>
                <c:pt idx="0">
                  <c:v>Fond forestier(mii ha)</c:v>
                </c:pt>
              </c:strCache>
            </c:strRef>
          </c:tx>
          <c:marker>
            <c:symbol val="none"/>
          </c:marker>
          <c:cat>
            <c:strRef>
              <c:f>Sheet1!$A$2:$A$6</c:f>
              <c:strCache>
                <c:ptCount val="5"/>
                <c:pt idx="0">
                  <c:v>Anul 2010</c:v>
                </c:pt>
                <c:pt idx="1">
                  <c:v>Anul 2011</c:v>
                </c:pt>
                <c:pt idx="2">
                  <c:v>Anul 2012</c:v>
                </c:pt>
                <c:pt idx="3">
                  <c:v>Anul 2013</c:v>
                </c:pt>
                <c:pt idx="4">
                  <c:v>Anul 2014</c:v>
                </c:pt>
              </c:strCache>
            </c:strRef>
          </c:cat>
          <c:val>
            <c:numRef>
              <c:f>Sheet1!$B$2:$B$6</c:f>
              <c:numCache>
                <c:formatCode>General</c:formatCode>
                <c:ptCount val="5"/>
                <c:pt idx="0">
                  <c:v>27787</c:v>
                </c:pt>
                <c:pt idx="1">
                  <c:v>27267</c:v>
                </c:pt>
                <c:pt idx="2">
                  <c:v>27787</c:v>
                </c:pt>
                <c:pt idx="3">
                  <c:v>27835</c:v>
                </c:pt>
                <c:pt idx="4">
                  <c:v>27414</c:v>
                </c:pt>
              </c:numCache>
            </c:numRef>
          </c:val>
        </c:ser>
        <c:marker val="1"/>
        <c:axId val="146572032"/>
        <c:axId val="146573568"/>
      </c:lineChart>
      <c:catAx>
        <c:axId val="146572032"/>
        <c:scaling>
          <c:orientation val="minMax"/>
        </c:scaling>
        <c:axPos val="b"/>
        <c:tickLblPos val="nextTo"/>
        <c:crossAx val="146573568"/>
        <c:crosses val="autoZero"/>
        <c:auto val="1"/>
        <c:lblAlgn val="ctr"/>
        <c:lblOffset val="100"/>
      </c:catAx>
      <c:valAx>
        <c:axId val="146573568"/>
        <c:scaling>
          <c:orientation val="minMax"/>
        </c:scaling>
        <c:axPos val="l"/>
        <c:majorGridlines/>
        <c:numFmt formatCode="General" sourceLinked="1"/>
        <c:tickLblPos val="nextTo"/>
        <c:crossAx val="146572032"/>
        <c:crosses val="autoZero"/>
        <c:crossBetween val="between"/>
      </c:valAx>
    </c:plotArea>
    <c:legend>
      <c:legendPos val="r"/>
    </c:legend>
    <c:plotVisOnly val="1"/>
  </c:chart>
  <c:spPr>
    <a:solidFill>
      <a:schemeClr val="bg2"/>
    </a:solidFill>
  </c:spPr>
  <c:externalData r:id="rId1"/>
</c:chartSpace>
</file>

<file path=word/charts/chart84.xml><?xml version="1.0" encoding="utf-8"?>
<c:chartSpace xmlns:c="http://schemas.openxmlformats.org/drawingml/2006/chart" xmlns:a="http://schemas.openxmlformats.org/drawingml/2006/main" xmlns:r="http://schemas.openxmlformats.org/officeDocument/2006/relationships">
  <c:date1904 val="1"/>
  <c:lang val="ro-RO"/>
  <c:chart>
    <c:plotArea>
      <c:layout>
        <c:manualLayout>
          <c:layoutTarget val="inner"/>
          <c:xMode val="edge"/>
          <c:yMode val="edge"/>
          <c:x val="0.13569437522841288"/>
          <c:y val="0.16999907531883721"/>
          <c:w val="0.67102401088753061"/>
          <c:h val="0.64508116421753015"/>
        </c:manualLayout>
      </c:layout>
      <c:barChart>
        <c:barDir val="col"/>
        <c:grouping val="clustered"/>
        <c:ser>
          <c:idx val="0"/>
          <c:order val="0"/>
          <c:tx>
            <c:strRef>
              <c:f>Sheet1!$B$1</c:f>
              <c:strCache>
                <c:ptCount val="1"/>
                <c:pt idx="0">
                  <c:v>Anul 2010</c:v>
                </c:pt>
              </c:strCache>
            </c:strRef>
          </c:tx>
          <c:cat>
            <c:strRef>
              <c:f>Sheet1!$A$2</c:f>
              <c:strCache>
                <c:ptCount val="1"/>
                <c:pt idx="0">
                  <c:v>Fond forestier/populatie (ha/loc)</c:v>
                </c:pt>
              </c:strCache>
            </c:strRef>
          </c:cat>
          <c:val>
            <c:numRef>
              <c:f>Sheet1!$B$2</c:f>
              <c:numCache>
                <c:formatCode>General</c:formatCode>
                <c:ptCount val="1"/>
                <c:pt idx="0">
                  <c:v>7.3999999999999996E-2</c:v>
                </c:pt>
              </c:numCache>
            </c:numRef>
          </c:val>
        </c:ser>
        <c:ser>
          <c:idx val="1"/>
          <c:order val="1"/>
          <c:tx>
            <c:strRef>
              <c:f>Sheet1!$C$1</c:f>
              <c:strCache>
                <c:ptCount val="1"/>
                <c:pt idx="0">
                  <c:v>Anul 2011</c:v>
                </c:pt>
              </c:strCache>
            </c:strRef>
          </c:tx>
          <c:cat>
            <c:strRef>
              <c:f>Sheet1!$A$2</c:f>
              <c:strCache>
                <c:ptCount val="1"/>
                <c:pt idx="0">
                  <c:v>Fond forestier/populatie (ha/loc)</c:v>
                </c:pt>
              </c:strCache>
            </c:strRef>
          </c:cat>
          <c:val>
            <c:numRef>
              <c:f>Sheet1!$C$2</c:f>
              <c:numCache>
                <c:formatCode>General</c:formatCode>
                <c:ptCount val="1"/>
                <c:pt idx="0">
                  <c:v>7.3000000000000009E-2</c:v>
                </c:pt>
              </c:numCache>
            </c:numRef>
          </c:val>
        </c:ser>
        <c:ser>
          <c:idx val="2"/>
          <c:order val="2"/>
          <c:tx>
            <c:strRef>
              <c:f>Sheet1!$D$1</c:f>
              <c:strCache>
                <c:ptCount val="1"/>
                <c:pt idx="0">
                  <c:v>Anul 2012</c:v>
                </c:pt>
              </c:strCache>
            </c:strRef>
          </c:tx>
          <c:cat>
            <c:strRef>
              <c:f>Sheet1!$A$2</c:f>
              <c:strCache>
                <c:ptCount val="1"/>
                <c:pt idx="0">
                  <c:v>Fond forestier/populatie (ha/loc)</c:v>
                </c:pt>
              </c:strCache>
            </c:strRef>
          </c:cat>
          <c:val>
            <c:numRef>
              <c:f>Sheet1!$D$2</c:f>
              <c:numCache>
                <c:formatCode>General</c:formatCode>
                <c:ptCount val="1"/>
                <c:pt idx="0">
                  <c:v>7.3999999999999996E-2</c:v>
                </c:pt>
              </c:numCache>
            </c:numRef>
          </c:val>
        </c:ser>
        <c:ser>
          <c:idx val="3"/>
          <c:order val="3"/>
          <c:tx>
            <c:strRef>
              <c:f>Sheet1!$E$1</c:f>
              <c:strCache>
                <c:ptCount val="1"/>
                <c:pt idx="0">
                  <c:v>Anul 2013</c:v>
                </c:pt>
              </c:strCache>
            </c:strRef>
          </c:tx>
          <c:cat>
            <c:strRef>
              <c:f>Sheet1!$A$2</c:f>
              <c:strCache>
                <c:ptCount val="1"/>
                <c:pt idx="0">
                  <c:v>Fond forestier/populatie (ha/loc)</c:v>
                </c:pt>
              </c:strCache>
            </c:strRef>
          </c:cat>
          <c:val>
            <c:numRef>
              <c:f>Sheet1!$E$2</c:f>
              <c:numCache>
                <c:formatCode>0.000</c:formatCode>
                <c:ptCount val="1"/>
                <c:pt idx="0">
                  <c:v>7.3999999999999996E-2</c:v>
                </c:pt>
              </c:numCache>
            </c:numRef>
          </c:val>
        </c:ser>
        <c:ser>
          <c:idx val="4"/>
          <c:order val="4"/>
          <c:tx>
            <c:strRef>
              <c:f>Sheet1!$F$1</c:f>
              <c:strCache>
                <c:ptCount val="1"/>
                <c:pt idx="0">
                  <c:v>Anul 2014</c:v>
                </c:pt>
              </c:strCache>
            </c:strRef>
          </c:tx>
          <c:cat>
            <c:strRef>
              <c:f>Sheet1!$A$2</c:f>
              <c:strCache>
                <c:ptCount val="1"/>
                <c:pt idx="0">
                  <c:v>Fond forestier/populatie (ha/loc)</c:v>
                </c:pt>
              </c:strCache>
            </c:strRef>
          </c:cat>
          <c:val>
            <c:numRef>
              <c:f>Sheet1!$F$2</c:f>
              <c:numCache>
                <c:formatCode>0.000</c:formatCode>
                <c:ptCount val="1"/>
                <c:pt idx="0">
                  <c:v>7.3000000000000009E-2</c:v>
                </c:pt>
              </c:numCache>
            </c:numRef>
          </c:val>
        </c:ser>
        <c:axId val="150049536"/>
        <c:axId val="150051072"/>
      </c:barChart>
      <c:catAx>
        <c:axId val="150049536"/>
        <c:scaling>
          <c:orientation val="minMax"/>
        </c:scaling>
        <c:axPos val="b"/>
        <c:tickLblPos val="nextTo"/>
        <c:crossAx val="150051072"/>
        <c:crosses val="autoZero"/>
        <c:auto val="1"/>
        <c:lblAlgn val="ctr"/>
        <c:lblOffset val="100"/>
      </c:catAx>
      <c:valAx>
        <c:axId val="150051072"/>
        <c:scaling>
          <c:orientation val="minMax"/>
        </c:scaling>
        <c:axPos val="l"/>
        <c:majorGridlines/>
        <c:numFmt formatCode="General" sourceLinked="1"/>
        <c:tickLblPos val="nextTo"/>
        <c:crossAx val="150049536"/>
        <c:crosses val="autoZero"/>
        <c:crossBetween val="between"/>
      </c:valAx>
    </c:plotArea>
    <c:legend>
      <c:legendPos val="r"/>
    </c:legend>
    <c:plotVisOnly val="1"/>
  </c:chart>
  <c:spPr>
    <a:solidFill>
      <a:schemeClr val="accent2">
        <a:lumMod val="20000"/>
        <a:lumOff val="80000"/>
      </a:schemeClr>
    </a:solidFill>
  </c:spPr>
  <c:externalData r:id="rId1"/>
</c:chartSpace>
</file>

<file path=word/charts/chart85.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Cresteri</c:v>
                </c:pt>
              </c:strCache>
            </c:strRef>
          </c:tx>
          <c:cat>
            <c:strRef>
              <c:f>Sheet1!$A$2:$A$6</c:f>
              <c:strCache>
                <c:ptCount val="5"/>
                <c:pt idx="0">
                  <c:v>Anul 2010</c:v>
                </c:pt>
                <c:pt idx="1">
                  <c:v>Anul 2011</c:v>
                </c:pt>
                <c:pt idx="2">
                  <c:v>Anul 2012</c:v>
                </c:pt>
                <c:pt idx="3">
                  <c:v>Anul 2013</c:v>
                </c:pt>
                <c:pt idx="4">
                  <c:v>Anul 2014</c:v>
                </c:pt>
              </c:strCache>
            </c:strRef>
          </c:cat>
          <c:val>
            <c:numRef>
              <c:f>Sheet1!$B$2:$B$6</c:f>
              <c:numCache>
                <c:formatCode>General</c:formatCode>
                <c:ptCount val="5"/>
                <c:pt idx="0">
                  <c:v>5.5</c:v>
                </c:pt>
                <c:pt idx="1">
                  <c:v>5.5</c:v>
                </c:pt>
                <c:pt idx="2">
                  <c:v>5.5</c:v>
                </c:pt>
                <c:pt idx="3">
                  <c:v>5.5</c:v>
                </c:pt>
                <c:pt idx="4">
                  <c:v>5.5</c:v>
                </c:pt>
              </c:numCache>
            </c:numRef>
          </c:val>
        </c:ser>
        <c:ser>
          <c:idx val="1"/>
          <c:order val="1"/>
          <c:tx>
            <c:strRef>
              <c:f>Sheet1!$C$1</c:f>
              <c:strCache>
                <c:ptCount val="1"/>
                <c:pt idx="0">
                  <c:v>Taieri</c:v>
                </c:pt>
              </c:strCache>
            </c:strRef>
          </c:tx>
          <c:cat>
            <c:strRef>
              <c:f>Sheet1!$A$2:$A$6</c:f>
              <c:strCache>
                <c:ptCount val="5"/>
                <c:pt idx="0">
                  <c:v>Anul 2010</c:v>
                </c:pt>
                <c:pt idx="1">
                  <c:v>Anul 2011</c:v>
                </c:pt>
                <c:pt idx="2">
                  <c:v>Anul 2012</c:v>
                </c:pt>
                <c:pt idx="3">
                  <c:v>Anul 2013</c:v>
                </c:pt>
                <c:pt idx="4">
                  <c:v>Anul 2014</c:v>
                </c:pt>
              </c:strCache>
            </c:strRef>
          </c:cat>
          <c:val>
            <c:numRef>
              <c:f>Sheet1!$C$2:$C$6</c:f>
              <c:numCache>
                <c:formatCode>0.0</c:formatCode>
                <c:ptCount val="5"/>
                <c:pt idx="0" formatCode="General">
                  <c:v>5.2</c:v>
                </c:pt>
                <c:pt idx="1">
                  <c:v>5</c:v>
                </c:pt>
                <c:pt idx="2" formatCode="General">
                  <c:v>5.4</c:v>
                </c:pt>
                <c:pt idx="3" formatCode="General">
                  <c:v>5.2</c:v>
                </c:pt>
                <c:pt idx="4" formatCode="General">
                  <c:v>5.5</c:v>
                </c:pt>
              </c:numCache>
            </c:numRef>
          </c:val>
        </c:ser>
        <c:axId val="149948672"/>
        <c:axId val="149950464"/>
      </c:barChart>
      <c:catAx>
        <c:axId val="149948672"/>
        <c:scaling>
          <c:orientation val="minMax"/>
        </c:scaling>
        <c:axPos val="b"/>
        <c:tickLblPos val="nextTo"/>
        <c:crossAx val="149950464"/>
        <c:crosses val="autoZero"/>
        <c:auto val="1"/>
        <c:lblAlgn val="ctr"/>
        <c:lblOffset val="100"/>
      </c:catAx>
      <c:valAx>
        <c:axId val="149950464"/>
        <c:scaling>
          <c:orientation val="minMax"/>
        </c:scaling>
        <c:axPos val="l"/>
        <c:majorGridlines/>
        <c:numFmt formatCode="General" sourceLinked="1"/>
        <c:tickLblPos val="nextTo"/>
        <c:crossAx val="149948672"/>
        <c:crosses val="autoZero"/>
        <c:crossBetween val="between"/>
      </c:valAx>
    </c:plotArea>
    <c:legend>
      <c:legendPos val="r"/>
    </c:legend>
    <c:plotVisOnly val="1"/>
  </c:chart>
  <c:spPr>
    <a:solidFill>
      <a:schemeClr val="bg2">
        <a:lumMod val="90000"/>
      </a:schemeClr>
    </a:solidFill>
  </c:spPr>
  <c:externalData r:id="rId1"/>
</c:chartSpace>
</file>

<file path=word/charts/chart86.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Plop</c:v>
                </c:pt>
              </c:strCache>
            </c:strRef>
          </c:tx>
          <c:cat>
            <c:strRef>
              <c:f>Sheet1!$A$2:$A$4</c:f>
              <c:strCache>
                <c:ptCount val="3"/>
                <c:pt idx="0">
                  <c:v>Principale</c:v>
                </c:pt>
                <c:pt idx="1">
                  <c:v>Secundare</c:v>
                </c:pt>
                <c:pt idx="2">
                  <c:v>Accidentale</c:v>
                </c:pt>
              </c:strCache>
            </c:strRef>
          </c:cat>
          <c:val>
            <c:numRef>
              <c:f>Sheet1!$B$2:$B$4</c:f>
              <c:numCache>
                <c:formatCode>0.0</c:formatCode>
                <c:ptCount val="3"/>
                <c:pt idx="0">
                  <c:v>20</c:v>
                </c:pt>
                <c:pt idx="1">
                  <c:v>2</c:v>
                </c:pt>
                <c:pt idx="2">
                  <c:v>0.2</c:v>
                </c:pt>
              </c:numCache>
            </c:numRef>
          </c:val>
        </c:ser>
        <c:ser>
          <c:idx val="1"/>
          <c:order val="1"/>
          <c:tx>
            <c:strRef>
              <c:f>Sheet1!$C$1</c:f>
              <c:strCache>
                <c:ptCount val="1"/>
                <c:pt idx="0">
                  <c:v>Salcie</c:v>
                </c:pt>
              </c:strCache>
            </c:strRef>
          </c:tx>
          <c:cat>
            <c:strRef>
              <c:f>Sheet1!$A$2:$A$4</c:f>
              <c:strCache>
                <c:ptCount val="3"/>
                <c:pt idx="0">
                  <c:v>Principale</c:v>
                </c:pt>
                <c:pt idx="1">
                  <c:v>Secundare</c:v>
                </c:pt>
                <c:pt idx="2">
                  <c:v>Accidentale</c:v>
                </c:pt>
              </c:strCache>
            </c:strRef>
          </c:cat>
          <c:val>
            <c:numRef>
              <c:f>Sheet1!$C$2:$C$4</c:f>
              <c:numCache>
                <c:formatCode>0.0</c:formatCode>
                <c:ptCount val="3"/>
                <c:pt idx="0">
                  <c:v>26.7</c:v>
                </c:pt>
                <c:pt idx="1">
                  <c:v>0.9</c:v>
                </c:pt>
                <c:pt idx="2">
                  <c:v>0.1</c:v>
                </c:pt>
              </c:numCache>
            </c:numRef>
          </c:val>
        </c:ser>
        <c:ser>
          <c:idx val="2"/>
          <c:order val="2"/>
          <c:tx>
            <c:strRef>
              <c:f>Sheet1!$D$1</c:f>
              <c:strCache>
                <c:ptCount val="1"/>
                <c:pt idx="0">
                  <c:v>Alte esente</c:v>
                </c:pt>
              </c:strCache>
            </c:strRef>
          </c:tx>
          <c:cat>
            <c:strRef>
              <c:f>Sheet1!$A$2:$A$4</c:f>
              <c:strCache>
                <c:ptCount val="3"/>
                <c:pt idx="0">
                  <c:v>Principale</c:v>
                </c:pt>
                <c:pt idx="1">
                  <c:v>Secundare</c:v>
                </c:pt>
                <c:pt idx="2">
                  <c:v>Accidentale</c:v>
                </c:pt>
              </c:strCache>
            </c:strRef>
          </c:cat>
          <c:val>
            <c:numRef>
              <c:f>Sheet1!$D$2:$D$4</c:f>
              <c:numCache>
                <c:formatCode>0.0</c:formatCode>
                <c:ptCount val="3"/>
                <c:pt idx="0">
                  <c:v>0.1</c:v>
                </c:pt>
                <c:pt idx="1">
                  <c:v>0.1</c:v>
                </c:pt>
                <c:pt idx="2">
                  <c:v>0</c:v>
                </c:pt>
              </c:numCache>
            </c:numRef>
          </c:val>
        </c:ser>
        <c:axId val="146780928"/>
        <c:axId val="146782464"/>
      </c:barChart>
      <c:catAx>
        <c:axId val="146780928"/>
        <c:scaling>
          <c:orientation val="minMax"/>
        </c:scaling>
        <c:axPos val="b"/>
        <c:tickLblPos val="nextTo"/>
        <c:crossAx val="146782464"/>
        <c:crosses val="autoZero"/>
        <c:auto val="1"/>
        <c:lblAlgn val="ctr"/>
        <c:lblOffset val="100"/>
      </c:catAx>
      <c:valAx>
        <c:axId val="146782464"/>
        <c:scaling>
          <c:orientation val="minMax"/>
        </c:scaling>
        <c:axPos val="l"/>
        <c:majorGridlines/>
        <c:numFmt formatCode="0.0" sourceLinked="1"/>
        <c:tickLblPos val="nextTo"/>
        <c:crossAx val="146780928"/>
        <c:crosses val="autoZero"/>
        <c:crossBetween val="between"/>
      </c:valAx>
      <c:spPr>
        <a:solidFill>
          <a:schemeClr val="accent3">
            <a:lumMod val="20000"/>
            <a:lumOff val="80000"/>
          </a:schemeClr>
        </a:solidFill>
      </c:spPr>
    </c:plotArea>
    <c:legend>
      <c:legendPos val="r"/>
    </c:legend>
    <c:plotVisOnly val="1"/>
  </c:chart>
  <c:spPr>
    <a:solidFill>
      <a:srgbClr val="8064A2">
        <a:lumMod val="20000"/>
        <a:lumOff val="80000"/>
      </a:srgbClr>
    </a:solidFill>
  </c:spPr>
  <c:externalData r:id="rId1"/>
</c:chartSpace>
</file>

<file path=word/charts/chart87.xml><?xml version="1.0" encoding="utf-8"?>
<c:chartSpace xmlns:c="http://schemas.openxmlformats.org/drawingml/2006/chart" xmlns:a="http://schemas.openxmlformats.org/drawingml/2006/main" xmlns:r="http://schemas.openxmlformats.org/officeDocument/2006/relationships">
  <c:date1904 val="1"/>
  <c:lang val="ro-RO"/>
  <c:chart>
    <c:title/>
    <c:plotArea>
      <c:layout/>
      <c:pieChart>
        <c:varyColors val="1"/>
        <c:ser>
          <c:idx val="0"/>
          <c:order val="0"/>
          <c:tx>
            <c:strRef>
              <c:f>Sheet1!$B$1</c:f>
              <c:strCache>
                <c:ptCount val="1"/>
                <c:pt idx="0">
                  <c:v>Pondere</c:v>
                </c:pt>
              </c:strCache>
            </c:strRef>
          </c:tx>
          <c:cat>
            <c:strRef>
              <c:f>Sheet1!$A$2:$A$4</c:f>
              <c:strCache>
                <c:ptCount val="3"/>
                <c:pt idx="0">
                  <c:v>Foioase</c:v>
                </c:pt>
                <c:pt idx="1">
                  <c:v>Cvecinee</c:v>
                </c:pt>
                <c:pt idx="2">
                  <c:v>Alte terenuri</c:v>
                </c:pt>
              </c:strCache>
            </c:strRef>
          </c:cat>
          <c:val>
            <c:numRef>
              <c:f>Sheet1!$B$2:$B$4</c:f>
              <c:numCache>
                <c:formatCode>General</c:formatCode>
                <c:ptCount val="3"/>
                <c:pt idx="0">
                  <c:v>98</c:v>
                </c:pt>
                <c:pt idx="1">
                  <c:v>1</c:v>
                </c:pt>
                <c:pt idx="2">
                  <c:v>1</c:v>
                </c:pt>
              </c:numCache>
            </c:numRef>
          </c:val>
        </c:ser>
        <c:firstSliceAng val="0"/>
      </c:pieChart>
    </c:plotArea>
    <c:legend>
      <c:legendPos val="r"/>
    </c:legend>
    <c:plotVisOnly val="1"/>
  </c:chart>
  <c:spPr>
    <a:solidFill>
      <a:schemeClr val="accent4">
        <a:lumMod val="20000"/>
        <a:lumOff val="80000"/>
        <a:alpha val="41000"/>
      </a:schemeClr>
    </a:solidFill>
  </c:spPr>
  <c:externalData r:id="rId1"/>
</c:chartSpace>
</file>

<file path=word/charts/chart88.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pieChart>
        <c:varyColors val="1"/>
        <c:ser>
          <c:idx val="0"/>
          <c:order val="0"/>
          <c:tx>
            <c:strRef>
              <c:f>Sheet1!$B$1</c:f>
              <c:strCache>
                <c:ptCount val="1"/>
                <c:pt idx="0">
                  <c:v>Suprafata (ha)</c:v>
                </c:pt>
              </c:strCache>
            </c:strRef>
          </c:tx>
          <c:cat>
            <c:strRef>
              <c:f>Sheet1!$A$2:$A$6</c:f>
              <c:strCache>
                <c:ptCount val="5"/>
                <c:pt idx="0">
                  <c:v>Protectia apelor</c:v>
                </c:pt>
                <c:pt idx="1">
                  <c:v>Protectia terenurilor degradate</c:v>
                </c:pt>
                <c:pt idx="2">
                  <c:v>Recreere</c:v>
                </c:pt>
                <c:pt idx="3">
                  <c:v>Rezervatii seminte</c:v>
                </c:pt>
                <c:pt idx="4">
                  <c:v>Ocrotirii faunei</c:v>
                </c:pt>
              </c:strCache>
            </c:strRef>
          </c:cat>
          <c:val>
            <c:numRef>
              <c:f>Sheet1!$B$2:$B$6</c:f>
              <c:numCache>
                <c:formatCode>General</c:formatCode>
                <c:ptCount val="5"/>
                <c:pt idx="0">
                  <c:v>14300</c:v>
                </c:pt>
                <c:pt idx="1">
                  <c:v>360</c:v>
                </c:pt>
                <c:pt idx="2">
                  <c:v>145</c:v>
                </c:pt>
                <c:pt idx="3">
                  <c:v>24</c:v>
                </c:pt>
                <c:pt idx="4">
                  <c:v>19700</c:v>
                </c:pt>
              </c:numCache>
            </c:numRef>
          </c:val>
        </c:ser>
        <c:firstSliceAng val="0"/>
      </c:pieChart>
    </c:plotArea>
    <c:legend>
      <c:legendPos val="r"/>
    </c:legend>
    <c:plotVisOnly val="1"/>
  </c:chart>
  <c:spPr>
    <a:solidFill>
      <a:schemeClr val="accent6">
        <a:lumMod val="20000"/>
        <a:lumOff val="80000"/>
      </a:schemeClr>
    </a:solidFill>
  </c:spPr>
  <c:externalData r:id="rId1"/>
</c:chartSpace>
</file>

<file path=word/charts/chart89.xml><?xml version="1.0" encoding="utf-8"?>
<c:chartSpace xmlns:c="http://schemas.openxmlformats.org/drawingml/2006/chart" xmlns:a="http://schemas.openxmlformats.org/drawingml/2006/main" xmlns:r="http://schemas.openxmlformats.org/officeDocument/2006/relationships">
  <c:date1904 val="1"/>
  <c:lang val="ro-RO"/>
  <c:style val="5"/>
  <c:chart>
    <c:plotArea>
      <c:layout/>
      <c:areaChart>
        <c:grouping val="stacked"/>
        <c:ser>
          <c:idx val="0"/>
          <c:order val="0"/>
          <c:tx>
            <c:strRef>
              <c:f>Sheet1!$B$1</c:f>
              <c:strCache>
                <c:ptCount val="1"/>
                <c:pt idx="0">
                  <c:v>Impadurire</c:v>
                </c:pt>
              </c:strCache>
            </c:strRef>
          </c:tx>
          <c:cat>
            <c:numRef>
              <c:f>Sheet1!$A$2:$A$6</c:f>
              <c:numCache>
                <c:formatCode>General</c:formatCode>
                <c:ptCount val="5"/>
                <c:pt idx="0">
                  <c:v>2010</c:v>
                </c:pt>
                <c:pt idx="1">
                  <c:v>2011</c:v>
                </c:pt>
                <c:pt idx="2">
                  <c:v>2012</c:v>
                </c:pt>
                <c:pt idx="3">
                  <c:v>2013</c:v>
                </c:pt>
                <c:pt idx="4">
                  <c:v>2014</c:v>
                </c:pt>
              </c:numCache>
            </c:numRef>
          </c:cat>
          <c:val>
            <c:numRef>
              <c:f>Sheet1!$B$2:$B$6</c:f>
              <c:numCache>
                <c:formatCode>General</c:formatCode>
                <c:ptCount val="5"/>
                <c:pt idx="0">
                  <c:v>218</c:v>
                </c:pt>
                <c:pt idx="1">
                  <c:v>236</c:v>
                </c:pt>
                <c:pt idx="2">
                  <c:v>221</c:v>
                </c:pt>
                <c:pt idx="3">
                  <c:v>280</c:v>
                </c:pt>
                <c:pt idx="4">
                  <c:v>229</c:v>
                </c:pt>
              </c:numCache>
            </c:numRef>
          </c:val>
        </c:ser>
        <c:ser>
          <c:idx val="1"/>
          <c:order val="1"/>
          <c:tx>
            <c:strRef>
              <c:f>Sheet1!$C$1</c:f>
              <c:strCache>
                <c:ptCount val="1"/>
                <c:pt idx="0">
                  <c:v>Regenerare naturala</c:v>
                </c:pt>
              </c:strCache>
            </c:strRef>
          </c:tx>
          <c:cat>
            <c:numRef>
              <c:f>Sheet1!$A$2:$A$6</c:f>
              <c:numCache>
                <c:formatCode>General</c:formatCode>
                <c:ptCount val="5"/>
                <c:pt idx="0">
                  <c:v>2010</c:v>
                </c:pt>
                <c:pt idx="1">
                  <c:v>2011</c:v>
                </c:pt>
                <c:pt idx="2">
                  <c:v>2012</c:v>
                </c:pt>
                <c:pt idx="3">
                  <c:v>2013</c:v>
                </c:pt>
                <c:pt idx="4">
                  <c:v>2014</c:v>
                </c:pt>
              </c:numCache>
            </c:numRef>
          </c:cat>
          <c:val>
            <c:numRef>
              <c:f>Sheet1!$C$2:$C$6</c:f>
              <c:numCache>
                <c:formatCode>General</c:formatCode>
                <c:ptCount val="5"/>
                <c:pt idx="0">
                  <c:v>164</c:v>
                </c:pt>
                <c:pt idx="1">
                  <c:v>182</c:v>
                </c:pt>
                <c:pt idx="2">
                  <c:v>112</c:v>
                </c:pt>
                <c:pt idx="3">
                  <c:v>191</c:v>
                </c:pt>
                <c:pt idx="4">
                  <c:v>169</c:v>
                </c:pt>
              </c:numCache>
            </c:numRef>
          </c:val>
        </c:ser>
        <c:axId val="150246912"/>
        <c:axId val="150248448"/>
      </c:areaChart>
      <c:catAx>
        <c:axId val="150246912"/>
        <c:scaling>
          <c:orientation val="minMax"/>
        </c:scaling>
        <c:axPos val="b"/>
        <c:numFmt formatCode="General" sourceLinked="1"/>
        <c:tickLblPos val="nextTo"/>
        <c:crossAx val="150248448"/>
        <c:crosses val="autoZero"/>
        <c:auto val="1"/>
        <c:lblAlgn val="ctr"/>
        <c:lblOffset val="100"/>
      </c:catAx>
      <c:valAx>
        <c:axId val="150248448"/>
        <c:scaling>
          <c:orientation val="minMax"/>
        </c:scaling>
        <c:axPos val="l"/>
        <c:majorGridlines/>
        <c:numFmt formatCode="General" sourceLinked="1"/>
        <c:tickLblPos val="nextTo"/>
        <c:crossAx val="150246912"/>
        <c:crosses val="autoZero"/>
        <c:crossBetween val="midCat"/>
      </c:valAx>
    </c:plotArea>
    <c:legend>
      <c:legendPos val="r"/>
    </c:legend>
    <c:plotVisOnly val="1"/>
  </c:chart>
  <c:spPr>
    <a:solidFill>
      <a:schemeClr val="accent6">
        <a:lumMod val="20000"/>
        <a:lumOff val="80000"/>
      </a:schemeClr>
    </a:solidFill>
  </c:spPr>
  <c:externalData r:id="rId1"/>
</c:chartSpace>
</file>

<file path=word/charts/chart9.xml><?xml version="1.0" encoding="utf-8"?>
<c:chartSpace xmlns:c="http://schemas.openxmlformats.org/drawingml/2006/chart" xmlns:a="http://schemas.openxmlformats.org/drawingml/2006/main" xmlns:r="http://schemas.openxmlformats.org/officeDocument/2006/relationships">
  <c:date1904 val="1"/>
  <c:lang val="ro-RO"/>
  <c:chart>
    <c:autoTitleDeleted val="1"/>
    <c:view3D>
      <c:rotX val="21"/>
      <c:hPercent val="42"/>
      <c:rotY val="43"/>
      <c:depthPercent val="50"/>
      <c:rAngAx val="1"/>
    </c:view3D>
    <c:floor>
      <c:spPr>
        <a:solidFill>
          <a:srgbClr val="FFFFCC"/>
        </a:solidFill>
        <a:ln w="3175">
          <a:solidFill>
            <a:srgbClr val="000000"/>
          </a:solidFill>
          <a:prstDash val="solid"/>
        </a:ln>
      </c:spPr>
    </c:floor>
    <c:sideWall>
      <c:spPr>
        <a:solidFill>
          <a:srgbClr val="FFFFCC"/>
        </a:solidFill>
        <a:ln w="12700">
          <a:solidFill>
            <a:srgbClr val="000000"/>
          </a:solidFill>
          <a:prstDash val="solid"/>
        </a:ln>
      </c:spPr>
    </c:sideWall>
    <c:backWall>
      <c:spPr>
        <a:solidFill>
          <a:srgbClr val="FFFFCC"/>
        </a:solidFill>
        <a:ln w="12700">
          <a:solidFill>
            <a:srgbClr val="000000"/>
          </a:solidFill>
          <a:prstDash val="solid"/>
        </a:ln>
      </c:spPr>
    </c:backWall>
    <c:plotArea>
      <c:layout>
        <c:manualLayout>
          <c:layoutTarget val="inner"/>
          <c:xMode val="edge"/>
          <c:yMode val="edge"/>
          <c:x val="0.12116040955631487"/>
          <c:y val="8.6580086580086743E-2"/>
          <c:w val="0.62116040955631402"/>
          <c:h val="0.65367965367966907"/>
        </c:manualLayout>
      </c:layout>
      <c:bar3DChart>
        <c:barDir val="col"/>
        <c:grouping val="clustered"/>
        <c:ser>
          <c:idx val="0"/>
          <c:order val="0"/>
          <c:tx>
            <c:strRef>
              <c:f>Sheet1!$A$2</c:f>
              <c:strCache>
                <c:ptCount val="1"/>
                <c:pt idx="0">
                  <c:v>Medii noe şi dec 2008</c:v>
                </c:pt>
              </c:strCache>
            </c:strRef>
          </c:tx>
          <c:spPr>
            <a:solidFill>
              <a:srgbClr val="9999FF"/>
            </a:solidFill>
            <a:ln w="12700">
              <a:solidFill>
                <a:srgbClr val="000000"/>
              </a:solidFill>
              <a:prstDash val="solid"/>
            </a:ln>
          </c:spPr>
          <c:cat>
            <c:strRef>
              <c:f>Sheet1!$B$1:$D$1</c:f>
              <c:strCache>
                <c:ptCount val="3"/>
                <c:pt idx="0">
                  <c:v>BR 1</c:v>
                </c:pt>
                <c:pt idx="1">
                  <c:v>BR 3</c:v>
                </c:pt>
                <c:pt idx="2">
                  <c:v>BR 4</c:v>
                </c:pt>
              </c:strCache>
            </c:strRef>
          </c:cat>
          <c:val>
            <c:numRef>
              <c:f>Sheet1!$B$2:$D$2</c:f>
              <c:numCache>
                <c:formatCode>General</c:formatCode>
                <c:ptCount val="3"/>
                <c:pt idx="0">
                  <c:v>9.0000000000000028E-3</c:v>
                </c:pt>
                <c:pt idx="1">
                  <c:v>6.0000000000000114E-3</c:v>
                </c:pt>
                <c:pt idx="2">
                  <c:v>6.1000000000000004E-3</c:v>
                </c:pt>
              </c:numCache>
            </c:numRef>
          </c:val>
        </c:ser>
        <c:ser>
          <c:idx val="1"/>
          <c:order val="1"/>
          <c:tx>
            <c:strRef>
              <c:f>Sheet1!$A$3</c:f>
              <c:strCache>
                <c:ptCount val="1"/>
                <c:pt idx="0">
                  <c:v>Medii anuale 2009</c:v>
                </c:pt>
              </c:strCache>
            </c:strRef>
          </c:tx>
          <c:spPr>
            <a:solidFill>
              <a:srgbClr val="993366"/>
            </a:solidFill>
            <a:ln w="12700">
              <a:solidFill>
                <a:srgbClr val="000000"/>
              </a:solidFill>
              <a:prstDash val="solid"/>
            </a:ln>
          </c:spPr>
          <c:cat>
            <c:strRef>
              <c:f>Sheet1!$B$1:$D$1</c:f>
              <c:strCache>
                <c:ptCount val="3"/>
                <c:pt idx="0">
                  <c:v>BR 1</c:v>
                </c:pt>
                <c:pt idx="1">
                  <c:v>BR 3</c:v>
                </c:pt>
                <c:pt idx="2">
                  <c:v>BR 4</c:v>
                </c:pt>
              </c:strCache>
            </c:strRef>
          </c:cat>
          <c:val>
            <c:numRef>
              <c:f>Sheet1!$B$3:$D$3</c:f>
              <c:numCache>
                <c:formatCode>General</c:formatCode>
                <c:ptCount val="3"/>
                <c:pt idx="0">
                  <c:v>6.6000000000000034E-3</c:v>
                </c:pt>
                <c:pt idx="1">
                  <c:v>6.1000000000000004E-3</c:v>
                </c:pt>
                <c:pt idx="2">
                  <c:v>7.5000000000000613E-3</c:v>
                </c:pt>
              </c:numCache>
            </c:numRef>
          </c:val>
        </c:ser>
        <c:ser>
          <c:idx val="2"/>
          <c:order val="2"/>
          <c:tx>
            <c:strRef>
              <c:f>Sheet1!$A$4</c:f>
              <c:strCache>
                <c:ptCount val="1"/>
                <c:pt idx="0">
                  <c:v>Medii anuale 2010</c:v>
                </c:pt>
              </c:strCache>
            </c:strRef>
          </c:tx>
          <c:spPr>
            <a:solidFill>
              <a:srgbClr val="00FF00"/>
            </a:solidFill>
            <a:ln w="12700">
              <a:solidFill>
                <a:srgbClr val="000000"/>
              </a:solidFill>
              <a:prstDash val="solid"/>
            </a:ln>
          </c:spPr>
          <c:cat>
            <c:strRef>
              <c:f>Sheet1!$B$1:$D$1</c:f>
              <c:strCache>
                <c:ptCount val="3"/>
                <c:pt idx="0">
                  <c:v>BR 1</c:v>
                </c:pt>
                <c:pt idx="1">
                  <c:v>BR 3</c:v>
                </c:pt>
                <c:pt idx="2">
                  <c:v>BR 4</c:v>
                </c:pt>
              </c:strCache>
            </c:strRef>
          </c:cat>
          <c:val>
            <c:numRef>
              <c:f>Sheet1!$B$4:$D$4</c:f>
              <c:numCache>
                <c:formatCode>General</c:formatCode>
                <c:ptCount val="3"/>
                <c:pt idx="0">
                  <c:v>8.5000000000000006E-3</c:v>
                </c:pt>
                <c:pt idx="1">
                  <c:v>5.3000000000000104E-3</c:v>
                </c:pt>
                <c:pt idx="2">
                  <c:v>5.1999999999999998E-3</c:v>
                </c:pt>
              </c:numCache>
            </c:numRef>
          </c:val>
        </c:ser>
        <c:gapWidth val="300"/>
        <c:gapDepth val="100"/>
        <c:shape val="box"/>
        <c:axId val="58894208"/>
        <c:axId val="58895744"/>
        <c:axId val="0"/>
      </c:bar3DChart>
      <c:catAx>
        <c:axId val="58894208"/>
        <c:scaling>
          <c:orientation val="minMax"/>
        </c:scaling>
        <c:axPos val="b"/>
        <c:numFmt formatCode="General" sourceLinked="1"/>
        <c:tickLblPos val="low"/>
        <c:spPr>
          <a:ln w="3175">
            <a:solidFill>
              <a:srgbClr val="000000"/>
            </a:solidFill>
            <a:prstDash val="solid"/>
          </a:ln>
        </c:spPr>
        <c:txPr>
          <a:bodyPr rot="0" vert="horz"/>
          <a:lstStyle/>
          <a:p>
            <a:pPr>
              <a:defRPr sz="900" b="1" i="0" u="none" strike="noStrike" baseline="0">
                <a:solidFill>
                  <a:srgbClr val="000000"/>
                </a:solidFill>
                <a:latin typeface="Arial"/>
                <a:ea typeface="Arial"/>
                <a:cs typeface="Arial"/>
              </a:defRPr>
            </a:pPr>
            <a:endParaRPr lang="ro-RO"/>
          </a:p>
        </c:txPr>
        <c:crossAx val="58895744"/>
        <c:crosses val="autoZero"/>
        <c:auto val="1"/>
        <c:lblAlgn val="ctr"/>
        <c:lblOffset val="100"/>
        <c:tickLblSkip val="1"/>
        <c:tickMarkSkip val="1"/>
      </c:catAx>
      <c:valAx>
        <c:axId val="58895744"/>
        <c:scaling>
          <c:orientation val="minMax"/>
        </c:scaling>
        <c:axPos val="l"/>
        <c:majorGridlines>
          <c:spPr>
            <a:ln w="3175">
              <a:solidFill>
                <a:srgbClr val="000000"/>
              </a:solidFill>
              <a:prstDash val="solid"/>
            </a:ln>
          </c:spPr>
        </c:majorGridlines>
        <c:title>
          <c:tx>
            <c:rich>
              <a:bodyPr/>
              <a:lstStyle/>
              <a:p>
                <a:pPr>
                  <a:defRPr sz="800" b="1" i="0" u="none" strike="noStrike" baseline="0">
                    <a:solidFill>
                      <a:srgbClr val="000000"/>
                    </a:solidFill>
                    <a:latin typeface="Arial"/>
                    <a:ea typeface="Arial"/>
                    <a:cs typeface="Arial"/>
                  </a:defRPr>
                </a:pPr>
                <a:r>
                  <a:rPr lang="ro-RO">
                    <a:latin typeface="Arial"/>
                    <a:cs typeface="Arial"/>
                  </a:rPr>
                  <a:t>µg</a:t>
                </a:r>
                <a:r>
                  <a:rPr lang="ro-RO"/>
                  <a:t>/mc</a:t>
                </a:r>
              </a:p>
            </c:rich>
          </c:tx>
          <c:layout>
            <c:manualLayout>
              <c:xMode val="edge"/>
              <c:yMode val="edge"/>
              <c:x val="1.9531082104669802E-2"/>
              <c:y val="0.31242482656473086"/>
            </c:manualLayout>
          </c:layout>
          <c:spPr>
            <a:noFill/>
            <a:ln w="25399">
              <a:noFill/>
            </a:ln>
          </c:spPr>
        </c:title>
        <c:numFmt formatCode="General" sourceLinked="1"/>
        <c:tickLblPos val="nextTo"/>
        <c:spPr>
          <a:ln w="3175">
            <a:solidFill>
              <a:srgbClr val="000000"/>
            </a:solidFill>
            <a:prstDash val="solid"/>
          </a:ln>
        </c:spPr>
        <c:txPr>
          <a:bodyPr rot="0" vert="horz"/>
          <a:lstStyle/>
          <a:p>
            <a:pPr>
              <a:defRPr sz="875" b="1" i="0" u="none" strike="noStrike" baseline="0">
                <a:solidFill>
                  <a:srgbClr val="000000"/>
                </a:solidFill>
                <a:latin typeface="Arial"/>
                <a:ea typeface="Arial"/>
                <a:cs typeface="Arial"/>
              </a:defRPr>
            </a:pPr>
            <a:endParaRPr lang="ro-RO"/>
          </a:p>
        </c:txPr>
        <c:crossAx val="58894208"/>
        <c:crosses val="autoZero"/>
        <c:crossBetween val="between"/>
      </c:valAx>
      <c:spPr>
        <a:noFill/>
        <a:ln w="25399">
          <a:noFill/>
        </a:ln>
      </c:spPr>
    </c:plotArea>
    <c:legend>
      <c:legendPos val="r"/>
      <c:layout>
        <c:manualLayout>
          <c:xMode val="edge"/>
          <c:yMode val="edge"/>
          <c:x val="0.76109215017064868"/>
          <c:y val="0.33333333333333331"/>
          <c:w val="0.23037542662116042"/>
          <c:h val="0.25108225108225474"/>
        </c:manualLayout>
      </c:layout>
      <c:spPr>
        <a:solidFill>
          <a:srgbClr val="FFFFFF"/>
        </a:solidFill>
        <a:ln w="3175">
          <a:solidFill>
            <a:srgbClr val="000000"/>
          </a:solidFill>
          <a:prstDash val="solid"/>
        </a:ln>
      </c:spPr>
      <c:txPr>
        <a:bodyPr/>
        <a:lstStyle/>
        <a:p>
          <a:pPr>
            <a:defRPr sz="735" b="1" i="0" u="none" strike="noStrike" baseline="0">
              <a:solidFill>
                <a:srgbClr val="000000"/>
              </a:solidFill>
              <a:latin typeface="Arial"/>
              <a:ea typeface="Arial"/>
              <a:cs typeface="Arial"/>
            </a:defRPr>
          </a:pPr>
          <a:endParaRPr lang="ro-RO"/>
        </a:p>
      </c:txPr>
    </c:legend>
    <c:plotVisOnly val="1"/>
    <c:dispBlanksAs val="gap"/>
  </c:chart>
  <c:spPr>
    <a:noFill/>
    <a:ln>
      <a:noFill/>
    </a:ln>
  </c:spPr>
  <c:txPr>
    <a:bodyPr/>
    <a:lstStyle/>
    <a:p>
      <a:pPr>
        <a:defRPr sz="1025" b="1" i="0" u="none" strike="noStrike" baseline="0">
          <a:solidFill>
            <a:srgbClr val="000000"/>
          </a:solidFill>
          <a:latin typeface="Arial"/>
          <a:ea typeface="Arial"/>
          <a:cs typeface="Arial"/>
        </a:defRPr>
      </a:pPr>
      <a:endParaRPr lang="ro-RO"/>
    </a:p>
  </c:txPr>
  <c:externalData r:id="rId1"/>
</c:chartSpace>
</file>

<file path=word/charts/chart90.xml><?xml version="1.0" encoding="utf-8"?>
<c:chartSpace xmlns:c="http://schemas.openxmlformats.org/drawingml/2006/chart" xmlns:a="http://schemas.openxmlformats.org/drawingml/2006/main" xmlns:r="http://schemas.openxmlformats.org/officeDocument/2006/relationships">
  <c:date1904 val="1"/>
  <c:lang val="ro-RO"/>
  <c:chart>
    <c:plotArea>
      <c:layout/>
      <c:barChart>
        <c:barDir val="col"/>
        <c:grouping val="clustered"/>
        <c:ser>
          <c:idx val="0"/>
          <c:order val="0"/>
          <c:tx>
            <c:strRef>
              <c:f>Sheet1!$B$1</c:f>
              <c:strCache>
                <c:ptCount val="1"/>
                <c:pt idx="0">
                  <c:v>Tăieri de regenerare în crâng</c:v>
                </c:pt>
              </c:strCache>
            </c:strRef>
          </c:tx>
          <c:cat>
            <c:strRef>
              <c:f>Sheet1!$A$2:$A$6</c:f>
              <c:strCache>
                <c:ptCount val="5"/>
                <c:pt idx="0">
                  <c:v>Anul 2010</c:v>
                </c:pt>
                <c:pt idx="1">
                  <c:v>Anul 2011</c:v>
                </c:pt>
                <c:pt idx="2">
                  <c:v>Anul 2012</c:v>
                </c:pt>
                <c:pt idx="3">
                  <c:v>Anul 2013</c:v>
                </c:pt>
                <c:pt idx="4">
                  <c:v>Anul 2014</c:v>
                </c:pt>
              </c:strCache>
            </c:strRef>
          </c:cat>
          <c:val>
            <c:numRef>
              <c:f>Sheet1!$B$2:$B$6</c:f>
              <c:numCache>
                <c:formatCode>General</c:formatCode>
                <c:ptCount val="5"/>
                <c:pt idx="0">
                  <c:v>50.1</c:v>
                </c:pt>
                <c:pt idx="1">
                  <c:v>57.8</c:v>
                </c:pt>
                <c:pt idx="2">
                  <c:v>70.7</c:v>
                </c:pt>
                <c:pt idx="3">
                  <c:v>64.8</c:v>
                </c:pt>
                <c:pt idx="4">
                  <c:v>46.7</c:v>
                </c:pt>
              </c:numCache>
            </c:numRef>
          </c:val>
        </c:ser>
        <c:ser>
          <c:idx val="1"/>
          <c:order val="1"/>
          <c:tx>
            <c:strRef>
              <c:f>Sheet1!$C$1</c:f>
              <c:strCache>
                <c:ptCount val="1"/>
                <c:pt idx="0">
                  <c:v>Tăieri de substituiri-refacere </c:v>
                </c:pt>
              </c:strCache>
            </c:strRef>
          </c:tx>
          <c:cat>
            <c:strRef>
              <c:f>Sheet1!$A$2:$A$6</c:f>
              <c:strCache>
                <c:ptCount val="5"/>
                <c:pt idx="0">
                  <c:v>Anul 2010</c:v>
                </c:pt>
                <c:pt idx="1">
                  <c:v>Anul 2011</c:v>
                </c:pt>
                <c:pt idx="2">
                  <c:v>Anul 2012</c:v>
                </c:pt>
                <c:pt idx="3">
                  <c:v>Anul 2013</c:v>
                </c:pt>
                <c:pt idx="4">
                  <c:v>Anul 2014</c:v>
                </c:pt>
              </c:strCache>
            </c:strRef>
          </c:cat>
          <c:val>
            <c:numRef>
              <c:f>Sheet1!$C$2:$C$6</c:f>
              <c:numCache>
                <c:formatCode>General</c:formatCode>
                <c:ptCount val="5"/>
                <c:pt idx="0">
                  <c:v>50.1</c:v>
                </c:pt>
                <c:pt idx="1">
                  <c:v>57.8</c:v>
                </c:pt>
                <c:pt idx="2">
                  <c:v>70.7</c:v>
                </c:pt>
                <c:pt idx="3">
                  <c:v>64.8</c:v>
                </c:pt>
                <c:pt idx="4">
                  <c:v>46.7</c:v>
                </c:pt>
              </c:numCache>
            </c:numRef>
          </c:val>
        </c:ser>
        <c:ser>
          <c:idx val="2"/>
          <c:order val="2"/>
          <c:tx>
            <c:strRef>
              <c:f>Sheet1!$D$1</c:f>
              <c:strCache>
                <c:ptCount val="1"/>
                <c:pt idx="0">
                  <c:v>Tăieri de conservare</c:v>
                </c:pt>
              </c:strCache>
            </c:strRef>
          </c:tx>
          <c:cat>
            <c:strRef>
              <c:f>Sheet1!$A$2:$A$6</c:f>
              <c:strCache>
                <c:ptCount val="5"/>
                <c:pt idx="0">
                  <c:v>Anul 2010</c:v>
                </c:pt>
                <c:pt idx="1">
                  <c:v>Anul 2011</c:v>
                </c:pt>
                <c:pt idx="2">
                  <c:v>Anul 2012</c:v>
                </c:pt>
                <c:pt idx="3">
                  <c:v>Anul 2013</c:v>
                </c:pt>
                <c:pt idx="4">
                  <c:v>Anul 2014</c:v>
                </c:pt>
              </c:strCache>
            </c:strRef>
          </c:cat>
          <c:val>
            <c:numRef>
              <c:f>Sheet1!$D$2:$D$6</c:f>
              <c:numCache>
                <c:formatCode>General</c:formatCode>
                <c:ptCount val="5"/>
                <c:pt idx="0">
                  <c:v>0</c:v>
                </c:pt>
                <c:pt idx="1">
                  <c:v>0</c:v>
                </c:pt>
                <c:pt idx="2">
                  <c:v>0</c:v>
                </c:pt>
                <c:pt idx="3">
                  <c:v>0</c:v>
                </c:pt>
                <c:pt idx="4">
                  <c:v>0</c:v>
                </c:pt>
              </c:numCache>
            </c:numRef>
          </c:val>
        </c:ser>
        <c:axId val="150269952"/>
        <c:axId val="150271488"/>
      </c:barChart>
      <c:catAx>
        <c:axId val="150269952"/>
        <c:scaling>
          <c:orientation val="minMax"/>
        </c:scaling>
        <c:axPos val="b"/>
        <c:tickLblPos val="nextTo"/>
        <c:crossAx val="150271488"/>
        <c:crosses val="autoZero"/>
        <c:auto val="1"/>
        <c:lblAlgn val="ctr"/>
        <c:lblOffset val="100"/>
      </c:catAx>
      <c:valAx>
        <c:axId val="150271488"/>
        <c:scaling>
          <c:orientation val="minMax"/>
        </c:scaling>
        <c:axPos val="l"/>
        <c:majorGridlines/>
        <c:numFmt formatCode="General" sourceLinked="1"/>
        <c:tickLblPos val="nextTo"/>
        <c:crossAx val="150269952"/>
        <c:crosses val="autoZero"/>
        <c:crossBetween val="between"/>
      </c:valAx>
    </c:plotArea>
    <c:legend>
      <c:legendPos val="r"/>
    </c:legend>
    <c:plotVisOnly val="1"/>
  </c:chart>
  <c:spPr>
    <a:solidFill>
      <a:schemeClr val="accent4">
        <a:lumMod val="20000"/>
        <a:lumOff val="80000"/>
      </a:schemeClr>
    </a:solidFill>
  </c:spPr>
  <c:externalData r:id="rId1"/>
</c:chartSpace>
</file>

<file path=word/charts/chart91.xml><?xml version="1.0" encoding="utf-8"?>
<c:chartSpace xmlns:c="http://schemas.openxmlformats.org/drawingml/2006/chart" xmlns:a="http://schemas.openxmlformats.org/drawingml/2006/main" xmlns:r="http://schemas.openxmlformats.org/officeDocument/2006/relationships">
  <c:date1904 val="1"/>
  <c:lang val="ro-RO"/>
  <c:chart>
    <c:autoTitleDeleted val="1"/>
    <c:plotArea>
      <c:layout/>
      <c:lineChart>
        <c:grouping val="standard"/>
        <c:ser>
          <c:idx val="0"/>
          <c:order val="0"/>
          <c:tx>
            <c:strRef>
              <c:f>Sheet1!$B$1</c:f>
              <c:strCache>
                <c:ptCount val="1"/>
                <c:pt idx="0">
                  <c:v>Suprafata afectata de incendii</c:v>
                </c:pt>
              </c:strCache>
            </c:strRef>
          </c:tx>
          <c:marker>
            <c:symbol val="none"/>
          </c:marker>
          <c:cat>
            <c:strRef>
              <c:f>Sheet1!$A$2:$A$6</c:f>
              <c:strCache>
                <c:ptCount val="5"/>
                <c:pt idx="0">
                  <c:v>Anul 2010</c:v>
                </c:pt>
                <c:pt idx="1">
                  <c:v>Anul 2011</c:v>
                </c:pt>
                <c:pt idx="2">
                  <c:v>Anul 2012</c:v>
                </c:pt>
                <c:pt idx="3">
                  <c:v>Anul 2013</c:v>
                </c:pt>
                <c:pt idx="4">
                  <c:v>Anul 2014</c:v>
                </c:pt>
              </c:strCache>
            </c:strRef>
          </c:cat>
          <c:val>
            <c:numRef>
              <c:f>Sheet1!$B$2:$B$6</c:f>
              <c:numCache>
                <c:formatCode>0.0</c:formatCode>
                <c:ptCount val="5"/>
                <c:pt idx="0">
                  <c:v>3</c:v>
                </c:pt>
                <c:pt idx="1">
                  <c:v>1.4</c:v>
                </c:pt>
                <c:pt idx="2">
                  <c:v>2.2999999999999998</c:v>
                </c:pt>
                <c:pt idx="3">
                  <c:v>1.6</c:v>
                </c:pt>
                <c:pt idx="4">
                  <c:v>2.2000000000000002</c:v>
                </c:pt>
              </c:numCache>
            </c:numRef>
          </c:val>
        </c:ser>
        <c:marker val="1"/>
        <c:axId val="150004480"/>
        <c:axId val="150006016"/>
      </c:lineChart>
      <c:catAx>
        <c:axId val="150004480"/>
        <c:scaling>
          <c:orientation val="minMax"/>
        </c:scaling>
        <c:axPos val="b"/>
        <c:tickLblPos val="nextTo"/>
        <c:crossAx val="150006016"/>
        <c:crosses val="autoZero"/>
        <c:auto val="1"/>
        <c:lblAlgn val="ctr"/>
        <c:lblOffset val="100"/>
      </c:catAx>
      <c:valAx>
        <c:axId val="150006016"/>
        <c:scaling>
          <c:orientation val="minMax"/>
        </c:scaling>
        <c:axPos val="l"/>
        <c:majorGridlines/>
        <c:numFmt formatCode="0.0" sourceLinked="1"/>
        <c:tickLblPos val="nextTo"/>
        <c:crossAx val="150004480"/>
        <c:crosses val="autoZero"/>
        <c:crossBetween val="between"/>
      </c:valAx>
    </c:plotArea>
    <c:legend>
      <c:legendPos val="r"/>
    </c:legend>
    <c:plotVisOnly val="1"/>
  </c:chart>
  <c:spPr>
    <a:solidFill>
      <a:schemeClr val="accent3">
        <a:lumMod val="40000"/>
        <a:lumOff val="60000"/>
      </a:schemeClr>
    </a:solidFill>
  </c:spPr>
  <c:externalData r:id="rId1"/>
</c:chartSpace>
</file>

<file path=word/charts/chart92.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Total</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54244</c:v>
                </c:pt>
                <c:pt idx="1">
                  <c:v>48570</c:v>
                </c:pt>
                <c:pt idx="2">
                  <c:v>59488</c:v>
                </c:pt>
                <c:pt idx="3">
                  <c:v>50712</c:v>
                </c:pt>
                <c:pt idx="4">
                  <c:v>49271</c:v>
                </c:pt>
              </c:numCache>
            </c:numRef>
          </c:val>
        </c:ser>
        <c:ser>
          <c:idx val="1"/>
          <c:order val="1"/>
          <c:tx>
            <c:strRef>
              <c:f>Sheet1!$C$1</c:f>
              <c:strCache>
                <c:ptCount val="1"/>
                <c:pt idx="0">
                  <c:v>Urban</c:v>
                </c:pt>
              </c:strCache>
            </c:strRef>
          </c:tx>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54244</c:v>
                </c:pt>
                <c:pt idx="1">
                  <c:v>78570</c:v>
                </c:pt>
                <c:pt idx="2">
                  <c:v>55789</c:v>
                </c:pt>
                <c:pt idx="3">
                  <c:v>46294</c:v>
                </c:pt>
                <c:pt idx="4">
                  <c:v>46846</c:v>
                </c:pt>
              </c:numCache>
            </c:numRef>
          </c:val>
        </c:ser>
        <c:ser>
          <c:idx val="2"/>
          <c:order val="2"/>
          <c:tx>
            <c:strRef>
              <c:f>Sheet1!$D$1</c:f>
              <c:strCache>
                <c:ptCount val="1"/>
                <c:pt idx="0">
                  <c:v>Rural</c:v>
                </c:pt>
              </c:strCache>
            </c:strRef>
          </c:tx>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0</c:v>
                </c:pt>
                <c:pt idx="1">
                  <c:v>0</c:v>
                </c:pt>
                <c:pt idx="2">
                  <c:v>3699</c:v>
                </c:pt>
                <c:pt idx="3">
                  <c:v>4418</c:v>
                </c:pt>
                <c:pt idx="4">
                  <c:v>2425</c:v>
                </c:pt>
              </c:numCache>
            </c:numRef>
          </c:val>
        </c:ser>
        <c:marker val="1"/>
        <c:axId val="150363136"/>
        <c:axId val="150369024"/>
      </c:lineChart>
      <c:catAx>
        <c:axId val="150363136"/>
        <c:scaling>
          <c:orientation val="minMax"/>
        </c:scaling>
        <c:axPos val="b"/>
        <c:numFmt formatCode="General" sourceLinked="1"/>
        <c:tickLblPos val="nextTo"/>
        <c:crossAx val="150369024"/>
        <c:crosses val="autoZero"/>
        <c:auto val="1"/>
        <c:lblAlgn val="ctr"/>
        <c:lblOffset val="100"/>
      </c:catAx>
      <c:valAx>
        <c:axId val="150369024"/>
        <c:scaling>
          <c:orientation val="minMax"/>
        </c:scaling>
        <c:axPos val="l"/>
        <c:majorGridlines/>
        <c:numFmt formatCode="General" sourceLinked="1"/>
        <c:tickLblPos val="nextTo"/>
        <c:crossAx val="150363136"/>
        <c:crosses val="autoZero"/>
        <c:crossBetween val="between"/>
      </c:valAx>
    </c:plotArea>
    <c:legend>
      <c:legendPos val="r"/>
    </c:legend>
    <c:plotVisOnly val="1"/>
  </c:chart>
  <c:spPr>
    <a:solidFill>
      <a:srgbClr val="FFFF00"/>
    </a:solidFill>
  </c:spPr>
  <c:externalData r:id="rId1"/>
</c:chartSpace>
</file>

<file path=word/charts/chart93.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ro-RO" sz="1200"/>
              <a:t>C</a:t>
            </a:r>
            <a:r>
              <a:rPr lang="vi-VN" sz="1200"/>
              <a:t>antităţi de deşeuri din servicii municipale</a:t>
            </a:r>
          </a:p>
        </c:rich>
      </c:tx>
    </c:title>
    <c:plotArea>
      <c:layout/>
      <c:lineChart>
        <c:grouping val="standard"/>
        <c:ser>
          <c:idx val="0"/>
          <c:order val="0"/>
          <c:tx>
            <c:strRef>
              <c:f>Sheet1!$B$1</c:f>
              <c:strCache>
                <c:ptCount val="1"/>
                <c:pt idx="0">
                  <c:v>cantităţi de deşeuri din servicii municipale</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16238</c:v>
                </c:pt>
                <c:pt idx="1">
                  <c:v>18089</c:v>
                </c:pt>
                <c:pt idx="2">
                  <c:v>14279</c:v>
                </c:pt>
                <c:pt idx="3">
                  <c:v>14072</c:v>
                </c:pt>
                <c:pt idx="4">
                  <c:v>16711</c:v>
                </c:pt>
              </c:numCache>
            </c:numRef>
          </c:val>
        </c:ser>
        <c:marker val="1"/>
        <c:axId val="150396928"/>
        <c:axId val="150398464"/>
      </c:lineChart>
      <c:catAx>
        <c:axId val="150396928"/>
        <c:scaling>
          <c:orientation val="minMax"/>
        </c:scaling>
        <c:axPos val="b"/>
        <c:numFmt formatCode="General" sourceLinked="1"/>
        <c:tickLblPos val="nextTo"/>
        <c:crossAx val="150398464"/>
        <c:crosses val="autoZero"/>
        <c:auto val="1"/>
        <c:lblAlgn val="ctr"/>
        <c:lblOffset val="100"/>
      </c:catAx>
      <c:valAx>
        <c:axId val="150398464"/>
        <c:scaling>
          <c:orientation val="minMax"/>
        </c:scaling>
        <c:axPos val="l"/>
        <c:majorGridlines/>
        <c:numFmt formatCode="General" sourceLinked="1"/>
        <c:tickLblPos val="nextTo"/>
        <c:crossAx val="150396928"/>
        <c:crosses val="autoZero"/>
        <c:crossBetween val="between"/>
      </c:valAx>
    </c:plotArea>
    <c:legend>
      <c:legendPos val="r"/>
    </c:legend>
    <c:plotVisOnly val="1"/>
  </c:chart>
  <c:spPr>
    <a:solidFill>
      <a:schemeClr val="accent2">
        <a:lumMod val="20000"/>
        <a:lumOff val="80000"/>
      </a:schemeClr>
    </a:solidFill>
  </c:spPr>
  <c:externalData r:id="rId1"/>
</c:chartSpace>
</file>

<file path=word/charts/chart94.xml><?xml version="1.0" encoding="utf-8"?>
<c:chartSpace xmlns:c="http://schemas.openxmlformats.org/drawingml/2006/chart" xmlns:a="http://schemas.openxmlformats.org/drawingml/2006/main" xmlns:r="http://schemas.openxmlformats.org/officeDocument/2006/relationships">
  <c:date1904 val="1"/>
  <c:lang val="ro-RO"/>
  <c:chart>
    <c:title>
      <c:tx>
        <c:rich>
          <a:bodyPr/>
          <a:lstStyle/>
          <a:p>
            <a:pPr>
              <a:defRPr/>
            </a:pPr>
            <a:r>
              <a:rPr lang="vi-VN" sz="1100"/>
              <a:t>Evoluţia cantităţilor de deşeuri provenite din construcţii şi demolări</a:t>
            </a:r>
          </a:p>
        </c:rich>
      </c:tx>
    </c:title>
    <c:plotArea>
      <c:layout/>
      <c:lineChart>
        <c:grouping val="standard"/>
        <c:ser>
          <c:idx val="0"/>
          <c:order val="0"/>
          <c:tx>
            <c:strRef>
              <c:f>Sheet1!$B$1</c:f>
              <c:strCache>
                <c:ptCount val="1"/>
                <c:pt idx="0">
                  <c:v>Evoluţia cantităţilor de deşeuri provenite din construcţii şi demolări</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51000</c:v>
                </c:pt>
                <c:pt idx="1">
                  <c:v>12790</c:v>
                </c:pt>
                <c:pt idx="2">
                  <c:v>10853</c:v>
                </c:pt>
                <c:pt idx="3">
                  <c:v>10051</c:v>
                </c:pt>
                <c:pt idx="4">
                  <c:v>4990</c:v>
                </c:pt>
              </c:numCache>
            </c:numRef>
          </c:val>
        </c:ser>
        <c:marker val="1"/>
        <c:axId val="150082688"/>
        <c:axId val="150084224"/>
      </c:lineChart>
      <c:catAx>
        <c:axId val="150082688"/>
        <c:scaling>
          <c:orientation val="minMax"/>
        </c:scaling>
        <c:axPos val="b"/>
        <c:numFmt formatCode="General" sourceLinked="1"/>
        <c:tickLblPos val="nextTo"/>
        <c:crossAx val="150084224"/>
        <c:crosses val="autoZero"/>
        <c:auto val="1"/>
        <c:lblAlgn val="ctr"/>
        <c:lblOffset val="100"/>
      </c:catAx>
      <c:valAx>
        <c:axId val="150084224"/>
        <c:scaling>
          <c:orientation val="minMax"/>
        </c:scaling>
        <c:axPos val="l"/>
        <c:majorGridlines/>
        <c:numFmt formatCode="General" sourceLinked="1"/>
        <c:tickLblPos val="nextTo"/>
        <c:crossAx val="150082688"/>
        <c:crosses val="autoZero"/>
        <c:crossBetween val="between"/>
      </c:valAx>
    </c:plotArea>
    <c:legend>
      <c:legendPos val="r"/>
    </c:legend>
    <c:plotVisOnly val="1"/>
  </c:chart>
  <c:spPr>
    <a:solidFill>
      <a:schemeClr val="accent6">
        <a:lumMod val="20000"/>
        <a:lumOff val="80000"/>
      </a:schemeClr>
    </a:solidFill>
  </c:spPr>
  <c:externalData r:id="rId1"/>
</c:chartSpace>
</file>

<file path=word/charts/chart95.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autoTitleDeleted val="1"/>
    <c:view3D>
      <c:perspective val="0"/>
    </c:view3D>
    <c:plotArea>
      <c:layout>
        <c:manualLayout>
          <c:layoutTarget val="inner"/>
          <c:xMode val="edge"/>
          <c:yMode val="edge"/>
          <c:x val="0.19205298013245248"/>
          <c:y val="0.26907630522088988"/>
          <c:w val="0.58940397350993357"/>
          <c:h val="0.42971887550201437"/>
        </c:manualLayout>
      </c:layout>
      <c:pie3DChart>
        <c:varyColors val="1"/>
        <c:ser>
          <c:idx val="0"/>
          <c:order val="0"/>
          <c:tx>
            <c:strRef>
              <c:f>Sheet1!$A$2</c:f>
              <c:strCache>
                <c:ptCount val="1"/>
                <c:pt idx="0">
                  <c:v>Deşeuri colectate de la populaţie</c:v>
                </c:pt>
              </c:strCache>
            </c:strRef>
          </c:tx>
          <c:spPr>
            <a:solidFill>
              <a:srgbClr val="9999FF"/>
            </a:solidFill>
            <a:ln w="12708">
              <a:solidFill>
                <a:srgbClr val="000000"/>
              </a:solidFill>
              <a:prstDash val="solid"/>
            </a:ln>
          </c:spPr>
          <c:explosion val="13"/>
          <c:dPt>
            <c:idx val="1"/>
            <c:spPr>
              <a:solidFill>
                <a:srgbClr val="993366"/>
              </a:solidFill>
              <a:ln w="12708">
                <a:solidFill>
                  <a:srgbClr val="000000"/>
                </a:solidFill>
                <a:prstDash val="solid"/>
              </a:ln>
            </c:spPr>
          </c:dPt>
          <c:dPt>
            <c:idx val="2"/>
            <c:spPr>
              <a:solidFill>
                <a:srgbClr val="FFFFCC"/>
              </a:solidFill>
              <a:ln w="12708">
                <a:solidFill>
                  <a:srgbClr val="000000"/>
                </a:solidFill>
                <a:prstDash val="solid"/>
              </a:ln>
            </c:spPr>
          </c:dPt>
          <c:dPt>
            <c:idx val="3"/>
            <c:spPr>
              <a:solidFill>
                <a:srgbClr val="CCFFFF"/>
              </a:solidFill>
              <a:ln w="12708">
                <a:solidFill>
                  <a:srgbClr val="000000"/>
                </a:solidFill>
                <a:prstDash val="solid"/>
              </a:ln>
            </c:spPr>
          </c:dPt>
          <c:dPt>
            <c:idx val="4"/>
            <c:spPr>
              <a:solidFill>
                <a:srgbClr val="FF6600"/>
              </a:solidFill>
              <a:ln w="12708">
                <a:solidFill>
                  <a:srgbClr val="000000"/>
                </a:solidFill>
                <a:prstDash val="solid"/>
              </a:ln>
            </c:spPr>
          </c:dPt>
          <c:dPt>
            <c:idx val="5"/>
            <c:spPr>
              <a:solidFill>
                <a:srgbClr val="FF8080"/>
              </a:solidFill>
              <a:ln w="12708">
                <a:solidFill>
                  <a:srgbClr val="000000"/>
                </a:solidFill>
                <a:prstDash val="solid"/>
              </a:ln>
            </c:spPr>
          </c:dPt>
          <c:dPt>
            <c:idx val="6"/>
            <c:spPr>
              <a:solidFill>
                <a:srgbClr val="0066CC"/>
              </a:solidFill>
              <a:ln w="12708">
                <a:solidFill>
                  <a:srgbClr val="000000"/>
                </a:solidFill>
                <a:prstDash val="solid"/>
              </a:ln>
            </c:spPr>
          </c:dPt>
          <c:dPt>
            <c:idx val="7"/>
            <c:spPr>
              <a:solidFill>
                <a:srgbClr val="CCCCFF"/>
              </a:solidFill>
              <a:ln w="12708">
                <a:solidFill>
                  <a:srgbClr val="000000"/>
                </a:solidFill>
                <a:prstDash val="solid"/>
              </a:ln>
            </c:spPr>
          </c:dPt>
          <c:dLbls>
            <c:dLbl>
              <c:idx val="0"/>
              <c:tx>
                <c:rich>
                  <a:bodyPr/>
                  <a:lstStyle/>
                  <a:p>
                    <a:pPr>
                      <a:defRPr sz="797" b="1" i="0" u="none" strike="noStrike" baseline="0">
                        <a:solidFill>
                          <a:srgbClr val="000000"/>
                        </a:solidFill>
                        <a:latin typeface="Arial"/>
                        <a:ea typeface="Arial"/>
                        <a:cs typeface="Arial"/>
                      </a:defRPr>
                    </a:pPr>
                    <a:r>
                      <a:rPr lang="ro-RO"/>
                      <a:t>Hârtie şi carton</a:t>
                    </a:r>
                  </a:p>
                </c:rich>
              </c:tx>
              <c:spPr>
                <a:noFill/>
                <a:ln w="25457">
                  <a:noFill/>
                </a:ln>
              </c:spPr>
              <c:dLblPos val="bestFit"/>
            </c:dLbl>
            <c:dLbl>
              <c:idx val="1"/>
              <c:layout>
                <c:manualLayout>
                  <c:x val="-9.1574523527204119E-2"/>
                  <c:y val="-0.18085557911472455"/>
                </c:manualLayout>
              </c:layout>
              <c:dLblPos val="bestFit"/>
              <c:showCatName val="1"/>
            </c:dLbl>
            <c:dLbl>
              <c:idx val="2"/>
              <c:layout>
                <c:manualLayout>
                  <c:x val="3.6737547167388272E-2"/>
                  <c:y val="-0.2612132852191173"/>
                </c:manualLayout>
              </c:layout>
              <c:dLblPos val="bestFit"/>
              <c:showCatName val="1"/>
            </c:dLbl>
            <c:dLbl>
              <c:idx val="3"/>
              <c:layout>
                <c:manualLayout>
                  <c:x val="3.4261226272716355E-2"/>
                  <c:y val="-8.4092165777799127E-2"/>
                </c:manualLayout>
              </c:layout>
              <c:tx>
                <c:rich>
                  <a:bodyPr/>
                  <a:lstStyle/>
                  <a:p>
                    <a:pPr>
                      <a:defRPr sz="797" b="1" i="0" u="none" strike="noStrike" baseline="0">
                        <a:solidFill>
                          <a:srgbClr val="000000"/>
                        </a:solidFill>
                        <a:latin typeface="Arial"/>
                        <a:ea typeface="Arial"/>
                        <a:cs typeface="Arial"/>
                      </a:defRPr>
                    </a:pPr>
                    <a:r>
                      <a:rPr lang="ro-RO"/>
                      <a:t>Materiale
 plastice</a:t>
                    </a:r>
                  </a:p>
                </c:rich>
              </c:tx>
              <c:spPr>
                <a:noFill/>
                <a:ln w="25457">
                  <a:noFill/>
                </a:ln>
              </c:spPr>
              <c:dLblPos val="bestFit"/>
            </c:dLbl>
            <c:dLbl>
              <c:idx val="4"/>
              <c:layout>
                <c:manualLayout>
                  <c:x val="2.4117734635316593E-2"/>
                  <c:y val="0.19221468881536977"/>
                </c:manualLayout>
              </c:layout>
              <c:dLblPos val="bestFit"/>
              <c:showCatName val="1"/>
            </c:dLbl>
            <c:dLbl>
              <c:idx val="5"/>
              <c:layout>
                <c:manualLayout>
                  <c:x val="-0.12303748527259029"/>
                  <c:y val="4.7622655336255371E-2"/>
                </c:manualLayout>
              </c:layout>
              <c:dLblPos val="bestFit"/>
              <c:showCatName val="1"/>
            </c:dLbl>
            <c:dLbl>
              <c:idx val="6"/>
              <c:layout>
                <c:manualLayout>
                  <c:x val="-3.0931528030634089E-2"/>
                  <c:y val="-0.14565297136197478"/>
                </c:manualLayout>
              </c:layout>
              <c:dLblPos val="bestFit"/>
              <c:showCatName val="1"/>
            </c:dLbl>
            <c:dLbl>
              <c:idx val="7"/>
              <c:layout>
                <c:manualLayout>
                  <c:x val="-5.8662286419495523E-2"/>
                  <c:y val="-0.11846362130962926"/>
                </c:manualLayout>
              </c:layout>
              <c:dLblPos val="bestFit"/>
              <c:showCatName val="1"/>
            </c:dLbl>
            <c:spPr>
              <a:noFill/>
              <a:ln w="25457">
                <a:noFill/>
              </a:ln>
            </c:spPr>
            <c:txPr>
              <a:bodyPr/>
              <a:lstStyle/>
              <a:p>
                <a:pPr>
                  <a:defRPr sz="801" b="1" i="0" u="none" strike="noStrike" baseline="0">
                    <a:solidFill>
                      <a:srgbClr val="000000"/>
                    </a:solidFill>
                    <a:latin typeface="Arial"/>
                    <a:ea typeface="Arial"/>
                    <a:cs typeface="Arial"/>
                  </a:defRPr>
                </a:pPr>
                <a:endParaRPr lang="ro-RO"/>
              </a:p>
            </c:txPr>
            <c:showCatName val="1"/>
            <c:showLeaderLines val="1"/>
          </c:dLbls>
          <c:cat>
            <c:strRef>
              <c:f>Sheet1!$B$1:$I$1</c:f>
              <c:strCache>
                <c:ptCount val="8"/>
                <c:pt idx="0">
                  <c:v>Hârtie şi carton</c:v>
                </c:pt>
                <c:pt idx="1">
                  <c:v>Sticlă</c:v>
                </c:pt>
                <c:pt idx="2">
                  <c:v>Metale</c:v>
                </c:pt>
                <c:pt idx="3">
                  <c:v>Materiale plastice</c:v>
                </c:pt>
                <c:pt idx="4">
                  <c:v>Lemn</c:v>
                </c:pt>
                <c:pt idx="5">
                  <c:v>Biodegradabile</c:v>
                </c:pt>
                <c:pt idx="6">
                  <c:v>Inerte</c:v>
                </c:pt>
                <c:pt idx="7">
                  <c:v>Altele</c:v>
                </c:pt>
              </c:strCache>
            </c:strRef>
          </c:cat>
          <c:val>
            <c:numRef>
              <c:f>Sheet1!$B$2:$I$2</c:f>
              <c:numCache>
                <c:formatCode>General</c:formatCode>
                <c:ptCount val="8"/>
                <c:pt idx="0">
                  <c:v>11</c:v>
                </c:pt>
                <c:pt idx="1">
                  <c:v>5</c:v>
                </c:pt>
                <c:pt idx="2">
                  <c:v>5</c:v>
                </c:pt>
                <c:pt idx="3">
                  <c:v>10</c:v>
                </c:pt>
                <c:pt idx="4">
                  <c:v>3</c:v>
                </c:pt>
                <c:pt idx="5">
                  <c:v>52</c:v>
                </c:pt>
                <c:pt idx="6">
                  <c:v>2</c:v>
                </c:pt>
                <c:pt idx="7">
                  <c:v>12</c:v>
                </c:pt>
              </c:numCache>
            </c:numRef>
          </c:val>
        </c:ser>
        <c:ser>
          <c:idx val="1"/>
          <c:order val="1"/>
          <c:tx>
            <c:strRef>
              <c:f>Sheet1!$A$3</c:f>
              <c:strCache>
                <c:ptCount val="1"/>
              </c:strCache>
            </c:strRef>
          </c:tx>
          <c:spPr>
            <a:solidFill>
              <a:srgbClr val="993366"/>
            </a:solidFill>
            <a:ln w="12708">
              <a:solidFill>
                <a:srgbClr val="000000"/>
              </a:solidFill>
              <a:prstDash val="solid"/>
            </a:ln>
          </c:spPr>
          <c:explosion val="13"/>
          <c:dPt>
            <c:idx val="0"/>
            <c:spPr>
              <a:solidFill>
                <a:srgbClr val="9999FF"/>
              </a:solidFill>
              <a:ln w="12708">
                <a:solidFill>
                  <a:srgbClr val="000000"/>
                </a:solidFill>
                <a:prstDash val="solid"/>
              </a:ln>
            </c:spPr>
          </c:dPt>
          <c:dPt>
            <c:idx val="2"/>
            <c:spPr>
              <a:solidFill>
                <a:srgbClr val="FFFFCC"/>
              </a:solidFill>
              <a:ln w="12708">
                <a:solidFill>
                  <a:srgbClr val="000000"/>
                </a:solidFill>
                <a:prstDash val="solid"/>
              </a:ln>
            </c:spPr>
          </c:dPt>
          <c:dPt>
            <c:idx val="3"/>
            <c:spPr>
              <a:solidFill>
                <a:srgbClr val="CCFFFF"/>
              </a:solidFill>
              <a:ln w="12708">
                <a:solidFill>
                  <a:srgbClr val="000000"/>
                </a:solidFill>
                <a:prstDash val="solid"/>
              </a:ln>
            </c:spPr>
          </c:dPt>
          <c:dPt>
            <c:idx val="4"/>
            <c:spPr>
              <a:solidFill>
                <a:srgbClr val="660066"/>
              </a:solidFill>
              <a:ln w="12708">
                <a:solidFill>
                  <a:srgbClr val="000000"/>
                </a:solidFill>
                <a:prstDash val="solid"/>
              </a:ln>
            </c:spPr>
          </c:dPt>
          <c:dPt>
            <c:idx val="5"/>
            <c:spPr>
              <a:solidFill>
                <a:srgbClr val="FF8080"/>
              </a:solidFill>
              <a:ln w="12708">
                <a:solidFill>
                  <a:srgbClr val="000000"/>
                </a:solidFill>
                <a:prstDash val="solid"/>
              </a:ln>
            </c:spPr>
          </c:dPt>
          <c:dPt>
            <c:idx val="6"/>
            <c:spPr>
              <a:solidFill>
                <a:srgbClr val="0066CC"/>
              </a:solidFill>
              <a:ln w="12708">
                <a:solidFill>
                  <a:srgbClr val="000000"/>
                </a:solidFill>
                <a:prstDash val="solid"/>
              </a:ln>
            </c:spPr>
          </c:dPt>
          <c:dPt>
            <c:idx val="7"/>
            <c:spPr>
              <a:solidFill>
                <a:srgbClr val="CCCCFF"/>
              </a:solidFill>
              <a:ln w="12708">
                <a:solidFill>
                  <a:srgbClr val="000000"/>
                </a:solidFill>
                <a:prstDash val="solid"/>
              </a:ln>
            </c:spPr>
          </c:dPt>
          <c:cat>
            <c:strRef>
              <c:f>Sheet1!$B$1:$I$1</c:f>
              <c:strCache>
                <c:ptCount val="8"/>
                <c:pt idx="0">
                  <c:v>Hârtie şi carton</c:v>
                </c:pt>
                <c:pt idx="1">
                  <c:v>Sticlă</c:v>
                </c:pt>
                <c:pt idx="2">
                  <c:v>Metale</c:v>
                </c:pt>
                <c:pt idx="3">
                  <c:v>Materiale plastice</c:v>
                </c:pt>
                <c:pt idx="4">
                  <c:v>Lemn</c:v>
                </c:pt>
                <c:pt idx="5">
                  <c:v>Biodegradabile</c:v>
                </c:pt>
                <c:pt idx="6">
                  <c:v>Inerte</c:v>
                </c:pt>
                <c:pt idx="7">
                  <c:v>Altele</c:v>
                </c:pt>
              </c:strCache>
            </c:strRef>
          </c:cat>
          <c:val>
            <c:numRef>
              <c:f>Sheet1!$B$3:$I$3</c:f>
              <c:numCache>
                <c:formatCode>General</c:formatCode>
                <c:ptCount val="8"/>
              </c:numCache>
            </c:numRef>
          </c:val>
        </c:ser>
        <c:ser>
          <c:idx val="2"/>
          <c:order val="2"/>
          <c:tx>
            <c:strRef>
              <c:f>Sheet1!$A$4</c:f>
              <c:strCache>
                <c:ptCount val="1"/>
              </c:strCache>
            </c:strRef>
          </c:tx>
          <c:spPr>
            <a:solidFill>
              <a:srgbClr val="FFFFCC"/>
            </a:solidFill>
            <a:ln w="12708">
              <a:solidFill>
                <a:srgbClr val="000000"/>
              </a:solidFill>
              <a:prstDash val="solid"/>
            </a:ln>
          </c:spPr>
          <c:explosion val="13"/>
          <c:dPt>
            <c:idx val="0"/>
            <c:spPr>
              <a:solidFill>
                <a:srgbClr val="9999FF"/>
              </a:solidFill>
              <a:ln w="12708">
                <a:solidFill>
                  <a:srgbClr val="000000"/>
                </a:solidFill>
                <a:prstDash val="solid"/>
              </a:ln>
            </c:spPr>
          </c:dPt>
          <c:dPt>
            <c:idx val="1"/>
            <c:spPr>
              <a:solidFill>
                <a:srgbClr val="993366"/>
              </a:solidFill>
              <a:ln w="12708">
                <a:solidFill>
                  <a:srgbClr val="000000"/>
                </a:solidFill>
                <a:prstDash val="solid"/>
              </a:ln>
            </c:spPr>
          </c:dPt>
          <c:dPt>
            <c:idx val="3"/>
            <c:spPr>
              <a:solidFill>
                <a:srgbClr val="CCFFFF"/>
              </a:solidFill>
              <a:ln w="12708">
                <a:solidFill>
                  <a:srgbClr val="000000"/>
                </a:solidFill>
                <a:prstDash val="solid"/>
              </a:ln>
            </c:spPr>
          </c:dPt>
          <c:dPt>
            <c:idx val="4"/>
            <c:spPr>
              <a:solidFill>
                <a:srgbClr val="660066"/>
              </a:solidFill>
              <a:ln w="12708">
                <a:solidFill>
                  <a:srgbClr val="000000"/>
                </a:solidFill>
                <a:prstDash val="solid"/>
              </a:ln>
            </c:spPr>
          </c:dPt>
          <c:dPt>
            <c:idx val="5"/>
            <c:spPr>
              <a:solidFill>
                <a:srgbClr val="FF8080"/>
              </a:solidFill>
              <a:ln w="12708">
                <a:solidFill>
                  <a:srgbClr val="000000"/>
                </a:solidFill>
                <a:prstDash val="solid"/>
              </a:ln>
            </c:spPr>
          </c:dPt>
          <c:dPt>
            <c:idx val="6"/>
            <c:spPr>
              <a:solidFill>
                <a:srgbClr val="0066CC"/>
              </a:solidFill>
              <a:ln w="12708">
                <a:solidFill>
                  <a:srgbClr val="000000"/>
                </a:solidFill>
                <a:prstDash val="solid"/>
              </a:ln>
            </c:spPr>
          </c:dPt>
          <c:dPt>
            <c:idx val="7"/>
            <c:spPr>
              <a:solidFill>
                <a:srgbClr val="CCCCFF"/>
              </a:solidFill>
              <a:ln w="12708">
                <a:solidFill>
                  <a:srgbClr val="000000"/>
                </a:solidFill>
                <a:prstDash val="solid"/>
              </a:ln>
            </c:spPr>
          </c:dPt>
          <c:cat>
            <c:strRef>
              <c:f>Sheet1!$B$1:$I$1</c:f>
              <c:strCache>
                <c:ptCount val="8"/>
                <c:pt idx="0">
                  <c:v>Hârtie şi carton</c:v>
                </c:pt>
                <c:pt idx="1">
                  <c:v>Sticlă</c:v>
                </c:pt>
                <c:pt idx="2">
                  <c:v>Metale</c:v>
                </c:pt>
                <c:pt idx="3">
                  <c:v>Materiale plastice</c:v>
                </c:pt>
                <c:pt idx="4">
                  <c:v>Lemn</c:v>
                </c:pt>
                <c:pt idx="5">
                  <c:v>Biodegradabile</c:v>
                </c:pt>
                <c:pt idx="6">
                  <c:v>Inerte</c:v>
                </c:pt>
                <c:pt idx="7">
                  <c:v>Altele</c:v>
                </c:pt>
              </c:strCache>
            </c:strRef>
          </c:cat>
          <c:val>
            <c:numRef>
              <c:f>Sheet1!$B$4:$I$4</c:f>
              <c:numCache>
                <c:formatCode>General</c:formatCode>
                <c:ptCount val="8"/>
              </c:numCache>
            </c:numRef>
          </c:val>
        </c:ser>
      </c:pie3DChart>
      <c:spPr>
        <a:noFill/>
        <a:ln w="25435">
          <a:noFill/>
        </a:ln>
      </c:spPr>
    </c:plotArea>
    <c:plotVisOnly val="1"/>
    <c:dispBlanksAs val="zero"/>
  </c:chart>
  <c:spPr>
    <a:gradFill rotWithShape="0">
      <a:gsLst>
        <a:gs pos="0">
          <a:srgbClr val="FFFFFF"/>
        </a:gs>
        <a:gs pos="100000">
          <a:srgbClr val="C0C0C0"/>
        </a:gs>
      </a:gsLst>
      <a:path path="rect">
        <a:fillToRect l="50000" t="50000" r="50000" b="50000"/>
      </a:path>
    </a:gradFill>
    <a:ln>
      <a:noFill/>
    </a:ln>
  </c:spPr>
  <c:txPr>
    <a:bodyPr/>
    <a:lstStyle/>
    <a:p>
      <a:pPr>
        <a:defRPr sz="1056" b="1" i="0" u="none" strike="noStrike" baseline="0">
          <a:solidFill>
            <a:srgbClr val="000000"/>
          </a:solidFill>
          <a:latin typeface="Arial"/>
          <a:ea typeface="Arial"/>
          <a:cs typeface="Arial"/>
        </a:defRPr>
      </a:pPr>
      <a:endParaRPr lang="ro-RO"/>
    </a:p>
  </c:txPr>
  <c:externalData r:id="rId2"/>
</c:chartSpace>
</file>

<file path=word/charts/chart96.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total</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38.4</c:v>
                </c:pt>
                <c:pt idx="1">
                  <c:v>49.13</c:v>
                </c:pt>
                <c:pt idx="2">
                  <c:v>60.36</c:v>
                </c:pt>
                <c:pt idx="3">
                  <c:v>90.05</c:v>
                </c:pt>
                <c:pt idx="4">
                  <c:v>93.669999999999987</c:v>
                </c:pt>
              </c:numCache>
            </c:numRef>
          </c:val>
        </c:ser>
        <c:ser>
          <c:idx val="1"/>
          <c:order val="1"/>
          <c:tx>
            <c:strRef>
              <c:f>Sheet1!$C$1</c:f>
              <c:strCache>
                <c:ptCount val="1"/>
                <c:pt idx="0">
                  <c:v>urban</c:v>
                </c:pt>
              </c:strCache>
            </c:strRef>
          </c:tx>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59.1</c:v>
                </c:pt>
                <c:pt idx="1">
                  <c:v>69.169999999999987</c:v>
                </c:pt>
                <c:pt idx="2">
                  <c:v>70.83</c:v>
                </c:pt>
                <c:pt idx="3">
                  <c:v>70.36</c:v>
                </c:pt>
                <c:pt idx="4">
                  <c:v>91.88</c:v>
                </c:pt>
              </c:numCache>
            </c:numRef>
          </c:val>
        </c:ser>
        <c:ser>
          <c:idx val="2"/>
          <c:order val="2"/>
          <c:tx>
            <c:strRef>
              <c:f>Sheet1!$D$1</c:f>
              <c:strCache>
                <c:ptCount val="1"/>
                <c:pt idx="0">
                  <c:v>rural</c:v>
                </c:pt>
              </c:strCache>
            </c:strRef>
          </c:tx>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0</c:v>
                </c:pt>
                <c:pt idx="1">
                  <c:v>11.9</c:v>
                </c:pt>
                <c:pt idx="2">
                  <c:v>40.910000000000004</c:v>
                </c:pt>
                <c:pt idx="3">
                  <c:v>96.6</c:v>
                </c:pt>
                <c:pt idx="4">
                  <c:v>96.6</c:v>
                </c:pt>
              </c:numCache>
            </c:numRef>
          </c:val>
        </c:ser>
        <c:marker val="1"/>
        <c:axId val="150303104"/>
        <c:axId val="150304640"/>
      </c:lineChart>
      <c:catAx>
        <c:axId val="150303104"/>
        <c:scaling>
          <c:orientation val="minMax"/>
        </c:scaling>
        <c:axPos val="b"/>
        <c:numFmt formatCode="General" sourceLinked="1"/>
        <c:tickLblPos val="nextTo"/>
        <c:crossAx val="150304640"/>
        <c:crosses val="autoZero"/>
        <c:auto val="1"/>
        <c:lblAlgn val="ctr"/>
        <c:lblOffset val="100"/>
      </c:catAx>
      <c:valAx>
        <c:axId val="150304640"/>
        <c:scaling>
          <c:orientation val="minMax"/>
        </c:scaling>
        <c:axPos val="l"/>
        <c:majorGridlines/>
        <c:numFmt formatCode="General" sourceLinked="1"/>
        <c:tickLblPos val="nextTo"/>
        <c:crossAx val="150303104"/>
        <c:crosses val="autoZero"/>
        <c:crossBetween val="between"/>
      </c:valAx>
    </c:plotArea>
    <c:legend>
      <c:legendPos val="r"/>
    </c:legend>
    <c:plotVisOnly val="1"/>
  </c:chart>
  <c:spPr>
    <a:solidFill>
      <a:schemeClr val="accent6">
        <a:lumMod val="40000"/>
        <a:lumOff val="60000"/>
      </a:schemeClr>
    </a:solidFill>
  </c:spPr>
  <c:externalData r:id="rId1"/>
</c:chartSpace>
</file>

<file path=word/charts/chart97.xml><?xml version="1.0" encoding="utf-8"?>
<c:chartSpace xmlns:c="http://schemas.openxmlformats.org/drawingml/2006/chart" xmlns:a="http://schemas.openxmlformats.org/drawingml/2006/main" xmlns:r="http://schemas.openxmlformats.org/officeDocument/2006/relationships">
  <c:date1904 val="1"/>
  <c:lang val="ro-RO"/>
  <c:chart>
    <c:plotArea>
      <c:layout/>
      <c:lineChart>
        <c:grouping val="standard"/>
        <c:ser>
          <c:idx val="0"/>
          <c:order val="0"/>
          <c:tx>
            <c:strRef>
              <c:f>Sheet1!$B$1</c:f>
              <c:strCache>
                <c:ptCount val="1"/>
                <c:pt idx="0">
                  <c:v>total</c:v>
                </c:pt>
              </c:strCache>
            </c:strRef>
          </c:tx>
          <c:cat>
            <c:numRef>
              <c:f>Sheet1!$A$2:$A$6</c:f>
              <c:numCache>
                <c:formatCode>General</c:formatCode>
                <c:ptCount val="5"/>
                <c:pt idx="0">
                  <c:v>2008</c:v>
                </c:pt>
                <c:pt idx="1">
                  <c:v>2009</c:v>
                </c:pt>
                <c:pt idx="2">
                  <c:v>2010</c:v>
                </c:pt>
                <c:pt idx="3">
                  <c:v>2011</c:v>
                </c:pt>
                <c:pt idx="4">
                  <c:v>2012</c:v>
                </c:pt>
              </c:numCache>
            </c:numRef>
          </c:cat>
          <c:val>
            <c:numRef>
              <c:f>Sheet1!$B$2:$B$6</c:f>
              <c:numCache>
                <c:formatCode>General</c:formatCode>
                <c:ptCount val="5"/>
                <c:pt idx="0">
                  <c:v>50164</c:v>
                </c:pt>
                <c:pt idx="1">
                  <c:v>39927</c:v>
                </c:pt>
                <c:pt idx="2">
                  <c:v>33211</c:v>
                </c:pt>
                <c:pt idx="3">
                  <c:v>9633</c:v>
                </c:pt>
                <c:pt idx="4">
                  <c:v>7302</c:v>
                </c:pt>
              </c:numCache>
            </c:numRef>
          </c:val>
        </c:ser>
        <c:ser>
          <c:idx val="1"/>
          <c:order val="1"/>
          <c:tx>
            <c:strRef>
              <c:f>Sheet1!$C$1</c:f>
              <c:strCache>
                <c:ptCount val="1"/>
                <c:pt idx="0">
                  <c:v>urban</c:v>
                </c:pt>
              </c:strCache>
            </c:strRef>
          </c:tx>
          <c:cat>
            <c:numRef>
              <c:f>Sheet1!$A$2:$A$6</c:f>
              <c:numCache>
                <c:formatCode>General</c:formatCode>
                <c:ptCount val="5"/>
                <c:pt idx="0">
                  <c:v>2008</c:v>
                </c:pt>
                <c:pt idx="1">
                  <c:v>2009</c:v>
                </c:pt>
                <c:pt idx="2">
                  <c:v>2010</c:v>
                </c:pt>
                <c:pt idx="3">
                  <c:v>2011</c:v>
                </c:pt>
                <c:pt idx="4">
                  <c:v>2012</c:v>
                </c:pt>
              </c:numCache>
            </c:numRef>
          </c:cat>
          <c:val>
            <c:numRef>
              <c:f>Sheet1!$C$2:$C$6</c:f>
              <c:numCache>
                <c:formatCode>General</c:formatCode>
                <c:ptCount val="5"/>
                <c:pt idx="0">
                  <c:v>31640</c:v>
                </c:pt>
                <c:pt idx="1">
                  <c:v>23718</c:v>
                </c:pt>
                <c:pt idx="2">
                  <c:v>22368</c:v>
                </c:pt>
                <c:pt idx="3">
                  <c:v>9567</c:v>
                </c:pt>
                <c:pt idx="4">
                  <c:v>6538</c:v>
                </c:pt>
              </c:numCache>
            </c:numRef>
          </c:val>
        </c:ser>
        <c:ser>
          <c:idx val="2"/>
          <c:order val="2"/>
          <c:tx>
            <c:strRef>
              <c:f>Sheet1!$D$1</c:f>
              <c:strCache>
                <c:ptCount val="1"/>
                <c:pt idx="0">
                  <c:v>rural</c:v>
                </c:pt>
              </c:strCache>
            </c:strRef>
          </c:tx>
          <c:cat>
            <c:numRef>
              <c:f>Sheet1!$A$2:$A$6</c:f>
              <c:numCache>
                <c:formatCode>General</c:formatCode>
                <c:ptCount val="5"/>
                <c:pt idx="0">
                  <c:v>2008</c:v>
                </c:pt>
                <c:pt idx="1">
                  <c:v>2009</c:v>
                </c:pt>
                <c:pt idx="2">
                  <c:v>2010</c:v>
                </c:pt>
                <c:pt idx="3">
                  <c:v>2011</c:v>
                </c:pt>
                <c:pt idx="4">
                  <c:v>2012</c:v>
                </c:pt>
              </c:numCache>
            </c:numRef>
          </c:cat>
          <c:val>
            <c:numRef>
              <c:f>Sheet1!$D$2:$D$6</c:f>
              <c:numCache>
                <c:formatCode>General</c:formatCode>
                <c:ptCount val="5"/>
                <c:pt idx="0">
                  <c:v>18523</c:v>
                </c:pt>
                <c:pt idx="1">
                  <c:v>16209</c:v>
                </c:pt>
                <c:pt idx="2">
                  <c:v>10843</c:v>
                </c:pt>
                <c:pt idx="3">
                  <c:v>65</c:v>
                </c:pt>
                <c:pt idx="4">
                  <c:v>763</c:v>
                </c:pt>
              </c:numCache>
            </c:numRef>
          </c:val>
        </c:ser>
        <c:marker val="1"/>
        <c:axId val="150506112"/>
        <c:axId val="150602112"/>
      </c:lineChart>
      <c:catAx>
        <c:axId val="150506112"/>
        <c:scaling>
          <c:orientation val="minMax"/>
        </c:scaling>
        <c:axPos val="b"/>
        <c:numFmt formatCode="General" sourceLinked="1"/>
        <c:tickLblPos val="nextTo"/>
        <c:crossAx val="150602112"/>
        <c:crosses val="autoZero"/>
        <c:auto val="1"/>
        <c:lblAlgn val="ctr"/>
        <c:lblOffset val="100"/>
      </c:catAx>
      <c:valAx>
        <c:axId val="150602112"/>
        <c:scaling>
          <c:orientation val="minMax"/>
        </c:scaling>
        <c:axPos val="l"/>
        <c:majorGridlines/>
        <c:numFmt formatCode="General" sourceLinked="1"/>
        <c:tickLblPos val="nextTo"/>
        <c:crossAx val="150506112"/>
        <c:crosses val="autoZero"/>
        <c:crossBetween val="between"/>
      </c:valAx>
    </c:plotArea>
    <c:legend>
      <c:legendPos val="r"/>
    </c:legend>
    <c:plotVisOnly val="1"/>
  </c:chart>
  <c:spPr>
    <a:solidFill>
      <a:schemeClr val="accent6">
        <a:lumMod val="20000"/>
        <a:lumOff val="80000"/>
      </a:schemeClr>
    </a:solidFill>
  </c:spPr>
  <c:externalData r:id="rId1"/>
</c:chartSpace>
</file>

<file path=word/charts/chart98.xml><?xml version="1.0" encoding="utf-8"?>
<c:chartSpace xmlns:c="http://schemas.openxmlformats.org/drawingml/2006/chart" xmlns:a="http://schemas.openxmlformats.org/drawingml/2006/main" xmlns:r="http://schemas.openxmlformats.org/officeDocument/2006/relationships">
  <c:date1904 val="1"/>
  <c:lang val="ro-RO"/>
  <c:clrMapOvr bg1="lt1" tx1="dk1" bg2="lt2" tx2="dk2" accent1="accent1" accent2="accent2" accent3="accent3" accent4="accent4" accent5="accent5" accent6="accent6" hlink="hlink" folHlink="folHlink"/>
  <c:chart>
    <c:view3D>
      <c:hPercent val="76"/>
      <c:depthPercent val="100"/>
      <c:rAngAx val="1"/>
    </c:view3D>
    <c:floor>
      <c:spPr>
        <a:solidFill>
          <a:srgbClr val="C0C0C0"/>
        </a:solidFill>
        <a:ln w="3175">
          <a:solidFill>
            <a:srgbClr val="000000"/>
          </a:solidFill>
          <a:prstDash val="solid"/>
        </a:ln>
      </c:spPr>
    </c:floor>
    <c:sideWall>
      <c:spPr>
        <a:gradFill rotWithShape="0">
          <a:gsLst>
            <a:gs pos="0">
              <a:srgbClr val="FFFFFF"/>
            </a:gs>
            <a:gs pos="100000">
              <a:srgbClr val="C0C0C0"/>
            </a:gs>
          </a:gsLst>
          <a:lin ang="5400000" scaled="1"/>
        </a:gradFill>
        <a:ln w="12700">
          <a:solidFill>
            <a:srgbClr val="808080"/>
          </a:solidFill>
          <a:prstDash val="solid"/>
        </a:ln>
      </c:spPr>
    </c:sideWall>
    <c:backWall>
      <c:spPr>
        <a:gradFill rotWithShape="0">
          <a:gsLst>
            <a:gs pos="0">
              <a:srgbClr val="FFFFFF"/>
            </a:gs>
            <a:gs pos="100000">
              <a:srgbClr val="C0C0C0"/>
            </a:gs>
          </a:gsLst>
          <a:lin ang="5400000" scaled="1"/>
        </a:gradFill>
        <a:ln w="12700">
          <a:solidFill>
            <a:srgbClr val="808080"/>
          </a:solidFill>
          <a:prstDash val="solid"/>
        </a:ln>
      </c:spPr>
    </c:backWall>
    <c:plotArea>
      <c:layout>
        <c:manualLayout>
          <c:layoutTarget val="inner"/>
          <c:xMode val="edge"/>
          <c:yMode val="edge"/>
          <c:x val="0.22469378092636821"/>
          <c:y val="5.0130106251577482E-2"/>
          <c:w val="0.51857585139319584"/>
          <c:h val="0.806843783382447"/>
        </c:manualLayout>
      </c:layout>
      <c:bar3DChart>
        <c:barDir val="col"/>
        <c:grouping val="clustered"/>
        <c:ser>
          <c:idx val="0"/>
          <c:order val="0"/>
          <c:tx>
            <c:strRef>
              <c:f>Sheet1!$A$2</c:f>
              <c:strCache>
                <c:ptCount val="1"/>
                <c:pt idx="0">
                  <c:v>Depozite conforme</c:v>
                </c:pt>
              </c:strCache>
            </c:strRef>
          </c:tx>
          <c:spPr>
            <a:solidFill>
              <a:srgbClr val="9999FF"/>
            </a:solidFill>
            <a:ln w="12706">
              <a:solidFill>
                <a:srgbClr val="000000"/>
              </a:solidFill>
              <a:prstDash val="solid"/>
            </a:ln>
          </c:spP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Sheet1!$B$2:$H$2</c:f>
              <c:numCache>
                <c:formatCode>General</c:formatCode>
                <c:ptCount val="7"/>
                <c:pt idx="0">
                  <c:v>68350</c:v>
                </c:pt>
                <c:pt idx="1">
                  <c:v>70935</c:v>
                </c:pt>
                <c:pt idx="2">
                  <c:v>66020</c:v>
                </c:pt>
                <c:pt idx="3">
                  <c:v>62246</c:v>
                </c:pt>
                <c:pt idx="4">
                  <c:v>62837</c:v>
                </c:pt>
                <c:pt idx="5">
                  <c:v>64893</c:v>
                </c:pt>
                <c:pt idx="6">
                  <c:v>80811</c:v>
                </c:pt>
              </c:numCache>
            </c:numRef>
          </c:val>
        </c:ser>
        <c:ser>
          <c:idx val="1"/>
          <c:order val="1"/>
          <c:tx>
            <c:strRef>
              <c:f>Sheet1!$A$3</c:f>
              <c:strCache>
                <c:ptCount val="1"/>
                <c:pt idx="0">
                  <c:v>Depozite neconforme</c:v>
                </c:pt>
              </c:strCache>
            </c:strRef>
          </c:tx>
          <c:spPr>
            <a:solidFill>
              <a:srgbClr val="993366"/>
            </a:solidFill>
            <a:ln w="12706">
              <a:solidFill>
                <a:srgbClr val="000000"/>
              </a:solidFill>
              <a:prstDash val="solid"/>
            </a:ln>
          </c:spPr>
          <c:cat>
            <c:numRef>
              <c:f>Sheet1!$B$1:$H$1</c:f>
              <c:numCache>
                <c:formatCode>General</c:formatCode>
                <c:ptCount val="7"/>
                <c:pt idx="0">
                  <c:v>2007</c:v>
                </c:pt>
                <c:pt idx="1">
                  <c:v>2008</c:v>
                </c:pt>
                <c:pt idx="2">
                  <c:v>2009</c:v>
                </c:pt>
                <c:pt idx="3">
                  <c:v>2010</c:v>
                </c:pt>
                <c:pt idx="4">
                  <c:v>2011</c:v>
                </c:pt>
                <c:pt idx="5">
                  <c:v>2012</c:v>
                </c:pt>
                <c:pt idx="6">
                  <c:v>2013</c:v>
                </c:pt>
              </c:numCache>
            </c:numRef>
          </c:cat>
          <c:val>
            <c:numRef>
              <c:f>Sheet1!$B$3:$H$3</c:f>
              <c:numCache>
                <c:formatCode>General</c:formatCode>
                <c:ptCount val="7"/>
                <c:pt idx="0">
                  <c:v>1169</c:v>
                </c:pt>
                <c:pt idx="1">
                  <c:v>1190</c:v>
                </c:pt>
                <c:pt idx="2">
                  <c:v>310</c:v>
                </c:pt>
                <c:pt idx="3">
                  <c:v>956</c:v>
                </c:pt>
                <c:pt idx="4">
                  <c:v>627</c:v>
                </c:pt>
                <c:pt idx="5">
                  <c:v>295</c:v>
                </c:pt>
                <c:pt idx="6">
                  <c:v>128</c:v>
                </c:pt>
              </c:numCache>
            </c:numRef>
          </c:val>
        </c:ser>
        <c:gapDepth val="0"/>
        <c:shape val="box"/>
        <c:axId val="149854080"/>
        <c:axId val="149855616"/>
        <c:axId val="0"/>
      </c:bar3DChart>
      <c:catAx>
        <c:axId val="149854080"/>
        <c:scaling>
          <c:orientation val="minMax"/>
        </c:scaling>
        <c:axPos val="b"/>
        <c:numFmt formatCode="General" sourceLinked="1"/>
        <c:tickLblPos val="low"/>
        <c:spPr>
          <a:ln w="3177">
            <a:solidFill>
              <a:srgbClr val="000000"/>
            </a:solidFill>
            <a:prstDash val="solid"/>
          </a:ln>
        </c:spPr>
        <c:txPr>
          <a:bodyPr rot="0" vert="horz"/>
          <a:lstStyle/>
          <a:p>
            <a:pPr>
              <a:defRPr sz="1100" b="1" i="0" u="none" strike="noStrike" baseline="0">
                <a:solidFill>
                  <a:srgbClr val="000000"/>
                </a:solidFill>
                <a:latin typeface="Arial Narrow"/>
                <a:ea typeface="Arial Narrow"/>
                <a:cs typeface="Arial Narrow"/>
              </a:defRPr>
            </a:pPr>
            <a:endParaRPr lang="ro-RO"/>
          </a:p>
        </c:txPr>
        <c:crossAx val="149855616"/>
        <c:crosses val="autoZero"/>
        <c:auto val="1"/>
        <c:lblAlgn val="ctr"/>
        <c:lblOffset val="100"/>
        <c:tickLblSkip val="1"/>
        <c:tickMarkSkip val="1"/>
      </c:catAx>
      <c:valAx>
        <c:axId val="149855616"/>
        <c:scaling>
          <c:orientation val="minMax"/>
        </c:scaling>
        <c:axPos val="l"/>
        <c:majorGridlines>
          <c:spPr>
            <a:ln w="3177">
              <a:solidFill>
                <a:srgbClr val="000000"/>
              </a:solidFill>
              <a:prstDash val="solid"/>
            </a:ln>
          </c:spPr>
        </c:majorGridlines>
        <c:numFmt formatCode="General" sourceLinked="1"/>
        <c:tickLblPos val="nextTo"/>
        <c:spPr>
          <a:ln w="3177">
            <a:solidFill>
              <a:srgbClr val="000000"/>
            </a:solidFill>
            <a:prstDash val="solid"/>
          </a:ln>
        </c:spPr>
        <c:txPr>
          <a:bodyPr rot="0" vert="horz"/>
          <a:lstStyle/>
          <a:p>
            <a:pPr>
              <a:defRPr sz="1100" b="1" i="0" u="none" strike="noStrike" baseline="0">
                <a:solidFill>
                  <a:srgbClr val="000000"/>
                </a:solidFill>
                <a:latin typeface="Arial Narrow"/>
                <a:ea typeface="Arial Narrow"/>
                <a:cs typeface="Arial Narrow"/>
              </a:defRPr>
            </a:pPr>
            <a:endParaRPr lang="ro-RO"/>
          </a:p>
        </c:txPr>
        <c:crossAx val="149854080"/>
        <c:crosses val="autoZero"/>
        <c:crossBetween val="between"/>
      </c:valAx>
      <c:dTable>
        <c:showHorzBorder val="1"/>
        <c:showVertBorder val="1"/>
        <c:showOutline val="1"/>
        <c:showKeys val="1"/>
        <c:spPr>
          <a:ln w="3177">
            <a:solidFill>
              <a:srgbClr val="000000"/>
            </a:solidFill>
            <a:prstDash val="solid"/>
          </a:ln>
        </c:spPr>
        <c:txPr>
          <a:bodyPr/>
          <a:lstStyle/>
          <a:p>
            <a:pPr rtl="0">
              <a:defRPr sz="1000" b="1" i="0" u="none" strike="noStrike" baseline="0">
                <a:solidFill>
                  <a:srgbClr val="000000"/>
                </a:solidFill>
                <a:latin typeface="Arial Narrow"/>
                <a:ea typeface="Arial Narrow"/>
                <a:cs typeface="Arial Narrow"/>
              </a:defRPr>
            </a:pPr>
            <a:endParaRPr lang="ro-RO"/>
          </a:p>
        </c:txPr>
      </c:dTable>
      <c:spPr>
        <a:noFill/>
        <a:ln w="25402">
          <a:noFill/>
        </a:ln>
      </c:spPr>
    </c:plotArea>
    <c:legend>
      <c:legendPos val="r"/>
      <c:layout>
        <c:manualLayout>
          <c:xMode val="edge"/>
          <c:yMode val="edge"/>
          <c:x val="0.75387003208834535"/>
          <c:y val="0.43617021276595946"/>
          <c:w val="0.23993801393063871"/>
          <c:h val="0.13031914893617041"/>
        </c:manualLayout>
      </c:layout>
      <c:spPr>
        <a:noFill/>
        <a:ln w="3177">
          <a:solidFill>
            <a:srgbClr val="000000"/>
          </a:solidFill>
          <a:prstDash val="solid"/>
        </a:ln>
      </c:spPr>
      <c:txPr>
        <a:bodyPr/>
        <a:lstStyle/>
        <a:p>
          <a:pPr>
            <a:defRPr sz="1101" b="1" i="0" u="none" strike="noStrike" baseline="0">
              <a:solidFill>
                <a:srgbClr val="000000"/>
              </a:solidFill>
              <a:latin typeface="Arial Narrow"/>
              <a:ea typeface="Arial Narrow"/>
              <a:cs typeface="Arial Narrow"/>
            </a:defRPr>
          </a:pPr>
          <a:endParaRPr lang="ro-RO"/>
        </a:p>
      </c:txPr>
    </c:legend>
    <c:plotVisOnly val="1"/>
    <c:dispBlanksAs val="gap"/>
  </c:chart>
  <c:spPr>
    <a:solidFill>
      <a:srgbClr val="EEECE1"/>
    </a:solidFill>
    <a:ln>
      <a:noFill/>
    </a:ln>
  </c:spPr>
  <c:txPr>
    <a:bodyPr/>
    <a:lstStyle/>
    <a:p>
      <a:pPr>
        <a:defRPr sz="1650" b="1" i="0" u="none" strike="noStrike" baseline="0">
          <a:solidFill>
            <a:srgbClr val="000000"/>
          </a:solidFill>
          <a:latin typeface="Arial Narrow"/>
          <a:ea typeface="Arial Narrow"/>
          <a:cs typeface="Arial Narrow"/>
        </a:defRPr>
      </a:pPr>
      <a:endParaRPr lang="ro-RO"/>
    </a:p>
  </c:txPr>
  <c:externalData r:id="rId2"/>
</c:chartSpace>
</file>

<file path=word/charts/chart99.xml><?xml version="1.0" encoding="utf-8"?>
<c:chartSpace xmlns:c="http://schemas.openxmlformats.org/drawingml/2006/chart" xmlns:a="http://schemas.openxmlformats.org/drawingml/2006/main" xmlns:r="http://schemas.openxmlformats.org/officeDocument/2006/relationships">
  <c:date1904 val="1"/>
  <c:lang val="ro-RO"/>
  <c:chart>
    <c:view3D>
      <c:rAngAx val="1"/>
    </c:view3D>
    <c:plotArea>
      <c:layout/>
      <c:bar3DChart>
        <c:barDir val="col"/>
        <c:grouping val="clustered"/>
        <c:ser>
          <c:idx val="0"/>
          <c:order val="0"/>
          <c:tx>
            <c:strRef>
              <c:f>Sheet1!$A$2</c:f>
              <c:strCache>
                <c:ptCount val="1"/>
                <c:pt idx="0">
                  <c:v>deseuri DEEE</c:v>
                </c:pt>
              </c:strCache>
            </c:strRef>
          </c:tx>
          <c:cat>
            <c:numRef>
              <c:f>Sheet1!$B$1:$G$1</c:f>
              <c:numCache>
                <c:formatCode>General</c:formatCode>
                <c:ptCount val="6"/>
                <c:pt idx="0">
                  <c:v>2009</c:v>
                </c:pt>
                <c:pt idx="1">
                  <c:v>2010</c:v>
                </c:pt>
                <c:pt idx="2">
                  <c:v>2011</c:v>
                </c:pt>
                <c:pt idx="3">
                  <c:v>2012</c:v>
                </c:pt>
                <c:pt idx="4">
                  <c:v>2013</c:v>
                </c:pt>
                <c:pt idx="5">
                  <c:v>2014</c:v>
                </c:pt>
              </c:numCache>
            </c:numRef>
          </c:cat>
          <c:val>
            <c:numRef>
              <c:f>Sheet1!$B$2:$G$2</c:f>
              <c:numCache>
                <c:formatCode>General</c:formatCode>
                <c:ptCount val="6"/>
                <c:pt idx="0">
                  <c:v>13.65</c:v>
                </c:pt>
                <c:pt idx="1">
                  <c:v>11.432</c:v>
                </c:pt>
                <c:pt idx="2">
                  <c:v>123.60799999999999</c:v>
                </c:pt>
                <c:pt idx="3">
                  <c:v>120.71100000000042</c:v>
                </c:pt>
                <c:pt idx="4">
                  <c:v>34.306999999999995</c:v>
                </c:pt>
                <c:pt idx="5">
                  <c:v>117.762</c:v>
                </c:pt>
              </c:numCache>
            </c:numRef>
          </c:val>
        </c:ser>
        <c:ser>
          <c:idx val="1"/>
          <c:order val="1"/>
          <c:tx>
            <c:strRef>
              <c:f>Sheet1!$A$3</c:f>
              <c:strCache>
                <c:ptCount val="1"/>
              </c:strCache>
            </c:strRef>
          </c:tx>
          <c:cat>
            <c:numRef>
              <c:f>Sheet1!$B$1:$G$1</c:f>
              <c:numCache>
                <c:formatCode>General</c:formatCode>
                <c:ptCount val="6"/>
                <c:pt idx="0">
                  <c:v>2009</c:v>
                </c:pt>
                <c:pt idx="1">
                  <c:v>2010</c:v>
                </c:pt>
                <c:pt idx="2">
                  <c:v>2011</c:v>
                </c:pt>
                <c:pt idx="3">
                  <c:v>2012</c:v>
                </c:pt>
                <c:pt idx="4">
                  <c:v>2013</c:v>
                </c:pt>
                <c:pt idx="5">
                  <c:v>2014</c:v>
                </c:pt>
              </c:numCache>
            </c:numRef>
          </c:cat>
          <c:val>
            <c:numRef>
              <c:f>Sheet1!$B$3:$G$3</c:f>
              <c:numCache>
                <c:formatCode>General</c:formatCode>
                <c:ptCount val="6"/>
              </c:numCache>
            </c:numRef>
          </c:val>
        </c:ser>
        <c:shape val="cylinder"/>
        <c:axId val="150438272"/>
        <c:axId val="150439808"/>
        <c:axId val="0"/>
      </c:bar3DChart>
      <c:catAx>
        <c:axId val="150438272"/>
        <c:scaling>
          <c:orientation val="minMax"/>
        </c:scaling>
        <c:axPos val="b"/>
        <c:numFmt formatCode="General" sourceLinked="1"/>
        <c:tickLblPos val="nextTo"/>
        <c:crossAx val="150439808"/>
        <c:crosses val="autoZero"/>
        <c:auto val="1"/>
        <c:lblAlgn val="ctr"/>
        <c:lblOffset val="100"/>
      </c:catAx>
      <c:valAx>
        <c:axId val="150439808"/>
        <c:scaling>
          <c:orientation val="minMax"/>
        </c:scaling>
        <c:axPos val="l"/>
        <c:majorGridlines/>
        <c:numFmt formatCode="General" sourceLinked="1"/>
        <c:tickLblPos val="nextTo"/>
        <c:crossAx val="150438272"/>
        <c:crosses val="autoZero"/>
        <c:crossBetween val="between"/>
      </c:valAx>
    </c:plotArea>
    <c:legend>
      <c:legendPos val="r"/>
      <c:legendEntry>
        <c:idx val="1"/>
        <c:delete val="1"/>
      </c:legendEntry>
    </c:legend>
    <c:plotVisOnly val="1"/>
  </c:chart>
  <c:spPr>
    <a:solidFill>
      <a:schemeClr val="accent6">
        <a:lumMod val="20000"/>
        <a:lumOff val="80000"/>
      </a:schemeClr>
    </a:solidFill>
  </c:spPr>
  <c:externalData r:id="rId1"/>
</c:chartSpace>
</file>

<file path=word/drawings/drawing1.xml><?xml version="1.0" encoding="utf-8"?>
<c:userShapes xmlns:c="http://schemas.openxmlformats.org/drawingml/2006/chart">
  <cdr:relSizeAnchor xmlns:cdr="http://schemas.openxmlformats.org/drawingml/2006/chartDrawing">
    <cdr:from>
      <cdr:x>0.0256</cdr:x>
      <cdr:y>0.66809</cdr:y>
    </cdr:from>
    <cdr:to>
      <cdr:x>0.1472</cdr:x>
      <cdr:y>0.75161</cdr:y>
    </cdr:to>
    <cdr:sp macro="" textlink="">
      <cdr:nvSpPr>
        <cdr:cNvPr id="2" name="TextBox 1"/>
        <cdr:cNvSpPr txBox="1"/>
      </cdr:nvSpPr>
      <cdr:spPr>
        <a:xfrm xmlns:a="http://schemas.openxmlformats.org/drawingml/2006/main">
          <a:off x="152400" y="2971800"/>
          <a:ext cx="723900" cy="371475"/>
        </a:xfrm>
        <a:prstGeom xmlns:a="http://schemas.openxmlformats.org/drawingml/2006/main" prst="rect">
          <a:avLst/>
        </a:prstGeom>
      </cdr:spPr>
      <cdr:txBody>
        <a:bodyPr xmlns:a="http://schemas.openxmlformats.org/drawingml/2006/main" vertOverflow="clip" wrap="none" rtlCol="0"/>
        <a:lstStyle xmlns:a="http://schemas.openxmlformats.org/drawingml/2006/main"/>
        <a:p xmlns:a="http://schemas.openxmlformats.org/drawingml/2006/main">
          <a:endParaRPr lang="ro-RO" sz="1100"/>
        </a:p>
      </cdr:txBody>
    </cdr:sp>
  </cdr:relSizeAnchor>
</c:userShapes>
</file>

<file path=word/drawings/drawing2.xml><?xml version="1.0" encoding="utf-8"?>
<c:userShapes xmlns:c="http://schemas.openxmlformats.org/drawingml/2006/chart">
  <cdr:relSizeAnchor xmlns:cdr="http://schemas.openxmlformats.org/drawingml/2006/chartDrawing">
    <cdr:from>
      <cdr:x>0.51275</cdr:x>
      <cdr:y>0.5485</cdr:y>
    </cdr:from>
    <cdr:to>
      <cdr:x>0.519</cdr:x>
      <cdr:y>0.64425</cdr:y>
    </cdr:to>
    <cdr:sp macro="" textlink="">
      <cdr:nvSpPr>
        <cdr:cNvPr id="1025" name="Text Box 1"/>
        <cdr:cNvSpPr txBox="1">
          <a:spLocks xmlns:a="http://schemas.openxmlformats.org/drawingml/2006/main" noChangeArrowheads="1"/>
        </cdr:cNvSpPr>
      </cdr:nvSpPr>
      <cdr:spPr bwMode="auto">
        <a:xfrm xmlns:a="http://schemas.openxmlformats.org/drawingml/2006/main">
          <a:off x="2338268" y="1075208"/>
          <a:ext cx="57031" cy="181018"/>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3.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4.xml><?xml version="1.0" encoding="utf-8"?>
<c:userShapes xmlns:c="http://schemas.openxmlformats.org/drawingml/2006/chart">
  <cdr:relSizeAnchor xmlns:cdr="http://schemas.openxmlformats.org/drawingml/2006/chartDrawing">
    <cdr:from>
      <cdr:x>0.37414</cdr:x>
      <cdr:y>0.59091</cdr:y>
    </cdr:from>
    <cdr:to>
      <cdr:x>0.50697</cdr:x>
      <cdr:y>0.67727</cdr:y>
    </cdr:to>
    <cdr:sp macro="" textlink="">
      <cdr:nvSpPr>
        <cdr:cNvPr id="4" name="TextBox 3"/>
        <cdr:cNvSpPr txBox="1"/>
      </cdr:nvSpPr>
      <cdr:spPr>
        <a:xfrm xmlns:a="http://schemas.openxmlformats.org/drawingml/2006/main">
          <a:off x="2016784" y="1121434"/>
          <a:ext cx="715993" cy="163902"/>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1100"/>
            <a:t>81,36%</a:t>
          </a:r>
        </a:p>
        <a:p xmlns:a="http://schemas.openxmlformats.org/drawingml/2006/main">
          <a:endParaRPr lang="ro-RO" sz="1100"/>
        </a:p>
      </cdr:txBody>
    </cdr:sp>
  </cdr:relSizeAnchor>
  <cdr:relSizeAnchor xmlns:cdr="http://schemas.openxmlformats.org/drawingml/2006/chartDrawing">
    <cdr:from>
      <cdr:x>0.19651</cdr:x>
      <cdr:y>0.33636</cdr:y>
    </cdr:from>
    <cdr:to>
      <cdr:x>0.28612</cdr:x>
      <cdr:y>0.46364</cdr:y>
    </cdr:to>
    <cdr:sp macro="" textlink="">
      <cdr:nvSpPr>
        <cdr:cNvPr id="5" name="TextBox 4"/>
        <cdr:cNvSpPr txBox="1"/>
      </cdr:nvSpPr>
      <cdr:spPr>
        <a:xfrm xmlns:a="http://schemas.openxmlformats.org/drawingml/2006/main">
          <a:off x="1059252" y="638354"/>
          <a:ext cx="483079" cy="241539"/>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6,02</a:t>
          </a:r>
        </a:p>
        <a:p xmlns:a="http://schemas.openxmlformats.org/drawingml/2006/main">
          <a:endParaRPr lang="ro-RO" sz="1100"/>
        </a:p>
      </cdr:txBody>
    </cdr:sp>
  </cdr:relSizeAnchor>
  <cdr:relSizeAnchor xmlns:cdr="http://schemas.openxmlformats.org/drawingml/2006/chartDrawing">
    <cdr:from>
      <cdr:x>0.26052</cdr:x>
      <cdr:y>0.31818</cdr:y>
    </cdr:from>
    <cdr:to>
      <cdr:x>0.37414</cdr:x>
      <cdr:y>0.42727</cdr:y>
    </cdr:to>
    <cdr:sp macro="" textlink="">
      <cdr:nvSpPr>
        <cdr:cNvPr id="6" name="TextBox 5"/>
        <cdr:cNvSpPr txBox="1"/>
      </cdr:nvSpPr>
      <cdr:spPr>
        <a:xfrm xmlns:a="http://schemas.openxmlformats.org/drawingml/2006/main">
          <a:off x="1404308" y="603849"/>
          <a:ext cx="612476" cy="20703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6,37</a:t>
          </a:r>
        </a:p>
        <a:p xmlns:a="http://schemas.openxmlformats.org/drawingml/2006/main">
          <a:endParaRPr lang="ro-RO" sz="1100"/>
        </a:p>
      </cdr:txBody>
    </cdr:sp>
  </cdr:relSizeAnchor>
  <cdr:relSizeAnchor xmlns:cdr="http://schemas.openxmlformats.org/drawingml/2006/chartDrawing">
    <cdr:from>
      <cdr:x>0.26372</cdr:x>
      <cdr:y>0.25</cdr:y>
    </cdr:from>
    <cdr:to>
      <cdr:x>0.33893</cdr:x>
      <cdr:y>0.38182</cdr:y>
    </cdr:to>
    <cdr:sp macro="" textlink="">
      <cdr:nvSpPr>
        <cdr:cNvPr id="7" name="TextBox 6"/>
        <cdr:cNvSpPr txBox="1"/>
      </cdr:nvSpPr>
      <cdr:spPr>
        <a:xfrm xmlns:a="http://schemas.openxmlformats.org/drawingml/2006/main">
          <a:off x="1421563" y="474453"/>
          <a:ext cx="405441" cy="250166"/>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1,8</a:t>
          </a:r>
        </a:p>
      </cdr:txBody>
    </cdr:sp>
  </cdr:relSizeAnchor>
  <cdr:relSizeAnchor xmlns:cdr="http://schemas.openxmlformats.org/drawingml/2006/chartDrawing">
    <cdr:from>
      <cdr:x>0.29699</cdr:x>
      <cdr:y>0.1911</cdr:y>
    </cdr:from>
    <cdr:to>
      <cdr:x>0.38821</cdr:x>
      <cdr:y>0.34564</cdr:y>
    </cdr:to>
    <cdr:sp macro="" textlink="">
      <cdr:nvSpPr>
        <cdr:cNvPr id="8" name="TextBox 7"/>
        <cdr:cNvSpPr txBox="1"/>
      </cdr:nvSpPr>
      <cdr:spPr>
        <a:xfrm xmlns:a="http://schemas.openxmlformats.org/drawingml/2006/main">
          <a:off x="1490510" y="334651"/>
          <a:ext cx="457813" cy="270625"/>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800"/>
            <a:t>2,79</a:t>
          </a:r>
        </a:p>
        <a:p xmlns:a="http://schemas.openxmlformats.org/drawingml/2006/main">
          <a:endParaRPr lang="ro-RO" sz="1100"/>
        </a:p>
      </cdr:txBody>
    </cdr:sp>
  </cdr:relSizeAnchor>
  <cdr:relSizeAnchor xmlns:cdr="http://schemas.openxmlformats.org/drawingml/2006/chartDrawing">
    <cdr:from>
      <cdr:x>0.33881</cdr:x>
      <cdr:y>0.22628</cdr:y>
    </cdr:from>
    <cdr:to>
      <cdr:x>0.42683</cdr:x>
      <cdr:y>0.34901</cdr:y>
    </cdr:to>
    <cdr:sp macro="" textlink="">
      <cdr:nvSpPr>
        <cdr:cNvPr id="9" name="TextBox 8"/>
        <cdr:cNvSpPr txBox="1"/>
      </cdr:nvSpPr>
      <cdr:spPr>
        <a:xfrm xmlns:a="http://schemas.openxmlformats.org/drawingml/2006/main">
          <a:off x="1804252" y="482134"/>
          <a:ext cx="468729" cy="261504"/>
        </a:xfrm>
        <a:prstGeom xmlns:a="http://schemas.openxmlformats.org/drawingml/2006/main" prst="rect">
          <a:avLst/>
        </a:prstGeom>
      </cdr:spPr>
      <cdr:txBody>
        <a:bodyPr xmlns:a="http://schemas.openxmlformats.org/drawingml/2006/main" wrap="square" rtlCol="0"/>
        <a:lstStyle xmlns:a="http://schemas.openxmlformats.org/drawingml/2006/main"/>
        <a:p xmlns:a="http://schemas.openxmlformats.org/drawingml/2006/main">
          <a:r>
            <a:rPr lang="ro-RO" sz="900"/>
            <a:t>1,66</a:t>
          </a:r>
        </a:p>
        <a:p xmlns:a="http://schemas.openxmlformats.org/drawingml/2006/main">
          <a:endParaRPr lang="ro-RO" sz="1100"/>
        </a:p>
      </cdr:txBody>
    </cdr:sp>
  </cdr:relSizeAnchor>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dr:relSizeAnchor xmlns:cdr="http://schemas.openxmlformats.org/drawingml/2006/chartDrawing">
    <cdr:from>
      <cdr:x>0.48272</cdr:x>
      <cdr:y>0.5027</cdr:y>
    </cdr:from>
    <cdr:to>
      <cdr:x>0.47653</cdr:x>
      <cdr:y>0.63205</cdr:y>
    </cdr:to>
    <cdr:sp macro="" textlink="">
      <cdr:nvSpPr>
        <cdr:cNvPr id="2"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5.xml><?xml version="1.0" encoding="utf-8"?>
<c:userShapes xmlns:c="http://schemas.openxmlformats.org/drawingml/2006/chart">
  <cdr:relSizeAnchor xmlns:cdr="http://schemas.openxmlformats.org/drawingml/2006/chartDrawing">
    <cdr:from>
      <cdr:x>0.48272</cdr:x>
      <cdr:y>0.5027</cdr:y>
    </cdr:from>
    <cdr:to>
      <cdr:x>0.47653</cdr:x>
      <cdr:y>0.63205</cdr:y>
    </cdr:to>
    <cdr:sp macro="" textlink="">
      <cdr:nvSpPr>
        <cdr:cNvPr id="1025" name="Text Box 1"/>
        <cdr:cNvSpPr txBox="1">
          <a:spLocks xmlns:a="http://schemas.openxmlformats.org/drawingml/2006/main" noChangeArrowheads="1"/>
        </cdr:cNvSpPr>
      </cdr:nvSpPr>
      <cdr:spPr bwMode="auto">
        <a:xfrm xmlns:a="http://schemas.openxmlformats.org/drawingml/2006/main">
          <a:off x="2503683" y="1014835"/>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drawings/drawing6.xml><?xml version="1.0" encoding="utf-8"?>
<c:userShapes xmlns:c="http://schemas.openxmlformats.org/drawingml/2006/chart">
  <cdr:relSizeAnchor xmlns:cdr="http://schemas.openxmlformats.org/drawingml/2006/chartDrawing">
    <cdr:from>
      <cdr:x>0.50509</cdr:x>
      <cdr:y>0.56364</cdr:y>
    </cdr:from>
    <cdr:to>
      <cdr:x>0.51041</cdr:x>
      <cdr:y>0.71161</cdr:y>
    </cdr:to>
    <cdr:sp macro="" textlink="">
      <cdr:nvSpPr>
        <cdr:cNvPr id="1025" name="Text Box 1"/>
        <cdr:cNvSpPr txBox="1">
          <a:spLocks xmlns:a="http://schemas.openxmlformats.org/drawingml/2006/main" noChangeArrowheads="1"/>
        </cdr:cNvSpPr>
      </cdr:nvSpPr>
      <cdr:spPr bwMode="auto">
        <a:xfrm xmlns:a="http://schemas.openxmlformats.org/drawingml/2006/main">
          <a:off x="3049233" y="947999"/>
          <a:ext cx="72584" cy="193643"/>
        </a:xfrm>
        <a:prstGeom xmlns:a="http://schemas.openxmlformats.org/drawingml/2006/main" prst="rect">
          <a:avLst/>
        </a:prstGeom>
        <a:noFill xmlns:a="http://schemas.openxmlformats.org/drawingml/2006/main"/>
        <a:ln xmlns:a="http://schemas.openxmlformats.org/drawingml/2006/main" w="9525">
          <a:noFill/>
          <a:miter lim="800000"/>
          <a:headEnd/>
          <a:tailEnd/>
        </a:ln>
        <a:effectLst xmlns:a="http://schemas.openxmlformats.org/drawingml/2006/main"/>
      </cdr:spPr>
      <cdr:txBody>
        <a:bodyPr xmlns:a="http://schemas.openxmlformats.org/drawingml/2006/main" wrap="none" lIns="18288" tIns="22860" rIns="18288" bIns="22860" anchor="ctr" upright="1">
          <a:spAutoFit/>
        </a:bodyPr>
        <a:lstStyle xmlns:a="http://schemas.openxmlformats.org/drawingml/2006/main"/>
        <a:p xmlns:a="http://schemas.openxmlformats.org/drawingml/2006/main">
          <a:pPr algn="ctr" rtl="0">
            <a:defRPr sz="1000"/>
          </a:pPr>
          <a:r>
            <a:rPr lang="ro-RO" sz="1000" b="1" i="0" u="none" strike="noStrike" baseline="0">
              <a:solidFill>
                <a:srgbClr val="000000"/>
              </a:solidFill>
              <a:latin typeface="Arial"/>
              <a:cs typeface="Arial"/>
            </a:rPr>
            <a:t> </a:t>
          </a:r>
        </a:p>
      </cdr:txBody>
    </cdr:sp>
  </cdr:relSizeAnchor>
</c:userShape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word/theme/themeOverride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1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0.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1.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2.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2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3.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4.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5.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6.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7.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8.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word/theme/themeOverride9.xml><?xml version="1.0" encoding="utf-8"?>
<a:themeOverride xmlns:a="http://schemas.openxmlformats.org/drawingml/2006/main">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Overrid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8133B5B-DE88-4D60-A4E0-E18D7A91FEA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Pages>
  <Words>44454</Words>
  <Characters>257838</Characters>
  <Application>Microsoft Office Word</Application>
  <DocSecurity>0</DocSecurity>
  <Lines>2148</Lines>
  <Paragraphs>603</Paragraphs>
  <ScaleCrop>false</ScaleCrop>
  <HeadingPairs>
    <vt:vector size="4" baseType="variant">
      <vt:variant>
        <vt:lpstr>Title</vt:lpstr>
      </vt:variant>
      <vt:variant>
        <vt:i4>1</vt:i4>
      </vt:variant>
      <vt:variant>
        <vt:lpstr>Titlu</vt:lpstr>
      </vt:variant>
      <vt:variant>
        <vt:i4>1</vt:i4>
      </vt:variant>
    </vt:vector>
  </HeadingPairs>
  <TitlesOfParts>
    <vt:vector size="2" baseType="lpstr">
      <vt:lpstr>Conţinut cadru</vt:lpstr>
      <vt:lpstr>Conţinut cadru</vt:lpstr>
    </vt:vector>
  </TitlesOfParts>
  <Company/>
  <LinksUpToDate>false</LinksUpToDate>
  <CharactersWithSpaces>301689</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Conţinut cadru</dc:title>
  <dc:creator>Dana Toma</dc:creator>
  <cp:lastModifiedBy>Viorel Tarachiu</cp:lastModifiedBy>
  <cp:revision>4</cp:revision>
  <cp:lastPrinted>2015-01-30T06:55:00Z</cp:lastPrinted>
  <dcterms:created xsi:type="dcterms:W3CDTF">2016-03-14T10:10:00Z</dcterms:created>
  <dcterms:modified xsi:type="dcterms:W3CDTF">2016-03-14T10:12:00Z</dcterms:modified>
</cp:coreProperties>
</file>