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F34ACE">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12288362"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562777">
      <w:pPr>
        <w:jc w:val="center"/>
        <w:rPr>
          <w:b/>
          <w:caps/>
          <w:sz w:val="40"/>
          <w:szCs w:val="40"/>
        </w:rPr>
      </w:pPr>
      <w:r>
        <w:rPr>
          <w:b/>
          <w:caps/>
          <w:sz w:val="40"/>
          <w:szCs w:val="40"/>
        </w:rPr>
        <w:t>NOIE</w:t>
      </w:r>
      <w:r w:rsidR="009E3B63">
        <w:rPr>
          <w:b/>
          <w:caps/>
          <w:sz w:val="40"/>
          <w:szCs w:val="40"/>
        </w:rPr>
        <w:t>MBRIE</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E01736">
        <w:rPr>
          <w:b/>
          <w:caps/>
          <w:sz w:val="40"/>
          <w:szCs w:val="40"/>
        </w:rPr>
        <w:t>5</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181A8C" w:rsidRDefault="00F66664" w:rsidP="00C62728">
      <w:pPr>
        <w:jc w:val="both"/>
        <w:rPr>
          <w:sz w:val="28"/>
          <w:szCs w:val="28"/>
          <w:lang w:val="fr-FR"/>
        </w:rPr>
      </w:pPr>
      <w:proofErr w:type="spellStart"/>
      <w:r w:rsidRPr="00181A8C">
        <w:rPr>
          <w:sz w:val="28"/>
          <w:szCs w:val="28"/>
          <w:lang w:val="fr-FR"/>
        </w:rPr>
        <w:t>Prelevări</w:t>
      </w:r>
      <w:proofErr w:type="spellEnd"/>
      <w:r w:rsidRPr="00181A8C">
        <w:rPr>
          <w:sz w:val="28"/>
          <w:szCs w:val="28"/>
          <w:lang w:val="fr-FR"/>
        </w:rPr>
        <w:t xml:space="preserve"> la </w:t>
      </w:r>
      <w:proofErr w:type="spellStart"/>
      <w:r w:rsidRPr="00181A8C">
        <w:rPr>
          <w:sz w:val="28"/>
          <w:szCs w:val="28"/>
          <w:lang w:val="fr-FR"/>
        </w:rPr>
        <w:t>imisii</w:t>
      </w:r>
      <w:proofErr w:type="spellEnd"/>
      <w:r w:rsidRPr="00181A8C">
        <w:rPr>
          <w:sz w:val="28"/>
          <w:szCs w:val="28"/>
          <w:lang w:val="fr-FR"/>
        </w:rPr>
        <w:t xml:space="preserve">, </w:t>
      </w:r>
      <w:proofErr w:type="spellStart"/>
      <w:r w:rsidRPr="00181A8C">
        <w:rPr>
          <w:sz w:val="28"/>
          <w:szCs w:val="28"/>
          <w:lang w:val="fr-FR"/>
        </w:rPr>
        <w:t>conform</w:t>
      </w:r>
      <w:proofErr w:type="spellEnd"/>
      <w:r w:rsidRPr="00181A8C">
        <w:rPr>
          <w:sz w:val="28"/>
          <w:szCs w:val="28"/>
          <w:lang w:val="fr-FR"/>
        </w:rPr>
        <w:t xml:space="preserve"> STAS-</w:t>
      </w:r>
      <w:proofErr w:type="spellStart"/>
      <w:r w:rsidRPr="00181A8C">
        <w:rPr>
          <w:sz w:val="28"/>
          <w:szCs w:val="28"/>
          <w:lang w:val="fr-FR"/>
        </w:rPr>
        <w:t>ului</w:t>
      </w:r>
      <w:proofErr w:type="spellEnd"/>
      <w:r w:rsidRPr="00181A8C">
        <w:rPr>
          <w:sz w:val="28"/>
          <w:szCs w:val="28"/>
          <w:lang w:val="fr-FR"/>
        </w:rPr>
        <w:t xml:space="preserve"> 12574/87, se fac </w:t>
      </w:r>
      <w:proofErr w:type="spellStart"/>
      <w:r w:rsidRPr="00181A8C">
        <w:rPr>
          <w:sz w:val="28"/>
          <w:szCs w:val="28"/>
          <w:lang w:val="fr-FR"/>
        </w:rPr>
        <w:t>numai</w:t>
      </w:r>
      <w:proofErr w:type="spellEnd"/>
      <w:r w:rsidRPr="00181A8C">
        <w:rPr>
          <w:sz w:val="28"/>
          <w:szCs w:val="28"/>
          <w:lang w:val="fr-FR"/>
        </w:rPr>
        <w:t xml:space="preserve"> la </w:t>
      </w:r>
      <w:proofErr w:type="spellStart"/>
      <w:r w:rsidRPr="00181A8C">
        <w:rPr>
          <w:sz w:val="28"/>
          <w:szCs w:val="28"/>
          <w:lang w:val="fr-FR"/>
        </w:rPr>
        <w:t>pulberile</w:t>
      </w:r>
      <w:proofErr w:type="spellEnd"/>
      <w:r w:rsidRPr="00181A8C">
        <w:rPr>
          <w:sz w:val="28"/>
          <w:szCs w:val="28"/>
          <w:lang w:val="fr-FR"/>
        </w:rPr>
        <w:t xml:space="preserve"> </w:t>
      </w:r>
      <w:proofErr w:type="spellStart"/>
      <w:r w:rsidRPr="00181A8C">
        <w:rPr>
          <w:sz w:val="28"/>
          <w:szCs w:val="28"/>
          <w:lang w:val="fr-FR"/>
        </w:rPr>
        <w:t>sedimentabile</w:t>
      </w:r>
      <w:proofErr w:type="spellEnd"/>
      <w:r w:rsidRPr="00181A8C">
        <w:rPr>
          <w:sz w:val="28"/>
          <w:szCs w:val="28"/>
          <w:lang w:val="fr-FR"/>
        </w:rPr>
        <w:t xml:space="preserve"> </w:t>
      </w:r>
      <w:proofErr w:type="spellStart"/>
      <w:r w:rsidRPr="00181A8C">
        <w:rPr>
          <w:sz w:val="28"/>
          <w:szCs w:val="28"/>
          <w:lang w:val="fr-FR"/>
        </w:rPr>
        <w:t>monitorizate</w:t>
      </w:r>
      <w:proofErr w:type="spellEnd"/>
      <w:r w:rsidRPr="00181A8C">
        <w:rPr>
          <w:sz w:val="28"/>
          <w:szCs w:val="28"/>
          <w:lang w:val="fr-FR"/>
        </w:rPr>
        <w:t xml:space="preserve"> </w:t>
      </w:r>
      <w:proofErr w:type="spellStart"/>
      <w:r w:rsidRPr="00181A8C">
        <w:rPr>
          <w:sz w:val="28"/>
          <w:szCs w:val="28"/>
          <w:lang w:val="fr-FR"/>
        </w:rPr>
        <w:t>în</w:t>
      </w:r>
      <w:proofErr w:type="spellEnd"/>
      <w:r w:rsidRPr="00181A8C">
        <w:rPr>
          <w:sz w:val="28"/>
          <w:szCs w:val="28"/>
          <w:lang w:val="fr-FR"/>
        </w:rPr>
        <w:t xml:space="preserve"> </w:t>
      </w:r>
      <w:proofErr w:type="spellStart"/>
      <w:r w:rsidRPr="00181A8C">
        <w:rPr>
          <w:sz w:val="28"/>
          <w:szCs w:val="28"/>
          <w:lang w:val="fr-FR"/>
        </w:rPr>
        <w:t>reţeaua</w:t>
      </w:r>
      <w:proofErr w:type="spellEnd"/>
      <w:r w:rsidRPr="00181A8C">
        <w:rPr>
          <w:sz w:val="28"/>
          <w:szCs w:val="28"/>
          <w:lang w:val="fr-FR"/>
        </w:rPr>
        <w:t xml:space="preserve"> </w:t>
      </w:r>
      <w:proofErr w:type="spellStart"/>
      <w:r w:rsidRPr="00181A8C">
        <w:rPr>
          <w:sz w:val="28"/>
          <w:szCs w:val="28"/>
          <w:lang w:val="fr-FR"/>
        </w:rPr>
        <w:t>manuală</w:t>
      </w:r>
      <w:proofErr w:type="spellEnd"/>
      <w:r w:rsidRPr="00181A8C">
        <w:rPr>
          <w:sz w:val="28"/>
          <w:szCs w:val="28"/>
          <w:lang w:val="fr-FR"/>
        </w:rPr>
        <w:t xml:space="preserve">. </w:t>
      </w:r>
      <w:proofErr w:type="spellStart"/>
      <w:r w:rsidRPr="00181A8C">
        <w:rPr>
          <w:sz w:val="28"/>
          <w:szCs w:val="28"/>
          <w:lang w:val="fr-FR"/>
        </w:rPr>
        <w:t>Aceasta</w:t>
      </w:r>
      <w:proofErr w:type="spellEnd"/>
      <w:r w:rsidRPr="00181A8C">
        <w:rPr>
          <w:sz w:val="28"/>
          <w:szCs w:val="28"/>
          <w:lang w:val="fr-FR"/>
        </w:rPr>
        <w:t xml:space="preserve"> este </w:t>
      </w:r>
      <w:proofErr w:type="spellStart"/>
      <w:r w:rsidRPr="00181A8C">
        <w:rPr>
          <w:sz w:val="28"/>
          <w:szCs w:val="28"/>
          <w:lang w:val="fr-FR"/>
        </w:rPr>
        <w:t>alcătuită</w:t>
      </w:r>
      <w:proofErr w:type="spellEnd"/>
      <w:r w:rsidRPr="00181A8C">
        <w:rPr>
          <w:sz w:val="28"/>
          <w:szCs w:val="28"/>
          <w:lang w:val="fr-FR"/>
        </w:rPr>
        <w:t xml:space="preserve"> </w:t>
      </w:r>
      <w:proofErr w:type="spellStart"/>
      <w:r w:rsidRPr="00181A8C">
        <w:rPr>
          <w:sz w:val="28"/>
          <w:szCs w:val="28"/>
          <w:lang w:val="fr-FR"/>
        </w:rPr>
        <w:t>din</w:t>
      </w:r>
      <w:proofErr w:type="spellEnd"/>
      <w:r w:rsidRPr="00181A8C">
        <w:rPr>
          <w:sz w:val="28"/>
          <w:szCs w:val="28"/>
          <w:lang w:val="fr-FR"/>
        </w:rPr>
        <w:t xml:space="preserve"> 10 </w:t>
      </w:r>
      <w:proofErr w:type="spellStart"/>
      <w:r w:rsidRPr="00181A8C">
        <w:rPr>
          <w:sz w:val="28"/>
          <w:szCs w:val="28"/>
          <w:lang w:val="fr-FR"/>
        </w:rPr>
        <w:t>puncte</w:t>
      </w:r>
      <w:proofErr w:type="spellEnd"/>
      <w:r w:rsidRPr="00181A8C">
        <w:rPr>
          <w:sz w:val="28"/>
          <w:szCs w:val="28"/>
          <w:lang w:val="fr-FR"/>
        </w:rPr>
        <w:t xml:space="preserve"> de </w:t>
      </w:r>
      <w:proofErr w:type="gramStart"/>
      <w:r w:rsidRPr="00181A8C">
        <w:rPr>
          <w:sz w:val="28"/>
          <w:szCs w:val="28"/>
          <w:lang w:val="fr-FR"/>
        </w:rPr>
        <w:t>control ,</w:t>
      </w:r>
      <w:proofErr w:type="gramEnd"/>
      <w:r w:rsidRPr="00181A8C">
        <w:rPr>
          <w:sz w:val="28"/>
          <w:szCs w:val="28"/>
          <w:lang w:val="fr-FR"/>
        </w:rPr>
        <w:t xml:space="preserve"> </w:t>
      </w:r>
      <w:proofErr w:type="spellStart"/>
      <w:r w:rsidRPr="00181A8C">
        <w:rPr>
          <w:sz w:val="28"/>
          <w:szCs w:val="28"/>
          <w:lang w:val="fr-FR"/>
        </w:rPr>
        <w:t>amplasate</w:t>
      </w:r>
      <w:proofErr w:type="spellEnd"/>
      <w:r w:rsidRPr="00181A8C">
        <w:rPr>
          <w:sz w:val="28"/>
          <w:szCs w:val="28"/>
          <w:lang w:val="fr-FR"/>
        </w:rPr>
        <w:t xml:space="preserve"> </w:t>
      </w:r>
      <w:proofErr w:type="spellStart"/>
      <w:r w:rsidRPr="00181A8C">
        <w:rPr>
          <w:sz w:val="28"/>
          <w:szCs w:val="28"/>
          <w:lang w:val="fr-FR"/>
        </w:rPr>
        <w:t>astfel</w:t>
      </w:r>
      <w:proofErr w:type="spellEnd"/>
      <w:r w:rsidRPr="00181A8C">
        <w:rPr>
          <w:sz w:val="28"/>
          <w:szCs w:val="28"/>
          <w:lang w:val="fr-FR"/>
        </w:rPr>
        <w: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Zona municipiului Brăila  - 7 puncte</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Chiscani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Cazasu – 1 punct</w:t>
      </w:r>
    </w:p>
    <w:p w:rsidR="00F66664" w:rsidRPr="00181A8C" w:rsidRDefault="00F66664" w:rsidP="00F66664">
      <w:pPr>
        <w:numPr>
          <w:ilvl w:val="0"/>
          <w:numId w:val="2"/>
        </w:numPr>
        <w:tabs>
          <w:tab w:val="clear" w:pos="1440"/>
          <w:tab w:val="num" w:pos="1080"/>
        </w:tabs>
        <w:ind w:left="1080"/>
        <w:jc w:val="both"/>
        <w:rPr>
          <w:sz w:val="28"/>
          <w:szCs w:val="28"/>
        </w:rPr>
      </w:pPr>
      <w:r w:rsidRPr="00181A8C">
        <w:rPr>
          <w:sz w:val="28"/>
          <w:szCs w:val="28"/>
        </w:rPr>
        <w:t>Localitatea Vărsătura - 1 punct</w:t>
      </w:r>
    </w:p>
    <w:p w:rsidR="00BD18A5" w:rsidRDefault="00BD18A5" w:rsidP="00603C18">
      <w:pPr>
        <w:pStyle w:val="xl36"/>
        <w:pBdr>
          <w:right w:val="none" w:sz="0" w:space="0" w:color="auto"/>
        </w:pBdr>
        <w:spacing w:before="0" w:beforeAutospacing="0" w:after="0" w:afterAutospacing="0"/>
        <w:ind w:left="540"/>
        <w:jc w:val="left"/>
        <w:rPr>
          <w:sz w:val="28"/>
          <w:szCs w:val="28"/>
        </w:rPr>
      </w:pPr>
    </w:p>
    <w:p w:rsidR="00562777" w:rsidRPr="00351FD6" w:rsidRDefault="00562777" w:rsidP="00562777">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proofErr w:type="spellStart"/>
      <w:r>
        <w:rPr>
          <w:sz w:val="28"/>
          <w:szCs w:val="28"/>
          <w:lang w:val="fr-FR"/>
        </w:rPr>
        <w:t>noie</w:t>
      </w:r>
      <w:r w:rsidRPr="00351FD6">
        <w:rPr>
          <w:sz w:val="28"/>
          <w:szCs w:val="28"/>
          <w:lang w:val="fr-FR"/>
        </w:rPr>
        <w:t>mbrie</w:t>
      </w:r>
      <w:proofErr w:type="spellEnd"/>
      <w:r w:rsidRPr="00351FD6">
        <w:rPr>
          <w:sz w:val="28"/>
          <w:szCs w:val="28"/>
          <w:lang w:val="fr-FR"/>
        </w:rPr>
        <w:t xml:space="preserve"> 2015,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562777" w:rsidRPr="00351FD6" w:rsidRDefault="00562777" w:rsidP="00562777">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562777" w:rsidRPr="00351FD6" w:rsidTr="004B70F2">
        <w:tc>
          <w:tcPr>
            <w:tcW w:w="657" w:type="dxa"/>
            <w:vMerge w:val="restart"/>
            <w:vAlign w:val="center"/>
          </w:tcPr>
          <w:p w:rsidR="00562777" w:rsidRPr="00351FD6" w:rsidRDefault="00562777" w:rsidP="004B70F2">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562777" w:rsidRPr="00351FD6" w:rsidRDefault="00562777" w:rsidP="004B70F2">
            <w:pPr>
              <w:pStyle w:val="Heading1"/>
              <w:rPr>
                <w:sz w:val="28"/>
                <w:szCs w:val="28"/>
              </w:rPr>
            </w:pPr>
            <w:r w:rsidRPr="00351FD6">
              <w:rPr>
                <w:sz w:val="28"/>
                <w:szCs w:val="28"/>
              </w:rPr>
              <w:t>Punct de monitorizare</w:t>
            </w:r>
          </w:p>
        </w:tc>
        <w:tc>
          <w:tcPr>
            <w:tcW w:w="5358" w:type="dxa"/>
            <w:gridSpan w:val="3"/>
          </w:tcPr>
          <w:p w:rsidR="00562777" w:rsidRPr="00351FD6" w:rsidRDefault="00562777" w:rsidP="004B70F2">
            <w:pPr>
              <w:jc w:val="center"/>
              <w:rPr>
                <w:b/>
                <w:bCs/>
                <w:sz w:val="28"/>
                <w:szCs w:val="28"/>
                <w:lang w:val="fr-FR"/>
              </w:rPr>
            </w:pPr>
            <w:r w:rsidRPr="00351FD6">
              <w:rPr>
                <w:b/>
                <w:bCs/>
                <w:sz w:val="28"/>
                <w:szCs w:val="28"/>
                <w:lang w:val="fr-FR"/>
              </w:rPr>
              <w:t>PULBERI SEDIMENTABILE</w:t>
            </w:r>
          </w:p>
          <w:p w:rsidR="00562777" w:rsidRPr="00351FD6" w:rsidRDefault="00562777" w:rsidP="004B70F2">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562777" w:rsidRPr="00351FD6" w:rsidTr="004B70F2">
        <w:trPr>
          <w:cantSplit/>
          <w:trHeight w:val="420"/>
        </w:trPr>
        <w:tc>
          <w:tcPr>
            <w:tcW w:w="657" w:type="dxa"/>
            <w:vMerge/>
          </w:tcPr>
          <w:p w:rsidR="00562777" w:rsidRPr="00351FD6" w:rsidRDefault="00562777" w:rsidP="004B70F2">
            <w:pPr>
              <w:jc w:val="center"/>
              <w:rPr>
                <w:sz w:val="28"/>
                <w:szCs w:val="28"/>
                <w:lang w:val="fr-FR"/>
              </w:rPr>
            </w:pPr>
          </w:p>
        </w:tc>
        <w:tc>
          <w:tcPr>
            <w:tcW w:w="2777" w:type="dxa"/>
            <w:vMerge/>
          </w:tcPr>
          <w:p w:rsidR="00562777" w:rsidRPr="00351FD6" w:rsidRDefault="00562777" w:rsidP="004B70F2">
            <w:pPr>
              <w:jc w:val="both"/>
              <w:rPr>
                <w:sz w:val="28"/>
                <w:szCs w:val="28"/>
                <w:lang w:val="fr-FR"/>
              </w:rPr>
            </w:pPr>
          </w:p>
        </w:tc>
        <w:tc>
          <w:tcPr>
            <w:tcW w:w="1884" w:type="dxa"/>
          </w:tcPr>
          <w:p w:rsidR="00562777" w:rsidRPr="00351FD6" w:rsidRDefault="00562777" w:rsidP="004B70F2">
            <w:pPr>
              <w:pStyle w:val="Heading1"/>
              <w:rPr>
                <w:sz w:val="28"/>
                <w:szCs w:val="28"/>
              </w:rPr>
            </w:pPr>
            <w:r w:rsidRPr="00351FD6">
              <w:rPr>
                <w:sz w:val="28"/>
                <w:szCs w:val="28"/>
              </w:rPr>
              <w:t xml:space="preserve">Concentraţia </w:t>
            </w:r>
          </w:p>
          <w:p w:rsidR="00562777" w:rsidRPr="00351FD6" w:rsidRDefault="00562777" w:rsidP="004B70F2">
            <w:pPr>
              <w:pStyle w:val="Heading1"/>
              <w:rPr>
                <w:sz w:val="28"/>
                <w:szCs w:val="28"/>
              </w:rPr>
            </w:pPr>
            <w:r w:rsidRPr="00351FD6">
              <w:rPr>
                <w:sz w:val="28"/>
                <w:szCs w:val="28"/>
              </w:rPr>
              <w:t>medie lunară</w:t>
            </w:r>
          </w:p>
        </w:tc>
        <w:tc>
          <w:tcPr>
            <w:tcW w:w="2056" w:type="dxa"/>
          </w:tcPr>
          <w:p w:rsidR="00562777" w:rsidRPr="00351FD6" w:rsidRDefault="00562777" w:rsidP="004B70F2">
            <w:pPr>
              <w:pStyle w:val="Heading1"/>
              <w:rPr>
                <w:sz w:val="28"/>
                <w:szCs w:val="28"/>
              </w:rPr>
            </w:pPr>
            <w:r w:rsidRPr="00351FD6">
              <w:rPr>
                <w:sz w:val="28"/>
                <w:szCs w:val="28"/>
              </w:rPr>
              <w:t>Concentraţia medie pe luna anterioară</w:t>
            </w:r>
          </w:p>
        </w:tc>
        <w:tc>
          <w:tcPr>
            <w:tcW w:w="1418" w:type="dxa"/>
          </w:tcPr>
          <w:p w:rsidR="00562777" w:rsidRPr="00351FD6" w:rsidRDefault="00562777" w:rsidP="004B70F2">
            <w:pPr>
              <w:jc w:val="center"/>
              <w:rPr>
                <w:b/>
                <w:bCs/>
                <w:sz w:val="28"/>
                <w:szCs w:val="28"/>
              </w:rPr>
            </w:pPr>
            <w:r w:rsidRPr="00351FD6">
              <w:rPr>
                <w:b/>
                <w:bCs/>
                <w:sz w:val="28"/>
                <w:szCs w:val="28"/>
              </w:rPr>
              <w:t>Tendinţa</w:t>
            </w:r>
            <w:r w:rsidRPr="00351FD6">
              <w:rPr>
                <w:b/>
                <w:bCs/>
                <w:sz w:val="28"/>
                <w:szCs w:val="28"/>
              </w:rPr>
              <w:br/>
              <w:t>mediei</w:t>
            </w:r>
          </w:p>
        </w:tc>
      </w:tr>
      <w:tr w:rsidR="00562777" w:rsidRPr="00351FD6" w:rsidTr="004B70F2">
        <w:trPr>
          <w:cantSplit/>
        </w:trPr>
        <w:tc>
          <w:tcPr>
            <w:tcW w:w="657" w:type="dxa"/>
          </w:tcPr>
          <w:p w:rsidR="00562777" w:rsidRPr="00351FD6" w:rsidRDefault="00562777" w:rsidP="004B70F2">
            <w:pPr>
              <w:jc w:val="center"/>
              <w:rPr>
                <w:sz w:val="28"/>
                <w:szCs w:val="28"/>
              </w:rPr>
            </w:pPr>
            <w:r w:rsidRPr="00351FD6">
              <w:rPr>
                <w:sz w:val="28"/>
                <w:szCs w:val="28"/>
              </w:rPr>
              <w:t>1.</w:t>
            </w:r>
          </w:p>
        </w:tc>
        <w:tc>
          <w:tcPr>
            <w:tcW w:w="2777" w:type="dxa"/>
          </w:tcPr>
          <w:p w:rsidR="00562777" w:rsidRPr="00351FD6" w:rsidRDefault="00562777" w:rsidP="004B70F2">
            <w:pPr>
              <w:jc w:val="center"/>
              <w:rPr>
                <w:sz w:val="28"/>
                <w:szCs w:val="28"/>
              </w:rPr>
            </w:pPr>
            <w:r w:rsidRPr="00351FD6">
              <w:rPr>
                <w:sz w:val="28"/>
                <w:szCs w:val="28"/>
              </w:rPr>
              <w:t>Sediu APM</w:t>
            </w:r>
          </w:p>
        </w:tc>
        <w:tc>
          <w:tcPr>
            <w:tcW w:w="1884" w:type="dxa"/>
          </w:tcPr>
          <w:p w:rsidR="00562777" w:rsidRPr="00351FD6" w:rsidRDefault="00562777" w:rsidP="004B70F2">
            <w:pPr>
              <w:jc w:val="center"/>
              <w:rPr>
                <w:sz w:val="28"/>
                <w:szCs w:val="28"/>
              </w:rPr>
            </w:pPr>
            <w:r>
              <w:rPr>
                <w:sz w:val="28"/>
                <w:szCs w:val="28"/>
              </w:rPr>
              <w:t>2,85</w:t>
            </w:r>
          </w:p>
        </w:tc>
        <w:tc>
          <w:tcPr>
            <w:tcW w:w="2056" w:type="dxa"/>
          </w:tcPr>
          <w:p w:rsidR="00562777" w:rsidRPr="00351FD6" w:rsidRDefault="00562777" w:rsidP="004B70F2">
            <w:pPr>
              <w:jc w:val="center"/>
              <w:rPr>
                <w:sz w:val="28"/>
                <w:szCs w:val="28"/>
              </w:rPr>
            </w:pPr>
            <w:r>
              <w:rPr>
                <w:sz w:val="28"/>
                <w:szCs w:val="28"/>
              </w:rPr>
              <w:t>2,44</w:t>
            </w:r>
          </w:p>
        </w:tc>
        <w:tc>
          <w:tcPr>
            <w:tcW w:w="1418" w:type="dxa"/>
          </w:tcPr>
          <w:p w:rsidR="00562777" w:rsidRPr="00351FD6" w:rsidRDefault="00562777" w:rsidP="004B70F2">
            <w:pPr>
              <w:jc w:val="center"/>
              <w:rPr>
                <w:sz w:val="28"/>
                <w:szCs w:val="28"/>
              </w:rPr>
            </w:pPr>
            <w:r>
              <w:rPr>
                <w:sz w:val="28"/>
                <w:szCs w:val="28"/>
              </w:rPr>
              <w:t>1,1</w:t>
            </w:r>
          </w:p>
        </w:tc>
      </w:tr>
      <w:tr w:rsidR="00562777" w:rsidRPr="00351FD6" w:rsidTr="004B70F2">
        <w:trPr>
          <w:cantSplit/>
        </w:trPr>
        <w:tc>
          <w:tcPr>
            <w:tcW w:w="657" w:type="dxa"/>
          </w:tcPr>
          <w:p w:rsidR="00562777" w:rsidRPr="00351FD6" w:rsidRDefault="00562777" w:rsidP="004B70F2">
            <w:pPr>
              <w:jc w:val="center"/>
              <w:rPr>
                <w:sz w:val="28"/>
                <w:szCs w:val="28"/>
              </w:rPr>
            </w:pPr>
            <w:r w:rsidRPr="00351FD6">
              <w:rPr>
                <w:sz w:val="28"/>
                <w:szCs w:val="28"/>
              </w:rPr>
              <w:t>2.</w:t>
            </w:r>
          </w:p>
        </w:tc>
        <w:tc>
          <w:tcPr>
            <w:tcW w:w="2777" w:type="dxa"/>
          </w:tcPr>
          <w:p w:rsidR="00562777" w:rsidRPr="00351FD6" w:rsidRDefault="00562777" w:rsidP="004B70F2">
            <w:pPr>
              <w:jc w:val="center"/>
              <w:rPr>
                <w:sz w:val="28"/>
                <w:szCs w:val="28"/>
              </w:rPr>
            </w:pPr>
            <w:r w:rsidRPr="00351FD6">
              <w:rPr>
                <w:sz w:val="28"/>
                <w:szCs w:val="28"/>
              </w:rPr>
              <w:t>Uzina de apă Brăila</w:t>
            </w:r>
          </w:p>
        </w:tc>
        <w:tc>
          <w:tcPr>
            <w:tcW w:w="1884" w:type="dxa"/>
          </w:tcPr>
          <w:p w:rsidR="00562777" w:rsidRPr="00351FD6" w:rsidRDefault="00562777" w:rsidP="004B70F2">
            <w:pPr>
              <w:jc w:val="center"/>
              <w:rPr>
                <w:sz w:val="28"/>
                <w:szCs w:val="28"/>
              </w:rPr>
            </w:pPr>
            <w:r>
              <w:rPr>
                <w:sz w:val="28"/>
                <w:szCs w:val="28"/>
              </w:rPr>
              <w:t>4,11</w:t>
            </w:r>
          </w:p>
        </w:tc>
        <w:tc>
          <w:tcPr>
            <w:tcW w:w="2056" w:type="dxa"/>
          </w:tcPr>
          <w:p w:rsidR="00562777" w:rsidRPr="00351FD6" w:rsidRDefault="00562777" w:rsidP="004B70F2">
            <w:pPr>
              <w:jc w:val="center"/>
              <w:rPr>
                <w:sz w:val="28"/>
                <w:szCs w:val="28"/>
              </w:rPr>
            </w:pPr>
            <w:r>
              <w:rPr>
                <w:sz w:val="28"/>
                <w:szCs w:val="28"/>
              </w:rPr>
              <w:t>3,52</w:t>
            </w:r>
          </w:p>
        </w:tc>
        <w:tc>
          <w:tcPr>
            <w:tcW w:w="1418" w:type="dxa"/>
          </w:tcPr>
          <w:p w:rsidR="00562777" w:rsidRPr="00351FD6" w:rsidRDefault="00562777" w:rsidP="004B70F2">
            <w:pPr>
              <w:jc w:val="center"/>
              <w:rPr>
                <w:sz w:val="28"/>
                <w:szCs w:val="28"/>
              </w:rPr>
            </w:pPr>
            <w:r>
              <w:rPr>
                <w:sz w:val="28"/>
                <w:szCs w:val="28"/>
              </w:rPr>
              <w:t>1,1</w:t>
            </w:r>
          </w:p>
        </w:tc>
      </w:tr>
      <w:tr w:rsidR="00562777" w:rsidRPr="00351FD6" w:rsidTr="004B70F2">
        <w:trPr>
          <w:cantSplit/>
        </w:trPr>
        <w:tc>
          <w:tcPr>
            <w:tcW w:w="657" w:type="dxa"/>
          </w:tcPr>
          <w:p w:rsidR="00562777" w:rsidRPr="00351FD6" w:rsidRDefault="00562777" w:rsidP="004B70F2">
            <w:pPr>
              <w:jc w:val="center"/>
              <w:rPr>
                <w:sz w:val="28"/>
                <w:szCs w:val="28"/>
              </w:rPr>
            </w:pPr>
            <w:r w:rsidRPr="00351FD6">
              <w:rPr>
                <w:sz w:val="28"/>
                <w:szCs w:val="28"/>
              </w:rPr>
              <w:t>3.</w:t>
            </w:r>
          </w:p>
        </w:tc>
        <w:tc>
          <w:tcPr>
            <w:tcW w:w="2777" w:type="dxa"/>
          </w:tcPr>
          <w:p w:rsidR="00562777" w:rsidRPr="00351FD6" w:rsidRDefault="00562777" w:rsidP="004B70F2">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562777" w:rsidRPr="00351FD6" w:rsidRDefault="00562777" w:rsidP="004B70F2">
            <w:pPr>
              <w:jc w:val="center"/>
              <w:rPr>
                <w:sz w:val="28"/>
                <w:szCs w:val="28"/>
              </w:rPr>
            </w:pPr>
            <w:r>
              <w:rPr>
                <w:sz w:val="28"/>
                <w:szCs w:val="28"/>
              </w:rPr>
              <w:t>3,98</w:t>
            </w:r>
          </w:p>
        </w:tc>
        <w:tc>
          <w:tcPr>
            <w:tcW w:w="2056" w:type="dxa"/>
          </w:tcPr>
          <w:p w:rsidR="00562777" w:rsidRPr="00351FD6" w:rsidRDefault="00562777" w:rsidP="004B70F2">
            <w:pPr>
              <w:jc w:val="center"/>
              <w:rPr>
                <w:sz w:val="28"/>
                <w:szCs w:val="28"/>
              </w:rPr>
            </w:pPr>
            <w:r>
              <w:rPr>
                <w:sz w:val="28"/>
                <w:szCs w:val="28"/>
              </w:rPr>
              <w:t>4,39</w:t>
            </w:r>
          </w:p>
        </w:tc>
        <w:tc>
          <w:tcPr>
            <w:tcW w:w="1418" w:type="dxa"/>
          </w:tcPr>
          <w:p w:rsidR="00562777" w:rsidRPr="00351FD6" w:rsidRDefault="00562777" w:rsidP="004B70F2">
            <w:pPr>
              <w:jc w:val="center"/>
              <w:rPr>
                <w:sz w:val="28"/>
                <w:szCs w:val="28"/>
              </w:rPr>
            </w:pPr>
            <w:r>
              <w:rPr>
                <w:sz w:val="28"/>
                <w:szCs w:val="28"/>
              </w:rPr>
              <w:t>0,9</w:t>
            </w:r>
          </w:p>
        </w:tc>
      </w:tr>
      <w:tr w:rsidR="00562777" w:rsidRPr="00351FD6" w:rsidTr="004B70F2">
        <w:trPr>
          <w:cantSplit/>
        </w:trPr>
        <w:tc>
          <w:tcPr>
            <w:tcW w:w="657" w:type="dxa"/>
          </w:tcPr>
          <w:p w:rsidR="00562777" w:rsidRPr="00351FD6" w:rsidRDefault="00562777" w:rsidP="004B70F2">
            <w:pPr>
              <w:jc w:val="center"/>
              <w:rPr>
                <w:sz w:val="28"/>
                <w:szCs w:val="28"/>
              </w:rPr>
            </w:pPr>
            <w:r w:rsidRPr="00351FD6">
              <w:rPr>
                <w:sz w:val="28"/>
                <w:szCs w:val="28"/>
              </w:rPr>
              <w:t>4.</w:t>
            </w:r>
          </w:p>
        </w:tc>
        <w:tc>
          <w:tcPr>
            <w:tcW w:w="2777" w:type="dxa"/>
          </w:tcPr>
          <w:p w:rsidR="00562777" w:rsidRPr="00351FD6" w:rsidRDefault="00562777" w:rsidP="004B70F2">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562777" w:rsidRPr="00351FD6" w:rsidRDefault="00562777" w:rsidP="004B70F2">
            <w:pPr>
              <w:jc w:val="center"/>
              <w:rPr>
                <w:sz w:val="28"/>
                <w:szCs w:val="28"/>
              </w:rPr>
            </w:pPr>
            <w:r>
              <w:rPr>
                <w:sz w:val="28"/>
                <w:szCs w:val="28"/>
              </w:rPr>
              <w:t>3,96</w:t>
            </w:r>
          </w:p>
        </w:tc>
        <w:tc>
          <w:tcPr>
            <w:tcW w:w="2056" w:type="dxa"/>
          </w:tcPr>
          <w:p w:rsidR="00562777" w:rsidRPr="00351FD6" w:rsidRDefault="00562777" w:rsidP="004B70F2">
            <w:pPr>
              <w:jc w:val="center"/>
              <w:rPr>
                <w:sz w:val="28"/>
                <w:szCs w:val="28"/>
              </w:rPr>
            </w:pPr>
            <w:r>
              <w:rPr>
                <w:sz w:val="28"/>
                <w:szCs w:val="28"/>
              </w:rPr>
              <w:t>3,78</w:t>
            </w:r>
          </w:p>
        </w:tc>
        <w:tc>
          <w:tcPr>
            <w:tcW w:w="1418" w:type="dxa"/>
          </w:tcPr>
          <w:p w:rsidR="00562777" w:rsidRPr="00351FD6" w:rsidRDefault="00562777" w:rsidP="004B70F2">
            <w:pPr>
              <w:jc w:val="center"/>
              <w:rPr>
                <w:sz w:val="28"/>
                <w:szCs w:val="28"/>
              </w:rPr>
            </w:pPr>
            <w:r>
              <w:rPr>
                <w:sz w:val="28"/>
                <w:szCs w:val="28"/>
              </w:rPr>
              <w:t>1,0</w:t>
            </w:r>
          </w:p>
        </w:tc>
      </w:tr>
      <w:tr w:rsidR="00562777" w:rsidRPr="00351FD6" w:rsidTr="004B70F2">
        <w:trPr>
          <w:cantSplit/>
        </w:trPr>
        <w:tc>
          <w:tcPr>
            <w:tcW w:w="657" w:type="dxa"/>
          </w:tcPr>
          <w:p w:rsidR="00562777" w:rsidRPr="00351FD6" w:rsidRDefault="00562777" w:rsidP="004B70F2">
            <w:pPr>
              <w:jc w:val="center"/>
              <w:rPr>
                <w:sz w:val="28"/>
                <w:szCs w:val="28"/>
              </w:rPr>
            </w:pPr>
            <w:r w:rsidRPr="00351FD6">
              <w:rPr>
                <w:sz w:val="28"/>
                <w:szCs w:val="28"/>
              </w:rPr>
              <w:t>5.</w:t>
            </w:r>
          </w:p>
        </w:tc>
        <w:tc>
          <w:tcPr>
            <w:tcW w:w="2777" w:type="dxa"/>
          </w:tcPr>
          <w:p w:rsidR="00562777" w:rsidRPr="00351FD6" w:rsidRDefault="00562777" w:rsidP="004B70F2">
            <w:pPr>
              <w:jc w:val="center"/>
              <w:rPr>
                <w:sz w:val="28"/>
                <w:szCs w:val="28"/>
                <w:lang w:val="fr-FR"/>
              </w:rPr>
            </w:pPr>
            <w:r w:rsidRPr="00351FD6">
              <w:rPr>
                <w:sz w:val="28"/>
                <w:szCs w:val="28"/>
                <w:lang w:val="fr-FR"/>
              </w:rPr>
              <w:t>S.C. Hercules S.A.</w:t>
            </w:r>
          </w:p>
        </w:tc>
        <w:tc>
          <w:tcPr>
            <w:tcW w:w="1884" w:type="dxa"/>
          </w:tcPr>
          <w:p w:rsidR="00562777" w:rsidRPr="00351FD6" w:rsidRDefault="00562777" w:rsidP="004B70F2">
            <w:pPr>
              <w:jc w:val="center"/>
              <w:rPr>
                <w:sz w:val="28"/>
                <w:szCs w:val="28"/>
                <w:lang w:val="fr-FR"/>
              </w:rPr>
            </w:pPr>
            <w:r>
              <w:rPr>
                <w:sz w:val="28"/>
                <w:szCs w:val="28"/>
                <w:lang w:val="fr-FR"/>
              </w:rPr>
              <w:t>7,59</w:t>
            </w:r>
          </w:p>
        </w:tc>
        <w:tc>
          <w:tcPr>
            <w:tcW w:w="2056" w:type="dxa"/>
          </w:tcPr>
          <w:p w:rsidR="00562777" w:rsidRPr="00351FD6" w:rsidRDefault="00562777" w:rsidP="004B70F2">
            <w:pPr>
              <w:jc w:val="center"/>
              <w:rPr>
                <w:sz w:val="28"/>
                <w:szCs w:val="28"/>
                <w:lang w:val="fr-FR"/>
              </w:rPr>
            </w:pPr>
            <w:r>
              <w:rPr>
                <w:sz w:val="28"/>
                <w:szCs w:val="28"/>
                <w:lang w:val="fr-FR"/>
              </w:rPr>
              <w:t>6,61</w:t>
            </w:r>
          </w:p>
        </w:tc>
        <w:tc>
          <w:tcPr>
            <w:tcW w:w="1418" w:type="dxa"/>
          </w:tcPr>
          <w:p w:rsidR="00562777" w:rsidRPr="00351FD6" w:rsidRDefault="00562777" w:rsidP="004B70F2">
            <w:pPr>
              <w:jc w:val="center"/>
              <w:rPr>
                <w:sz w:val="28"/>
                <w:szCs w:val="28"/>
                <w:lang w:val="fr-FR"/>
              </w:rPr>
            </w:pPr>
            <w:r>
              <w:rPr>
                <w:sz w:val="28"/>
                <w:szCs w:val="28"/>
                <w:lang w:val="fr-FR"/>
              </w:rPr>
              <w:t>1,1</w:t>
            </w:r>
          </w:p>
        </w:tc>
      </w:tr>
      <w:tr w:rsidR="00562777" w:rsidRPr="00351FD6" w:rsidTr="004B70F2">
        <w:trPr>
          <w:cantSplit/>
        </w:trPr>
        <w:tc>
          <w:tcPr>
            <w:tcW w:w="657" w:type="dxa"/>
          </w:tcPr>
          <w:p w:rsidR="00562777" w:rsidRPr="00351FD6" w:rsidRDefault="00562777" w:rsidP="004B70F2">
            <w:pPr>
              <w:jc w:val="center"/>
              <w:rPr>
                <w:sz w:val="28"/>
                <w:szCs w:val="28"/>
                <w:lang w:val="fr-FR"/>
              </w:rPr>
            </w:pPr>
            <w:r w:rsidRPr="00351FD6">
              <w:rPr>
                <w:sz w:val="28"/>
                <w:szCs w:val="28"/>
                <w:lang w:val="fr-FR"/>
              </w:rPr>
              <w:t>6.</w:t>
            </w:r>
          </w:p>
        </w:tc>
        <w:tc>
          <w:tcPr>
            <w:tcW w:w="2777" w:type="dxa"/>
          </w:tcPr>
          <w:p w:rsidR="00562777" w:rsidRPr="00351FD6" w:rsidRDefault="00562777" w:rsidP="004B70F2">
            <w:pPr>
              <w:jc w:val="center"/>
              <w:rPr>
                <w:sz w:val="28"/>
                <w:szCs w:val="28"/>
                <w:lang w:val="fr-FR"/>
              </w:rPr>
            </w:pPr>
            <w:r w:rsidRPr="00351FD6">
              <w:rPr>
                <w:sz w:val="28"/>
                <w:szCs w:val="28"/>
                <w:lang w:val="fr-FR"/>
              </w:rPr>
              <w:t>Str. Galaţi</w:t>
            </w:r>
          </w:p>
        </w:tc>
        <w:tc>
          <w:tcPr>
            <w:tcW w:w="1884" w:type="dxa"/>
          </w:tcPr>
          <w:p w:rsidR="00562777" w:rsidRPr="00351FD6" w:rsidRDefault="00562777" w:rsidP="004B70F2">
            <w:pPr>
              <w:jc w:val="center"/>
              <w:rPr>
                <w:sz w:val="28"/>
                <w:szCs w:val="28"/>
                <w:lang w:val="fr-FR"/>
              </w:rPr>
            </w:pPr>
            <w:r>
              <w:rPr>
                <w:sz w:val="28"/>
                <w:szCs w:val="28"/>
                <w:lang w:val="fr-FR"/>
              </w:rPr>
              <w:t>4,22</w:t>
            </w:r>
          </w:p>
        </w:tc>
        <w:tc>
          <w:tcPr>
            <w:tcW w:w="2056" w:type="dxa"/>
          </w:tcPr>
          <w:p w:rsidR="00562777" w:rsidRPr="00351FD6" w:rsidRDefault="00562777" w:rsidP="004B70F2">
            <w:pPr>
              <w:jc w:val="center"/>
              <w:rPr>
                <w:sz w:val="28"/>
                <w:szCs w:val="28"/>
                <w:lang w:val="fr-FR"/>
              </w:rPr>
            </w:pPr>
            <w:r>
              <w:rPr>
                <w:sz w:val="28"/>
                <w:szCs w:val="28"/>
                <w:lang w:val="fr-FR"/>
              </w:rPr>
              <w:t>3,30</w:t>
            </w:r>
          </w:p>
        </w:tc>
        <w:tc>
          <w:tcPr>
            <w:tcW w:w="1418" w:type="dxa"/>
          </w:tcPr>
          <w:p w:rsidR="00562777" w:rsidRPr="00351FD6" w:rsidRDefault="00562777" w:rsidP="004B70F2">
            <w:pPr>
              <w:jc w:val="center"/>
              <w:rPr>
                <w:sz w:val="28"/>
                <w:szCs w:val="28"/>
                <w:lang w:val="fr-FR"/>
              </w:rPr>
            </w:pPr>
            <w:r>
              <w:rPr>
                <w:sz w:val="28"/>
                <w:szCs w:val="28"/>
                <w:lang w:val="fr-FR"/>
              </w:rPr>
              <w:t>1,2</w:t>
            </w:r>
          </w:p>
        </w:tc>
      </w:tr>
      <w:tr w:rsidR="00562777" w:rsidRPr="00351FD6" w:rsidTr="004B70F2">
        <w:trPr>
          <w:cantSplit/>
        </w:trPr>
        <w:tc>
          <w:tcPr>
            <w:tcW w:w="657" w:type="dxa"/>
          </w:tcPr>
          <w:p w:rsidR="00562777" w:rsidRPr="00351FD6" w:rsidRDefault="00562777" w:rsidP="004B70F2">
            <w:pPr>
              <w:jc w:val="center"/>
              <w:rPr>
                <w:sz w:val="28"/>
                <w:szCs w:val="28"/>
                <w:lang w:val="fr-FR"/>
              </w:rPr>
            </w:pPr>
            <w:r w:rsidRPr="00351FD6">
              <w:rPr>
                <w:sz w:val="28"/>
                <w:szCs w:val="28"/>
                <w:lang w:val="fr-FR"/>
              </w:rPr>
              <w:t>7.</w:t>
            </w:r>
          </w:p>
        </w:tc>
        <w:tc>
          <w:tcPr>
            <w:tcW w:w="2777" w:type="dxa"/>
          </w:tcPr>
          <w:p w:rsidR="00562777" w:rsidRPr="00351FD6" w:rsidRDefault="00562777" w:rsidP="004B70F2">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562777" w:rsidRPr="00351FD6" w:rsidRDefault="00562777" w:rsidP="004B70F2">
            <w:pPr>
              <w:jc w:val="center"/>
              <w:rPr>
                <w:sz w:val="28"/>
                <w:szCs w:val="28"/>
                <w:lang w:val="fr-FR"/>
              </w:rPr>
            </w:pPr>
            <w:r>
              <w:rPr>
                <w:sz w:val="28"/>
                <w:szCs w:val="28"/>
                <w:lang w:val="fr-FR"/>
              </w:rPr>
              <w:t>5,19</w:t>
            </w:r>
          </w:p>
        </w:tc>
        <w:tc>
          <w:tcPr>
            <w:tcW w:w="2056" w:type="dxa"/>
          </w:tcPr>
          <w:p w:rsidR="00562777" w:rsidRPr="00351FD6" w:rsidRDefault="00562777" w:rsidP="004B70F2">
            <w:pPr>
              <w:jc w:val="center"/>
              <w:rPr>
                <w:sz w:val="28"/>
                <w:szCs w:val="28"/>
                <w:lang w:val="fr-FR"/>
              </w:rPr>
            </w:pPr>
            <w:r>
              <w:rPr>
                <w:sz w:val="28"/>
                <w:szCs w:val="28"/>
                <w:lang w:val="fr-FR"/>
              </w:rPr>
              <w:t>4,90</w:t>
            </w:r>
          </w:p>
        </w:tc>
        <w:tc>
          <w:tcPr>
            <w:tcW w:w="1418" w:type="dxa"/>
          </w:tcPr>
          <w:p w:rsidR="00562777" w:rsidRPr="00351FD6" w:rsidRDefault="00562777" w:rsidP="004B70F2">
            <w:pPr>
              <w:jc w:val="center"/>
              <w:rPr>
                <w:sz w:val="28"/>
                <w:szCs w:val="28"/>
                <w:lang w:val="fr-FR"/>
              </w:rPr>
            </w:pPr>
            <w:r>
              <w:rPr>
                <w:sz w:val="28"/>
                <w:szCs w:val="28"/>
                <w:lang w:val="fr-FR"/>
              </w:rPr>
              <w:t>1,0</w:t>
            </w:r>
          </w:p>
        </w:tc>
      </w:tr>
      <w:tr w:rsidR="00562777" w:rsidRPr="00351FD6" w:rsidTr="004B70F2">
        <w:trPr>
          <w:cantSplit/>
        </w:trPr>
        <w:tc>
          <w:tcPr>
            <w:tcW w:w="657" w:type="dxa"/>
          </w:tcPr>
          <w:p w:rsidR="00562777" w:rsidRPr="00351FD6" w:rsidRDefault="00562777" w:rsidP="004B70F2">
            <w:pPr>
              <w:jc w:val="center"/>
              <w:rPr>
                <w:sz w:val="28"/>
                <w:szCs w:val="28"/>
                <w:lang w:val="fr-FR"/>
              </w:rPr>
            </w:pPr>
            <w:r w:rsidRPr="00351FD6">
              <w:rPr>
                <w:sz w:val="28"/>
                <w:szCs w:val="28"/>
                <w:lang w:val="fr-FR"/>
              </w:rPr>
              <w:t>8.</w:t>
            </w:r>
          </w:p>
        </w:tc>
        <w:tc>
          <w:tcPr>
            <w:tcW w:w="2777" w:type="dxa"/>
          </w:tcPr>
          <w:p w:rsidR="00562777" w:rsidRPr="00351FD6" w:rsidRDefault="00562777" w:rsidP="004B70F2">
            <w:pPr>
              <w:jc w:val="center"/>
              <w:rPr>
                <w:sz w:val="28"/>
                <w:szCs w:val="28"/>
                <w:lang w:val="fr-FR"/>
              </w:rPr>
            </w:pPr>
            <w:proofErr w:type="spellStart"/>
            <w:r w:rsidRPr="00351FD6">
              <w:rPr>
                <w:sz w:val="28"/>
                <w:szCs w:val="28"/>
                <w:lang w:val="fr-FR"/>
              </w:rPr>
              <w:t>Cazasu</w:t>
            </w:r>
            <w:proofErr w:type="spellEnd"/>
          </w:p>
        </w:tc>
        <w:tc>
          <w:tcPr>
            <w:tcW w:w="1884" w:type="dxa"/>
          </w:tcPr>
          <w:p w:rsidR="00562777" w:rsidRPr="00351FD6" w:rsidRDefault="00562777" w:rsidP="004B70F2">
            <w:pPr>
              <w:jc w:val="center"/>
              <w:rPr>
                <w:sz w:val="28"/>
                <w:szCs w:val="28"/>
                <w:lang w:val="fr-FR"/>
              </w:rPr>
            </w:pPr>
            <w:r>
              <w:rPr>
                <w:sz w:val="28"/>
                <w:szCs w:val="28"/>
                <w:lang w:val="fr-FR"/>
              </w:rPr>
              <w:t>4,10</w:t>
            </w:r>
          </w:p>
        </w:tc>
        <w:tc>
          <w:tcPr>
            <w:tcW w:w="2056" w:type="dxa"/>
          </w:tcPr>
          <w:p w:rsidR="00562777" w:rsidRPr="00351FD6" w:rsidRDefault="00562777" w:rsidP="004B70F2">
            <w:pPr>
              <w:jc w:val="center"/>
              <w:rPr>
                <w:sz w:val="28"/>
                <w:szCs w:val="28"/>
                <w:lang w:val="fr-FR"/>
              </w:rPr>
            </w:pPr>
            <w:r>
              <w:rPr>
                <w:sz w:val="28"/>
                <w:szCs w:val="28"/>
                <w:lang w:val="fr-FR"/>
              </w:rPr>
              <w:t>1,91</w:t>
            </w:r>
          </w:p>
        </w:tc>
        <w:tc>
          <w:tcPr>
            <w:tcW w:w="1418" w:type="dxa"/>
          </w:tcPr>
          <w:p w:rsidR="00562777" w:rsidRPr="00351FD6" w:rsidRDefault="00562777" w:rsidP="004B70F2">
            <w:pPr>
              <w:jc w:val="center"/>
              <w:rPr>
                <w:sz w:val="28"/>
                <w:szCs w:val="28"/>
                <w:lang w:val="fr-FR"/>
              </w:rPr>
            </w:pPr>
            <w:r>
              <w:rPr>
                <w:sz w:val="28"/>
                <w:szCs w:val="28"/>
                <w:lang w:val="fr-FR"/>
              </w:rPr>
              <w:t>2,1</w:t>
            </w:r>
          </w:p>
        </w:tc>
      </w:tr>
      <w:tr w:rsidR="00562777" w:rsidRPr="00351FD6" w:rsidTr="004B70F2">
        <w:trPr>
          <w:cantSplit/>
        </w:trPr>
        <w:tc>
          <w:tcPr>
            <w:tcW w:w="657" w:type="dxa"/>
          </w:tcPr>
          <w:p w:rsidR="00562777" w:rsidRPr="00351FD6" w:rsidRDefault="00562777" w:rsidP="004B70F2">
            <w:pPr>
              <w:jc w:val="center"/>
              <w:rPr>
                <w:sz w:val="28"/>
                <w:szCs w:val="28"/>
                <w:lang w:val="fr-FR"/>
              </w:rPr>
            </w:pPr>
            <w:r w:rsidRPr="00351FD6">
              <w:rPr>
                <w:sz w:val="28"/>
                <w:szCs w:val="28"/>
                <w:lang w:val="fr-FR"/>
              </w:rPr>
              <w:t>9.</w:t>
            </w:r>
          </w:p>
        </w:tc>
        <w:tc>
          <w:tcPr>
            <w:tcW w:w="2777" w:type="dxa"/>
          </w:tcPr>
          <w:p w:rsidR="00562777" w:rsidRPr="00351FD6" w:rsidRDefault="00562777" w:rsidP="004B70F2">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562777" w:rsidRPr="00351FD6" w:rsidRDefault="00562777" w:rsidP="004B70F2">
            <w:pPr>
              <w:jc w:val="center"/>
              <w:rPr>
                <w:sz w:val="28"/>
                <w:szCs w:val="28"/>
                <w:lang w:val="fr-FR"/>
              </w:rPr>
            </w:pPr>
            <w:r>
              <w:rPr>
                <w:sz w:val="28"/>
                <w:szCs w:val="28"/>
                <w:lang w:val="fr-FR"/>
              </w:rPr>
              <w:t>2,13</w:t>
            </w:r>
          </w:p>
        </w:tc>
        <w:tc>
          <w:tcPr>
            <w:tcW w:w="2056" w:type="dxa"/>
          </w:tcPr>
          <w:p w:rsidR="00562777" w:rsidRPr="00351FD6" w:rsidRDefault="00562777" w:rsidP="004B70F2">
            <w:pPr>
              <w:jc w:val="center"/>
              <w:rPr>
                <w:sz w:val="28"/>
                <w:szCs w:val="28"/>
                <w:lang w:val="fr-FR"/>
              </w:rPr>
            </w:pPr>
            <w:r>
              <w:rPr>
                <w:sz w:val="28"/>
                <w:szCs w:val="28"/>
                <w:lang w:val="fr-FR"/>
              </w:rPr>
              <w:t>2,34</w:t>
            </w:r>
          </w:p>
        </w:tc>
        <w:tc>
          <w:tcPr>
            <w:tcW w:w="1418" w:type="dxa"/>
          </w:tcPr>
          <w:p w:rsidR="00562777" w:rsidRPr="00351FD6" w:rsidRDefault="00562777" w:rsidP="004B70F2">
            <w:pPr>
              <w:jc w:val="center"/>
              <w:rPr>
                <w:sz w:val="28"/>
                <w:szCs w:val="28"/>
                <w:lang w:val="fr-FR"/>
              </w:rPr>
            </w:pPr>
            <w:r>
              <w:rPr>
                <w:sz w:val="28"/>
                <w:szCs w:val="28"/>
                <w:lang w:val="fr-FR"/>
              </w:rPr>
              <w:t>0,9</w:t>
            </w:r>
          </w:p>
        </w:tc>
      </w:tr>
      <w:tr w:rsidR="00562777" w:rsidRPr="00351FD6" w:rsidTr="004B70F2">
        <w:trPr>
          <w:cantSplit/>
        </w:trPr>
        <w:tc>
          <w:tcPr>
            <w:tcW w:w="657" w:type="dxa"/>
          </w:tcPr>
          <w:p w:rsidR="00562777" w:rsidRPr="00351FD6" w:rsidRDefault="00562777" w:rsidP="004B70F2">
            <w:pPr>
              <w:jc w:val="center"/>
              <w:rPr>
                <w:sz w:val="28"/>
                <w:szCs w:val="28"/>
                <w:lang w:val="fr-FR"/>
              </w:rPr>
            </w:pPr>
            <w:r w:rsidRPr="00351FD6">
              <w:rPr>
                <w:sz w:val="28"/>
                <w:szCs w:val="28"/>
                <w:lang w:val="fr-FR"/>
              </w:rPr>
              <w:t>10.</w:t>
            </w:r>
          </w:p>
        </w:tc>
        <w:tc>
          <w:tcPr>
            <w:tcW w:w="2777" w:type="dxa"/>
          </w:tcPr>
          <w:p w:rsidR="00562777" w:rsidRPr="00351FD6" w:rsidRDefault="00562777" w:rsidP="004B70F2">
            <w:pPr>
              <w:jc w:val="center"/>
              <w:rPr>
                <w:sz w:val="28"/>
                <w:szCs w:val="28"/>
                <w:lang w:val="fr-FR"/>
              </w:rPr>
            </w:pPr>
            <w:proofErr w:type="spellStart"/>
            <w:r w:rsidRPr="00351FD6">
              <w:rPr>
                <w:sz w:val="28"/>
                <w:szCs w:val="28"/>
                <w:lang w:val="fr-FR"/>
              </w:rPr>
              <w:t>Vărsătura</w:t>
            </w:r>
            <w:proofErr w:type="spellEnd"/>
          </w:p>
        </w:tc>
        <w:tc>
          <w:tcPr>
            <w:tcW w:w="1884" w:type="dxa"/>
          </w:tcPr>
          <w:p w:rsidR="00562777" w:rsidRPr="00351FD6" w:rsidRDefault="00562777" w:rsidP="004B70F2">
            <w:pPr>
              <w:jc w:val="center"/>
              <w:rPr>
                <w:sz w:val="28"/>
                <w:szCs w:val="28"/>
                <w:lang w:val="fr-FR"/>
              </w:rPr>
            </w:pPr>
            <w:r>
              <w:rPr>
                <w:sz w:val="28"/>
                <w:szCs w:val="28"/>
                <w:lang w:val="fr-FR"/>
              </w:rPr>
              <w:t>17,25</w:t>
            </w:r>
          </w:p>
        </w:tc>
        <w:tc>
          <w:tcPr>
            <w:tcW w:w="2056" w:type="dxa"/>
          </w:tcPr>
          <w:p w:rsidR="00562777" w:rsidRPr="00351FD6" w:rsidRDefault="00562777" w:rsidP="004B70F2">
            <w:pPr>
              <w:jc w:val="center"/>
              <w:rPr>
                <w:sz w:val="28"/>
                <w:szCs w:val="28"/>
                <w:lang w:val="fr-FR"/>
              </w:rPr>
            </w:pPr>
            <w:r>
              <w:rPr>
                <w:sz w:val="28"/>
                <w:szCs w:val="28"/>
                <w:lang w:val="fr-FR"/>
              </w:rPr>
              <w:t>17,75</w:t>
            </w:r>
          </w:p>
        </w:tc>
        <w:tc>
          <w:tcPr>
            <w:tcW w:w="1418" w:type="dxa"/>
          </w:tcPr>
          <w:p w:rsidR="00562777" w:rsidRPr="00351FD6" w:rsidRDefault="00562777" w:rsidP="004B70F2">
            <w:pPr>
              <w:jc w:val="center"/>
              <w:rPr>
                <w:sz w:val="28"/>
                <w:szCs w:val="28"/>
                <w:lang w:val="fr-FR"/>
              </w:rPr>
            </w:pPr>
            <w:r>
              <w:rPr>
                <w:sz w:val="28"/>
                <w:szCs w:val="28"/>
                <w:lang w:val="fr-FR"/>
              </w:rPr>
              <w:t>0,9</w:t>
            </w:r>
          </w:p>
        </w:tc>
      </w:tr>
    </w:tbl>
    <w:p w:rsidR="00562777" w:rsidRPr="00351FD6" w:rsidRDefault="00562777" w:rsidP="00562777">
      <w:pPr>
        <w:jc w:val="both"/>
        <w:rPr>
          <w:sz w:val="28"/>
          <w:szCs w:val="28"/>
          <w:lang w:val="fr-FR"/>
        </w:rPr>
      </w:pPr>
      <w:r w:rsidRPr="00351FD6">
        <w:rPr>
          <w:sz w:val="28"/>
          <w:szCs w:val="28"/>
          <w:lang w:val="fr-FR"/>
        </w:rPr>
        <w:t xml:space="preserve"> </w:t>
      </w:r>
    </w:p>
    <w:p w:rsidR="00F34E43" w:rsidRPr="00351FD6" w:rsidRDefault="00562777" w:rsidP="0059691A">
      <w:pPr>
        <w:ind w:left="540" w:firstLine="708"/>
        <w:jc w:val="both"/>
        <w:rPr>
          <w:sz w:val="28"/>
          <w:szCs w:val="28"/>
        </w:rPr>
      </w:pPr>
      <w:r w:rsidRPr="00351FD6">
        <w:rPr>
          <w:sz w:val="28"/>
          <w:szCs w:val="28"/>
          <w:lang w:val="fr-FR"/>
        </w:rPr>
        <w:t xml:space="preserve"> </w:t>
      </w:r>
      <w:r w:rsidRPr="00351FD6">
        <w:rPr>
          <w:sz w:val="28"/>
          <w:szCs w:val="28"/>
          <w:lang w:val="fr-FR"/>
        </w:rPr>
        <w:tab/>
        <w:t xml:space="preserve">Și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luna</w:t>
      </w:r>
      <w:proofErr w:type="spellEnd"/>
      <w:r w:rsidRPr="00351FD6">
        <w:rPr>
          <w:sz w:val="28"/>
          <w:szCs w:val="28"/>
          <w:lang w:val="fr-FR"/>
        </w:rPr>
        <w:t xml:space="preserve"> </w:t>
      </w:r>
      <w:proofErr w:type="spellStart"/>
      <w:r>
        <w:rPr>
          <w:sz w:val="28"/>
          <w:szCs w:val="28"/>
          <w:lang w:val="fr-FR"/>
        </w:rPr>
        <w:t>noiem</w:t>
      </w:r>
      <w:r w:rsidRPr="00351FD6">
        <w:rPr>
          <w:sz w:val="28"/>
          <w:szCs w:val="28"/>
          <w:lang w:val="fr-FR"/>
        </w:rPr>
        <w:t>brie</w:t>
      </w:r>
      <w:proofErr w:type="spellEnd"/>
      <w:r w:rsidRPr="00351FD6">
        <w:rPr>
          <w:sz w:val="28"/>
          <w:szCs w:val="28"/>
          <w:lang w:val="fr-FR"/>
        </w:rPr>
        <w:t xml:space="preserve"> 2015, se menț</w:t>
      </w:r>
      <w:proofErr w:type="spellStart"/>
      <w:r w:rsidRPr="00351FD6">
        <w:rPr>
          <w:sz w:val="28"/>
          <w:szCs w:val="28"/>
          <w:lang w:val="fr-FR"/>
        </w:rPr>
        <w:t>ine</w:t>
      </w:r>
      <w:proofErr w:type="spellEnd"/>
      <w:r w:rsidRPr="00351FD6">
        <w:rPr>
          <w:sz w:val="28"/>
          <w:szCs w:val="28"/>
          <w:lang w:val="fr-FR"/>
        </w:rPr>
        <w:t xml:space="preserve"> </w:t>
      </w:r>
      <w:proofErr w:type="spellStart"/>
      <w:r w:rsidRPr="00351FD6">
        <w:rPr>
          <w:sz w:val="28"/>
          <w:szCs w:val="28"/>
          <w:lang w:val="fr-FR"/>
        </w:rPr>
        <w:t>depă</w:t>
      </w:r>
      <w:proofErr w:type="spellEnd"/>
      <w:r w:rsidRPr="00351FD6">
        <w:rPr>
          <w:sz w:val="28"/>
          <w:szCs w:val="28"/>
          <w:lang w:val="fr-FR"/>
        </w:rPr>
        <w:t>ș</w:t>
      </w:r>
      <w:proofErr w:type="spellStart"/>
      <w:r w:rsidRPr="00351FD6">
        <w:rPr>
          <w:sz w:val="28"/>
          <w:szCs w:val="28"/>
          <w:lang w:val="fr-FR"/>
        </w:rPr>
        <w:t>ire</w:t>
      </w:r>
      <w:r>
        <w:rPr>
          <w:sz w:val="28"/>
          <w:szCs w:val="28"/>
          <w:lang w:val="fr-FR"/>
        </w:rPr>
        <w:t>a</w:t>
      </w:r>
      <w:proofErr w:type="spellEnd"/>
      <w:r w:rsidRPr="00351FD6">
        <w:rPr>
          <w:sz w:val="28"/>
          <w:szCs w:val="28"/>
          <w:lang w:val="fr-FR"/>
        </w:rPr>
        <w:t xml:space="preserve"> </w:t>
      </w:r>
      <w:proofErr w:type="spellStart"/>
      <w:r w:rsidRPr="00351FD6">
        <w:rPr>
          <w:sz w:val="28"/>
          <w:szCs w:val="28"/>
          <w:lang w:val="fr-FR"/>
        </w:rPr>
        <w:t>valorii</w:t>
      </w:r>
      <w:proofErr w:type="spellEnd"/>
      <w:r w:rsidRPr="00351FD6">
        <w:rPr>
          <w:sz w:val="28"/>
          <w:szCs w:val="28"/>
          <w:lang w:val="fr-FR"/>
        </w:rPr>
        <w:t xml:space="preserve"> </w:t>
      </w:r>
      <w:proofErr w:type="spellStart"/>
      <w:r w:rsidRPr="00351FD6">
        <w:rPr>
          <w:sz w:val="28"/>
          <w:szCs w:val="28"/>
          <w:lang w:val="fr-FR"/>
        </w:rPr>
        <w:t>limită</w:t>
      </w:r>
      <w:proofErr w:type="spellEnd"/>
      <w:r w:rsidRPr="00351FD6">
        <w:rPr>
          <w:sz w:val="28"/>
          <w:szCs w:val="28"/>
          <w:lang w:val="fr-FR"/>
        </w:rPr>
        <w:t xml:space="preserve"> admise, de </w:t>
      </w:r>
      <w:proofErr w:type="spellStart"/>
      <w:r>
        <w:rPr>
          <w:sz w:val="28"/>
          <w:szCs w:val="28"/>
          <w:lang w:val="fr-FR"/>
        </w:rPr>
        <w:t>aproximativ</w:t>
      </w:r>
      <w:proofErr w:type="spellEnd"/>
      <w:r>
        <w:rPr>
          <w:sz w:val="28"/>
          <w:szCs w:val="28"/>
          <w:lang w:val="fr-FR"/>
        </w:rPr>
        <w:t xml:space="preserve"> 2</w:t>
      </w:r>
      <w:r w:rsidRPr="00351FD6">
        <w:rPr>
          <w:sz w:val="28"/>
          <w:szCs w:val="28"/>
          <w:lang w:val="fr-FR"/>
        </w:rPr>
        <w:t>%</w:t>
      </w:r>
      <w:proofErr w:type="gramStart"/>
      <w:r w:rsidRPr="00351FD6">
        <w:rPr>
          <w:sz w:val="28"/>
          <w:szCs w:val="28"/>
          <w:lang w:val="fr-FR"/>
        </w:rPr>
        <w:t>, ,</w:t>
      </w:r>
      <w:proofErr w:type="gram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punctul</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Vărsătura</w:t>
      </w:r>
      <w:proofErr w:type="spellEnd"/>
      <w:r w:rsidRPr="00351FD6">
        <w:rPr>
          <w:sz w:val="28"/>
          <w:szCs w:val="28"/>
          <w:lang w:val="fr-FR"/>
        </w:rPr>
        <w:t>.</w:t>
      </w:r>
    </w:p>
    <w:p w:rsidR="00F34E43" w:rsidRDefault="00F34E43" w:rsidP="00603C18">
      <w:pPr>
        <w:pStyle w:val="xl36"/>
        <w:pBdr>
          <w:right w:val="none" w:sz="0" w:space="0" w:color="auto"/>
        </w:pBdr>
        <w:spacing w:before="0" w:beforeAutospacing="0" w:after="0" w:afterAutospacing="0"/>
        <w:ind w:left="540"/>
        <w:jc w:val="left"/>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ph"/>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EF15A8" w:rsidRPr="00EF15A8" w:rsidRDefault="00F66664" w:rsidP="00EF15A8">
      <w:pPr>
        <w:pStyle w:val="ListParagraph"/>
        <w:numPr>
          <w:ilvl w:val="0"/>
          <w:numId w:val="22"/>
        </w:numPr>
        <w:shd w:val="clear" w:color="auto" w:fill="FFFFFF"/>
        <w:tabs>
          <w:tab w:val="left" w:pos="1440"/>
        </w:tabs>
        <w:spacing w:line="240" w:lineRule="atLeast"/>
        <w:jc w:val="both"/>
        <w:rPr>
          <w:rFonts w:ascii="Times New Roman" w:hAnsi="Times New Roman"/>
          <w:sz w:val="28"/>
          <w:szCs w:val="28"/>
        </w:rPr>
      </w:pPr>
      <w:r w:rsidRPr="00EF15A8">
        <w:rPr>
          <w:rFonts w:ascii="Times New Roman" w:hAnsi="Times New Roman"/>
          <w:b/>
          <w:sz w:val="28"/>
          <w:szCs w:val="28"/>
        </w:rPr>
        <w:t xml:space="preserve">Staţia Brăila 5 - </w:t>
      </w:r>
      <w:r w:rsidRPr="00EF15A8">
        <w:rPr>
          <w:rFonts w:ascii="Times New Roman" w:hAnsi="Times New Roman"/>
          <w:sz w:val="28"/>
          <w:szCs w:val="28"/>
        </w:rPr>
        <w:t xml:space="preserve">Staţia </w:t>
      </w:r>
      <w:r w:rsidRPr="00EF15A8">
        <w:rPr>
          <w:rFonts w:ascii="Times New Roman" w:hAnsi="Times New Roman"/>
          <w:bCs/>
          <w:sz w:val="28"/>
          <w:szCs w:val="28"/>
        </w:rPr>
        <w:t xml:space="preserve">de monitorizare a calităţii aerului de tip – industrial, care </w:t>
      </w:r>
      <w:r w:rsidRPr="00EF15A8">
        <w:rPr>
          <w:rFonts w:ascii="Times New Roman" w:hAnsi="Times New Roman"/>
          <w:sz w:val="28"/>
          <w:szCs w:val="28"/>
        </w:rPr>
        <w:t>este amplasată în Comuna Chiscani, în vecinătatea SC. CET S.A.</w:t>
      </w:r>
    </w:p>
    <w:p w:rsidR="00EF15A8" w:rsidRPr="00EF15A8" w:rsidRDefault="00EF15A8" w:rsidP="00EF15A8">
      <w:pPr>
        <w:shd w:val="clear" w:color="auto" w:fill="FFFFFF"/>
        <w:spacing w:line="240" w:lineRule="atLeast"/>
        <w:ind w:firstLine="360"/>
        <w:jc w:val="both"/>
        <w:rPr>
          <w:sz w:val="28"/>
          <w:szCs w:val="28"/>
        </w:rPr>
      </w:pPr>
      <w:r w:rsidRPr="00EF15A8">
        <w:rPr>
          <w:sz w:val="28"/>
          <w:szCs w:val="28"/>
        </w:rPr>
        <w:t>Î</w:t>
      </w:r>
      <w:r w:rsidRPr="00EF15A8">
        <w:rPr>
          <w:color w:val="191919"/>
          <w:sz w:val="28"/>
          <w:szCs w:val="28"/>
        </w:rPr>
        <w:t xml:space="preserve">n luna noiembrie 2015, cantitatea totală de precipitații a fost de 398,7 l/mp rezultând o cantitate medie de 79,74 l/mp.  </w:t>
      </w:r>
      <w:r w:rsidRPr="00EF15A8">
        <w:rPr>
          <w:sz w:val="28"/>
          <w:szCs w:val="28"/>
        </w:rPr>
        <w:t xml:space="preserve"> </w:t>
      </w:r>
      <w:r w:rsidRPr="00EF15A8">
        <w:rPr>
          <w:color w:val="191919"/>
          <w:sz w:val="28"/>
          <w:szCs w:val="28"/>
        </w:rPr>
        <w:t xml:space="preserve">Nu s-au depistat precipitații acide, valorile pH-ului situându-se în intervalul 6,65– 6,89 upH. </w:t>
      </w:r>
    </w:p>
    <w:p w:rsidR="005755EA" w:rsidRDefault="005755EA" w:rsidP="00D96CD8">
      <w:pPr>
        <w:shd w:val="clear" w:color="auto" w:fill="FFFFFF"/>
        <w:spacing w:line="240" w:lineRule="atLeast"/>
        <w:jc w:val="both"/>
        <w:rPr>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Pr="00515807"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8C6432" w:rsidRPr="00361528" w:rsidRDefault="008C6432" w:rsidP="008C6432">
      <w:pPr>
        <w:rPr>
          <w:bCs/>
          <w:sz w:val="28"/>
          <w:szCs w:val="28"/>
          <w:lang w:val="it-IT"/>
        </w:rPr>
      </w:pPr>
      <w:r w:rsidRPr="00361528">
        <w:rPr>
          <w:bCs/>
          <w:sz w:val="28"/>
          <w:szCs w:val="28"/>
          <w:lang w:val="it-IT"/>
        </w:rPr>
        <w:t xml:space="preserve">APM -  Brăila a primit rezultatele automonitorizării calităţii apelor uzate pe luna </w:t>
      </w:r>
      <w:r w:rsidRPr="002C059B">
        <w:rPr>
          <w:bCs/>
          <w:sz w:val="28"/>
          <w:szCs w:val="28"/>
          <w:lang w:val="it-IT"/>
        </w:rPr>
        <w:t>noiembrie 2015</w:t>
      </w:r>
      <w:r w:rsidRPr="00361528">
        <w:rPr>
          <w:bCs/>
          <w:sz w:val="28"/>
          <w:szCs w:val="28"/>
          <w:lang w:val="it-IT"/>
        </w:rPr>
        <w:t xml:space="preserve"> de la următorii agenţi economici:</w:t>
      </w:r>
    </w:p>
    <w:p w:rsidR="008C6432" w:rsidRPr="00361528" w:rsidRDefault="008C6432" w:rsidP="008C6432">
      <w:pPr>
        <w:numPr>
          <w:ilvl w:val="0"/>
          <w:numId w:val="3"/>
        </w:numPr>
        <w:tabs>
          <w:tab w:val="clear" w:pos="1440"/>
          <w:tab w:val="num" w:pos="502"/>
        </w:tabs>
        <w:ind w:left="0" w:firstLine="0"/>
        <w:rPr>
          <w:sz w:val="28"/>
          <w:szCs w:val="28"/>
        </w:rPr>
      </w:pPr>
      <w:r w:rsidRPr="00361528">
        <w:rPr>
          <w:sz w:val="28"/>
          <w:szCs w:val="28"/>
        </w:rPr>
        <w:t>CUP Dun</w:t>
      </w:r>
      <w:r>
        <w:rPr>
          <w:sz w:val="28"/>
          <w:szCs w:val="28"/>
        </w:rPr>
        <w:t>ă</w:t>
      </w:r>
      <w:r w:rsidRPr="00361528">
        <w:rPr>
          <w:sz w:val="28"/>
          <w:szCs w:val="28"/>
        </w:rPr>
        <w:t xml:space="preserve">rea </w:t>
      </w:r>
      <w:r>
        <w:rPr>
          <w:sz w:val="28"/>
          <w:szCs w:val="28"/>
        </w:rPr>
        <w:t>pentru stațiile de epurare :</w:t>
      </w:r>
    </w:p>
    <w:p w:rsidR="008C6432" w:rsidRDefault="008C6432" w:rsidP="008C6432">
      <w:pPr>
        <w:numPr>
          <w:ilvl w:val="0"/>
          <w:numId w:val="17"/>
        </w:numPr>
        <w:rPr>
          <w:sz w:val="28"/>
          <w:szCs w:val="28"/>
        </w:rPr>
      </w:pPr>
      <w:r w:rsidRPr="00361528">
        <w:rPr>
          <w:sz w:val="28"/>
          <w:szCs w:val="28"/>
        </w:rPr>
        <w:t>M</w:t>
      </w:r>
      <w:r>
        <w:rPr>
          <w:sz w:val="28"/>
          <w:szCs w:val="28"/>
        </w:rPr>
        <w:t xml:space="preserve">ovila </w:t>
      </w:r>
      <w:r w:rsidRPr="00361528">
        <w:rPr>
          <w:sz w:val="28"/>
          <w:szCs w:val="28"/>
        </w:rPr>
        <w:t>Miresii</w:t>
      </w:r>
    </w:p>
    <w:p w:rsidR="008C6432" w:rsidRDefault="008C6432" w:rsidP="008C6432">
      <w:pPr>
        <w:numPr>
          <w:ilvl w:val="0"/>
          <w:numId w:val="17"/>
        </w:numPr>
        <w:rPr>
          <w:sz w:val="28"/>
          <w:szCs w:val="28"/>
        </w:rPr>
      </w:pPr>
      <w:r>
        <w:rPr>
          <w:sz w:val="28"/>
          <w:szCs w:val="28"/>
        </w:rPr>
        <w:t>Făurei</w:t>
      </w:r>
    </w:p>
    <w:p w:rsidR="008C6432" w:rsidRPr="00361528" w:rsidRDefault="008C6432" w:rsidP="008C6432">
      <w:pPr>
        <w:numPr>
          <w:ilvl w:val="0"/>
          <w:numId w:val="17"/>
        </w:numPr>
        <w:rPr>
          <w:sz w:val="28"/>
          <w:szCs w:val="28"/>
        </w:rPr>
      </w:pPr>
      <w:r>
        <w:rPr>
          <w:sz w:val="28"/>
          <w:szCs w:val="28"/>
        </w:rPr>
        <w:t>Însurăței</w:t>
      </w:r>
    </w:p>
    <w:p w:rsidR="008C6432" w:rsidRDefault="008C6432" w:rsidP="008C6432">
      <w:pPr>
        <w:numPr>
          <w:ilvl w:val="0"/>
          <w:numId w:val="3"/>
        </w:numPr>
        <w:tabs>
          <w:tab w:val="clear" w:pos="1440"/>
          <w:tab w:val="num" w:pos="502"/>
        </w:tabs>
        <w:ind w:left="0" w:firstLine="0"/>
        <w:rPr>
          <w:sz w:val="28"/>
          <w:szCs w:val="28"/>
        </w:rPr>
      </w:pPr>
      <w:r w:rsidRPr="004059F8">
        <w:rPr>
          <w:sz w:val="28"/>
          <w:szCs w:val="28"/>
        </w:rPr>
        <w:t xml:space="preserve">SC” Bona Avis” SRL </w:t>
      </w:r>
      <w:r>
        <w:rPr>
          <w:sz w:val="28"/>
          <w:szCs w:val="28"/>
        </w:rPr>
        <w:t>–</w:t>
      </w:r>
      <w:r w:rsidRPr="004059F8">
        <w:rPr>
          <w:sz w:val="28"/>
          <w:szCs w:val="28"/>
        </w:rPr>
        <w:t xml:space="preserve"> Ianca</w:t>
      </w:r>
    </w:p>
    <w:p w:rsidR="008C6432" w:rsidRPr="00775462" w:rsidRDefault="008C6432" w:rsidP="008C6432">
      <w:pPr>
        <w:numPr>
          <w:ilvl w:val="0"/>
          <w:numId w:val="3"/>
        </w:numPr>
        <w:tabs>
          <w:tab w:val="clear" w:pos="1440"/>
          <w:tab w:val="num" w:pos="502"/>
        </w:tabs>
        <w:ind w:left="0" w:firstLine="0"/>
        <w:rPr>
          <w:sz w:val="28"/>
          <w:szCs w:val="28"/>
        </w:rPr>
      </w:pPr>
      <w:r w:rsidRPr="00775462">
        <w:rPr>
          <w:sz w:val="28"/>
          <w:szCs w:val="28"/>
        </w:rPr>
        <w:t>S.N.T.G.N. Transgaz –</w:t>
      </w:r>
      <w:r>
        <w:rPr>
          <w:sz w:val="28"/>
          <w:szCs w:val="28"/>
        </w:rPr>
        <w:t xml:space="preserve"> SA –</w:t>
      </w:r>
      <w:r w:rsidRPr="00775462">
        <w:rPr>
          <w:sz w:val="28"/>
          <w:szCs w:val="28"/>
        </w:rPr>
        <w:t xml:space="preserve"> E</w:t>
      </w:r>
      <w:r>
        <w:rPr>
          <w:sz w:val="28"/>
          <w:szCs w:val="28"/>
        </w:rPr>
        <w:t xml:space="preserve">xploatarea </w:t>
      </w:r>
      <w:r w:rsidRPr="00775462">
        <w:rPr>
          <w:sz w:val="28"/>
          <w:szCs w:val="28"/>
        </w:rPr>
        <w:t>T</w:t>
      </w:r>
      <w:r>
        <w:rPr>
          <w:sz w:val="28"/>
          <w:szCs w:val="28"/>
        </w:rPr>
        <w:t>eritorială</w:t>
      </w:r>
      <w:r w:rsidRPr="00775462">
        <w:rPr>
          <w:sz w:val="28"/>
          <w:szCs w:val="28"/>
        </w:rPr>
        <w:t xml:space="preserve"> Br</w:t>
      </w:r>
      <w:r>
        <w:rPr>
          <w:sz w:val="28"/>
          <w:szCs w:val="28"/>
        </w:rPr>
        <w:t>ă</w:t>
      </w:r>
      <w:r w:rsidRPr="00775462">
        <w:rPr>
          <w:sz w:val="28"/>
          <w:szCs w:val="28"/>
        </w:rPr>
        <w:t>ila</w:t>
      </w:r>
    </w:p>
    <w:p w:rsidR="008C6432" w:rsidRDefault="008C6432" w:rsidP="008C6432">
      <w:pPr>
        <w:numPr>
          <w:ilvl w:val="0"/>
          <w:numId w:val="3"/>
        </w:numPr>
        <w:tabs>
          <w:tab w:val="clear" w:pos="1440"/>
          <w:tab w:val="num" w:pos="502"/>
        </w:tabs>
        <w:ind w:left="0" w:firstLine="0"/>
        <w:rPr>
          <w:sz w:val="28"/>
          <w:szCs w:val="28"/>
        </w:rPr>
      </w:pPr>
      <w:r w:rsidRPr="00361528">
        <w:rPr>
          <w:sz w:val="28"/>
          <w:szCs w:val="28"/>
        </w:rPr>
        <w:t>SC” VARD Brăila” SA – Brăila</w:t>
      </w:r>
    </w:p>
    <w:p w:rsidR="008C6432" w:rsidRDefault="008C6432" w:rsidP="008C6432">
      <w:pPr>
        <w:numPr>
          <w:ilvl w:val="0"/>
          <w:numId w:val="3"/>
        </w:numPr>
        <w:tabs>
          <w:tab w:val="clear" w:pos="1440"/>
          <w:tab w:val="num" w:pos="502"/>
        </w:tabs>
        <w:ind w:left="0" w:firstLine="0"/>
        <w:rPr>
          <w:sz w:val="28"/>
          <w:szCs w:val="28"/>
        </w:rPr>
      </w:pPr>
      <w:r w:rsidRPr="00361528">
        <w:rPr>
          <w:sz w:val="28"/>
          <w:szCs w:val="28"/>
        </w:rPr>
        <w:t xml:space="preserve">SC” </w:t>
      </w:r>
      <w:r>
        <w:rPr>
          <w:sz w:val="28"/>
          <w:szCs w:val="28"/>
        </w:rPr>
        <w:t xml:space="preserve">Tebu Consult Invest </w:t>
      </w:r>
      <w:r w:rsidRPr="00361528">
        <w:rPr>
          <w:sz w:val="28"/>
          <w:szCs w:val="28"/>
        </w:rPr>
        <w:t>” S</w:t>
      </w:r>
      <w:r>
        <w:rPr>
          <w:sz w:val="28"/>
          <w:szCs w:val="28"/>
        </w:rPr>
        <w:t>RL</w:t>
      </w:r>
      <w:r w:rsidRPr="00361528">
        <w:rPr>
          <w:sz w:val="28"/>
          <w:szCs w:val="28"/>
        </w:rPr>
        <w:t xml:space="preserve"> – Brăila</w:t>
      </w:r>
    </w:p>
    <w:p w:rsidR="008C6432" w:rsidRDefault="008C6432" w:rsidP="008C6432">
      <w:pPr>
        <w:numPr>
          <w:ilvl w:val="0"/>
          <w:numId w:val="3"/>
        </w:numPr>
        <w:tabs>
          <w:tab w:val="clear" w:pos="1440"/>
          <w:tab w:val="num" w:pos="502"/>
        </w:tabs>
        <w:ind w:left="0" w:firstLine="0"/>
        <w:rPr>
          <w:sz w:val="28"/>
          <w:szCs w:val="28"/>
        </w:rPr>
      </w:pPr>
      <w:r w:rsidRPr="00361528">
        <w:rPr>
          <w:sz w:val="28"/>
          <w:szCs w:val="28"/>
        </w:rPr>
        <w:t xml:space="preserve">SC” </w:t>
      </w:r>
      <w:r>
        <w:rPr>
          <w:sz w:val="28"/>
          <w:szCs w:val="28"/>
        </w:rPr>
        <w:t>Mimbu</w:t>
      </w:r>
      <w:r w:rsidRPr="00361528">
        <w:rPr>
          <w:sz w:val="28"/>
          <w:szCs w:val="28"/>
        </w:rPr>
        <w:t>” S</w:t>
      </w:r>
      <w:r>
        <w:rPr>
          <w:sz w:val="28"/>
          <w:szCs w:val="28"/>
        </w:rPr>
        <w:t>RL</w:t>
      </w:r>
      <w:r w:rsidRPr="00361528">
        <w:rPr>
          <w:sz w:val="28"/>
          <w:szCs w:val="28"/>
        </w:rPr>
        <w:t xml:space="preserve"> – Brăila</w:t>
      </w:r>
    </w:p>
    <w:p w:rsidR="008C6432" w:rsidRPr="0059691A" w:rsidRDefault="008C6432" w:rsidP="008C6432">
      <w:pPr>
        <w:numPr>
          <w:ilvl w:val="0"/>
          <w:numId w:val="3"/>
        </w:numPr>
        <w:tabs>
          <w:tab w:val="clear" w:pos="1440"/>
          <w:tab w:val="num" w:pos="502"/>
        </w:tabs>
        <w:ind w:left="0" w:firstLine="0"/>
        <w:rPr>
          <w:sz w:val="28"/>
          <w:szCs w:val="28"/>
        </w:rPr>
      </w:pPr>
      <w:r w:rsidRPr="0059691A">
        <w:rPr>
          <w:sz w:val="28"/>
          <w:szCs w:val="28"/>
        </w:rPr>
        <w:t>SC” Dedeman ” SRL – Brăila</w:t>
      </w:r>
    </w:p>
    <w:p w:rsidR="008C6432" w:rsidRPr="008C6432" w:rsidRDefault="008C6432" w:rsidP="0059691A">
      <w:pPr>
        <w:ind w:firstLine="142"/>
        <w:rPr>
          <w:sz w:val="28"/>
          <w:szCs w:val="28"/>
          <w:lang w:val="it-IT"/>
        </w:rPr>
      </w:pPr>
      <w:r w:rsidRPr="008C6432">
        <w:rPr>
          <w:bCs/>
          <w:sz w:val="28"/>
          <w:szCs w:val="28"/>
        </w:rPr>
        <w:t>Faţă de concentraţiile maxime admise de Normativele şi actele de reglementare existente doi agenți economici au înregistrat depăşiri ale indicatorilor monitorizaţi</w:t>
      </w:r>
      <w:r w:rsidRPr="008C6432">
        <w:rPr>
          <w:sz w:val="28"/>
          <w:szCs w:val="28"/>
          <w:lang w:val="it-IT"/>
        </w:rPr>
        <w:t xml:space="preserve"> constatate în buletinele de analiză transmise după cum urmează: </w:t>
      </w:r>
    </w:p>
    <w:p w:rsidR="008C6432" w:rsidRPr="008C6432" w:rsidRDefault="00010654" w:rsidP="00010654">
      <w:pPr>
        <w:rPr>
          <w:sz w:val="28"/>
          <w:szCs w:val="28"/>
          <w:lang w:val="it-IT"/>
        </w:rPr>
      </w:pPr>
      <w:r>
        <w:rPr>
          <w:sz w:val="28"/>
          <w:szCs w:val="28"/>
          <w:lang w:val="it-IT"/>
        </w:rPr>
        <w:t xml:space="preserve">- </w:t>
      </w:r>
      <w:r w:rsidR="008C6432" w:rsidRPr="008C6432">
        <w:rPr>
          <w:sz w:val="28"/>
          <w:szCs w:val="28"/>
          <w:lang w:val="it-IT"/>
        </w:rPr>
        <w:t xml:space="preserve">Compania de Utilităţi Publice </w:t>
      </w:r>
      <w:r w:rsidR="008C6432" w:rsidRPr="008C6432">
        <w:rPr>
          <w:sz w:val="28"/>
          <w:szCs w:val="28"/>
        </w:rPr>
        <w:t xml:space="preserve">„ Dunărea” </w:t>
      </w:r>
      <w:r w:rsidR="008C6432" w:rsidRPr="008C6432">
        <w:rPr>
          <w:b/>
          <w:sz w:val="28"/>
          <w:szCs w:val="28"/>
          <w:lang w:val="it-IT"/>
        </w:rPr>
        <w:t>–</w:t>
      </w:r>
      <w:r w:rsidR="008C6432" w:rsidRPr="008C6432">
        <w:rPr>
          <w:sz w:val="28"/>
          <w:szCs w:val="28"/>
          <w:lang w:val="it-IT"/>
        </w:rPr>
        <w:t xml:space="preserve"> Brăila:</w:t>
      </w:r>
    </w:p>
    <w:p w:rsidR="008C6432" w:rsidRPr="00010654" w:rsidRDefault="008C6432" w:rsidP="00010654">
      <w:pPr>
        <w:pStyle w:val="ListParagraph"/>
        <w:numPr>
          <w:ilvl w:val="0"/>
          <w:numId w:val="25"/>
        </w:numPr>
        <w:rPr>
          <w:rFonts w:ascii="Times New Roman" w:hAnsi="Times New Roman"/>
          <w:sz w:val="28"/>
          <w:szCs w:val="28"/>
          <w:lang w:val="it-IT"/>
        </w:rPr>
      </w:pPr>
      <w:r w:rsidRPr="00010654">
        <w:rPr>
          <w:rFonts w:ascii="Times New Roman" w:hAnsi="Times New Roman"/>
          <w:sz w:val="28"/>
          <w:szCs w:val="28"/>
          <w:lang w:val="it-IT"/>
        </w:rPr>
        <w:t xml:space="preserve">Staţia de epurare Movila Miresii: consum chimic de oxigen (CCOCr), </w:t>
      </w:r>
      <w:r w:rsidRPr="00010654">
        <w:rPr>
          <w:rFonts w:ascii="Times New Roman" w:hAnsi="Times New Roman"/>
          <w:sz w:val="28"/>
          <w:szCs w:val="28"/>
        </w:rPr>
        <w:t>consum biochimic de oxigen (CBO</w:t>
      </w:r>
      <w:r w:rsidRPr="00010654">
        <w:rPr>
          <w:rFonts w:ascii="Times New Roman" w:hAnsi="Times New Roman"/>
          <w:sz w:val="28"/>
          <w:szCs w:val="28"/>
          <w:vertAlign w:val="subscript"/>
        </w:rPr>
        <w:t>5</w:t>
      </w:r>
      <w:r w:rsidRPr="00010654">
        <w:rPr>
          <w:rFonts w:ascii="Times New Roman" w:hAnsi="Times New Roman"/>
          <w:sz w:val="28"/>
          <w:szCs w:val="28"/>
        </w:rPr>
        <w:t>), detergenţi sintetici biodegradabili, fenoli (C</w:t>
      </w:r>
      <w:r w:rsidRPr="00010654">
        <w:rPr>
          <w:rFonts w:ascii="Times New Roman" w:hAnsi="Times New Roman"/>
          <w:sz w:val="28"/>
          <w:szCs w:val="28"/>
          <w:vertAlign w:val="subscript"/>
        </w:rPr>
        <w:t>6</w:t>
      </w:r>
      <w:r w:rsidRPr="00010654">
        <w:rPr>
          <w:rFonts w:ascii="Times New Roman" w:hAnsi="Times New Roman"/>
          <w:sz w:val="28"/>
          <w:szCs w:val="28"/>
        </w:rPr>
        <w:t>H</w:t>
      </w:r>
      <w:r w:rsidRPr="00010654">
        <w:rPr>
          <w:rFonts w:ascii="Times New Roman" w:hAnsi="Times New Roman"/>
          <w:sz w:val="28"/>
          <w:szCs w:val="28"/>
          <w:vertAlign w:val="subscript"/>
        </w:rPr>
        <w:t>5</w:t>
      </w:r>
      <w:r w:rsidRPr="00010654">
        <w:rPr>
          <w:rFonts w:ascii="Times New Roman" w:hAnsi="Times New Roman"/>
          <w:sz w:val="28"/>
          <w:szCs w:val="28"/>
        </w:rPr>
        <w:t>OH);</w:t>
      </w:r>
    </w:p>
    <w:p w:rsidR="008C6432" w:rsidRPr="00010654" w:rsidRDefault="008C6432" w:rsidP="00010654">
      <w:pPr>
        <w:pStyle w:val="ListParagraph"/>
        <w:numPr>
          <w:ilvl w:val="0"/>
          <w:numId w:val="26"/>
        </w:numPr>
        <w:rPr>
          <w:rFonts w:ascii="Times New Roman" w:hAnsi="Times New Roman"/>
          <w:sz w:val="28"/>
          <w:szCs w:val="28"/>
        </w:rPr>
      </w:pPr>
      <w:r w:rsidRPr="00010654">
        <w:rPr>
          <w:rFonts w:ascii="Times New Roman" w:hAnsi="Times New Roman"/>
          <w:sz w:val="28"/>
          <w:szCs w:val="28"/>
          <w:lang w:val="it-IT"/>
        </w:rPr>
        <w:t>Staţia de epurare Făurei : cloruri (Cl</w:t>
      </w:r>
      <w:r w:rsidRPr="00010654">
        <w:rPr>
          <w:rFonts w:ascii="Times New Roman" w:hAnsi="Times New Roman"/>
          <w:sz w:val="28"/>
          <w:szCs w:val="28"/>
          <w:vertAlign w:val="superscript"/>
          <w:lang w:val="it-IT"/>
        </w:rPr>
        <w:t>-</w:t>
      </w:r>
      <w:r w:rsidRPr="00010654">
        <w:rPr>
          <w:rFonts w:ascii="Times New Roman" w:hAnsi="Times New Roman"/>
          <w:sz w:val="28"/>
          <w:szCs w:val="28"/>
          <w:lang w:val="it-IT"/>
        </w:rPr>
        <w:t>)</w:t>
      </w:r>
      <w:r w:rsidRPr="00010654">
        <w:rPr>
          <w:rFonts w:ascii="Times New Roman" w:hAnsi="Times New Roman"/>
          <w:sz w:val="28"/>
          <w:szCs w:val="28"/>
        </w:rPr>
        <w:t>.</w:t>
      </w:r>
    </w:p>
    <w:p w:rsidR="00AA6CBA" w:rsidRPr="00DB26F8" w:rsidRDefault="00010654" w:rsidP="00AA6CBA">
      <w:pPr>
        <w:rPr>
          <w:sz w:val="28"/>
          <w:szCs w:val="28"/>
        </w:rPr>
      </w:pPr>
      <w:r>
        <w:rPr>
          <w:sz w:val="28"/>
          <w:szCs w:val="28"/>
        </w:rPr>
        <w:lastRenderedPageBreak/>
        <w:t xml:space="preserve">- </w:t>
      </w:r>
      <w:r w:rsidR="008C6432" w:rsidRPr="008C6432">
        <w:rPr>
          <w:sz w:val="28"/>
          <w:szCs w:val="28"/>
        </w:rPr>
        <w:t xml:space="preserve">S.N.T.G.N. Transgaz – SA – Exploatarea Teritorială Brăila la următorii indicatori: </w:t>
      </w:r>
      <w:r w:rsidR="008C6432" w:rsidRPr="008C6432">
        <w:rPr>
          <w:sz w:val="28"/>
          <w:szCs w:val="28"/>
          <w:lang w:val="it-IT"/>
        </w:rPr>
        <w:t xml:space="preserve">consum chimic de oxigen (CCOCr), </w:t>
      </w:r>
      <w:r w:rsidR="008C6432" w:rsidRPr="008C6432">
        <w:rPr>
          <w:sz w:val="28"/>
          <w:szCs w:val="28"/>
        </w:rPr>
        <w:t>consum biochimic de oxigen (CBO</w:t>
      </w:r>
      <w:r w:rsidR="008C6432" w:rsidRPr="008C6432">
        <w:rPr>
          <w:sz w:val="28"/>
          <w:szCs w:val="28"/>
          <w:vertAlign w:val="subscript"/>
        </w:rPr>
        <w:t>5</w:t>
      </w:r>
      <w:r w:rsidR="008C6432" w:rsidRPr="008C6432">
        <w:rPr>
          <w:sz w:val="28"/>
          <w:szCs w:val="28"/>
        </w:rPr>
        <w:t>).</w:t>
      </w:r>
    </w:p>
    <w:p w:rsidR="007831C3" w:rsidRPr="00225081" w:rsidRDefault="007831C3" w:rsidP="007831C3">
      <w:pPr>
        <w:jc w:val="center"/>
        <w:rPr>
          <w:b/>
          <w:bCs/>
          <w:sz w:val="28"/>
          <w:szCs w:val="28"/>
        </w:rPr>
      </w:pP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454C9C" w:rsidRPr="00810AC4" w:rsidRDefault="00454C9C" w:rsidP="00454C9C">
      <w:pPr>
        <w:ind w:firstLine="720"/>
        <w:jc w:val="both"/>
        <w:rPr>
          <w:sz w:val="28"/>
          <w:szCs w:val="28"/>
          <w:lang w:val="it-IT"/>
        </w:rPr>
      </w:pPr>
      <w:r w:rsidRPr="009B1A4E">
        <w:rPr>
          <w:sz w:val="28"/>
          <w:szCs w:val="28"/>
          <w:lang w:val="it-IT"/>
        </w:rPr>
        <w:t>Laboratorul</w:t>
      </w:r>
      <w:r w:rsidRPr="00351FD6">
        <w:rPr>
          <w:sz w:val="28"/>
          <w:szCs w:val="28"/>
          <w:lang w:val="it-IT"/>
        </w:rPr>
        <w:t xml:space="preserve"> A.P.M Brăila, în luna </w:t>
      </w:r>
      <w:r>
        <w:rPr>
          <w:sz w:val="28"/>
          <w:szCs w:val="28"/>
          <w:lang w:val="it-IT"/>
        </w:rPr>
        <w:t>noiembrie</w:t>
      </w:r>
      <w:r w:rsidRPr="00351FD6">
        <w:rPr>
          <w:sz w:val="28"/>
          <w:szCs w:val="28"/>
          <w:lang w:val="it-IT"/>
        </w:rPr>
        <w:t xml:space="preserve"> 2015, a efectuat analize fizico-chimice </w:t>
      </w:r>
      <w:r w:rsidRPr="00B9084E">
        <w:rPr>
          <w:sz w:val="28"/>
          <w:szCs w:val="28"/>
          <w:lang w:val="it-IT"/>
        </w:rPr>
        <w:t>la</w:t>
      </w:r>
      <w:r>
        <w:rPr>
          <w:sz w:val="28"/>
          <w:szCs w:val="28"/>
          <w:lang w:val="it-IT"/>
        </w:rPr>
        <w:t>, SC Mimbu SRL și SC Vegetal Trading Gropeni</w:t>
      </w:r>
      <w:r w:rsidRPr="00351FD6">
        <w:rPr>
          <w:sz w:val="28"/>
          <w:szCs w:val="28"/>
          <w:lang w:val="it-IT"/>
        </w:rPr>
        <w:t xml:space="preserve">, </w:t>
      </w:r>
      <w:r>
        <w:rPr>
          <w:sz w:val="28"/>
          <w:szCs w:val="28"/>
          <w:lang w:val="it-IT"/>
        </w:rPr>
        <w:t>unități</w:t>
      </w:r>
      <w:r w:rsidRPr="00351FD6">
        <w:rPr>
          <w:sz w:val="28"/>
          <w:szCs w:val="28"/>
          <w:lang w:val="it-IT"/>
        </w:rPr>
        <w:t xml:space="preserve"> care prezintă impact asupra apelor de suprafaţă</w:t>
      </w:r>
      <w:r>
        <w:rPr>
          <w:sz w:val="28"/>
          <w:szCs w:val="28"/>
          <w:lang w:val="it-IT"/>
        </w:rPr>
        <w:t xml:space="preserve">. Indicatorii monitorizați au prezentat </w:t>
      </w:r>
      <w:r w:rsidRPr="00351FD6">
        <w:rPr>
          <w:sz w:val="28"/>
          <w:szCs w:val="28"/>
          <w:lang w:val="it-IT"/>
        </w:rPr>
        <w:t xml:space="preserve"> depășiri ale valorilor limită la </w:t>
      </w:r>
      <w:r>
        <w:rPr>
          <w:sz w:val="28"/>
          <w:szCs w:val="28"/>
          <w:lang w:val="it-IT"/>
        </w:rPr>
        <w:t>SC Mimbu SRL la CBO</w:t>
      </w:r>
      <w:r w:rsidRPr="00810AC4">
        <w:rPr>
          <w:sz w:val="28"/>
          <w:szCs w:val="28"/>
          <w:vertAlign w:val="subscript"/>
          <w:lang w:val="it-IT"/>
        </w:rPr>
        <w:t>5</w:t>
      </w:r>
      <w:r>
        <w:rPr>
          <w:sz w:val="28"/>
          <w:szCs w:val="28"/>
          <w:lang w:val="it-IT"/>
        </w:rPr>
        <w:t>, iar la vegetal Trading Gropeni CBO</w:t>
      </w:r>
      <w:r w:rsidRPr="009B1A4E">
        <w:rPr>
          <w:sz w:val="28"/>
          <w:szCs w:val="28"/>
          <w:vertAlign w:val="subscript"/>
          <w:lang w:val="it-IT"/>
        </w:rPr>
        <w:t>5</w:t>
      </w:r>
      <w:r>
        <w:rPr>
          <w:sz w:val="28"/>
          <w:szCs w:val="28"/>
          <w:lang w:val="it-IT"/>
        </w:rPr>
        <w:t>, suspensii și substanțe extractibile.</w:t>
      </w:r>
    </w:p>
    <w:p w:rsidR="00B84D3C" w:rsidRDefault="00454C9C" w:rsidP="004B70F2">
      <w:pPr>
        <w:ind w:firstLine="720"/>
        <w:jc w:val="both"/>
        <w:rPr>
          <w:sz w:val="28"/>
          <w:szCs w:val="28"/>
          <w:lang w:val="pt-BR"/>
        </w:rPr>
      </w:pPr>
      <w:r w:rsidRPr="00810AC4">
        <w:rPr>
          <w:sz w:val="28"/>
          <w:szCs w:val="28"/>
          <w:lang w:val="it-IT"/>
        </w:rPr>
        <w:t>De</w:t>
      </w:r>
      <w:r w:rsidRPr="00351FD6">
        <w:rPr>
          <w:sz w:val="28"/>
          <w:szCs w:val="28"/>
          <w:lang w:val="it-IT"/>
        </w:rPr>
        <w:t xml:space="preserve"> asemenea, au fost monitorizați </w:t>
      </w:r>
      <w:r w:rsidRPr="00351FD6">
        <w:rPr>
          <w:sz w:val="28"/>
          <w:szCs w:val="28"/>
          <w:lang w:val="pt-BR"/>
        </w:rPr>
        <w:t xml:space="preserve">agenţi economici ale căror ape rezultate din procesul tehnologic sunt deversate în canalizarea oraşului. S-au constatat </w:t>
      </w:r>
      <w:r>
        <w:rPr>
          <w:sz w:val="28"/>
          <w:szCs w:val="28"/>
          <w:lang w:val="pt-BR"/>
        </w:rPr>
        <w:t xml:space="preserve">mari </w:t>
      </w:r>
      <w:r w:rsidRPr="00351FD6">
        <w:rPr>
          <w:sz w:val="28"/>
          <w:szCs w:val="28"/>
          <w:lang w:val="pt-BR"/>
        </w:rPr>
        <w:t>depășiri ale  limitei impuse la substanțe extractibile</w:t>
      </w:r>
      <w:r>
        <w:rPr>
          <w:sz w:val="28"/>
          <w:szCs w:val="28"/>
          <w:lang w:val="pt-BR"/>
        </w:rPr>
        <w:t>,</w:t>
      </w:r>
      <w:r w:rsidRPr="00351FD6">
        <w:rPr>
          <w:sz w:val="28"/>
          <w:szCs w:val="28"/>
          <w:lang w:val="pt-BR"/>
        </w:rPr>
        <w:t xml:space="preserve"> </w:t>
      </w:r>
      <w:r>
        <w:rPr>
          <w:sz w:val="28"/>
          <w:szCs w:val="28"/>
          <w:lang w:val="pt-BR"/>
        </w:rPr>
        <w:t>la Carrefour Vărsătura sector brutărie și la SC Vard SA Brăila.</w:t>
      </w:r>
    </w:p>
    <w:p w:rsidR="004B70F2" w:rsidRDefault="004B70F2" w:rsidP="004B70F2">
      <w:pPr>
        <w:ind w:firstLine="720"/>
        <w:jc w:val="both"/>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F34ACE" w:rsidP="0040058C">
      <w:pPr>
        <w:jc w:val="both"/>
        <w:rPr>
          <w:b/>
          <w:sz w:val="28"/>
          <w:szCs w:val="28"/>
        </w:rPr>
      </w:pPr>
      <w:r w:rsidRPr="00F34ACE">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4B70F2" w:rsidRPr="008028B1" w:rsidRDefault="004B70F2"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F34ACE">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373988" w:rsidRDefault="0040058C" w:rsidP="00E41CE5">
      <w:pPr>
        <w:ind w:firstLine="720"/>
        <w:jc w:val="both"/>
        <w:rPr>
          <w:bCs/>
          <w:sz w:val="28"/>
          <w:szCs w:val="28"/>
        </w:rPr>
      </w:pPr>
      <w:r w:rsidRPr="00BF6FD0">
        <w:rPr>
          <w:b/>
          <w:sz w:val="28"/>
          <w:szCs w:val="28"/>
        </w:rPr>
        <w:lastRenderedPageBreak/>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887CF9" w:rsidRPr="00BF6FD0" w:rsidRDefault="00887CF9" w:rsidP="0059691A">
      <w:pPr>
        <w:jc w:val="center"/>
        <w:rPr>
          <w:b/>
          <w:sz w:val="28"/>
          <w:szCs w:val="28"/>
        </w:rPr>
      </w:pPr>
      <w:r w:rsidRPr="00BF6FD0">
        <w:rPr>
          <w:b/>
          <w:sz w:val="28"/>
          <w:szCs w:val="28"/>
        </w:rPr>
        <w:t>Parametrii meteorologici monitorizaţi</w:t>
      </w:r>
      <w:r w:rsidRPr="00BF6FD0">
        <w:rPr>
          <w:b/>
          <w:sz w:val="28"/>
          <w:szCs w:val="28"/>
        </w:rPr>
        <w:tab/>
      </w:r>
    </w:p>
    <w:p w:rsidR="00887CF9" w:rsidRPr="00BF6FD0" w:rsidRDefault="00887CF9" w:rsidP="004B70F2">
      <w:pPr>
        <w:ind w:firstLine="720"/>
        <w:rPr>
          <w:b/>
        </w:rPr>
      </w:pPr>
      <w:r w:rsidRPr="00BF6FD0">
        <w:rPr>
          <w:bCs/>
          <w:sz w:val="28"/>
          <w:szCs w:val="28"/>
        </w:rPr>
        <w:t xml:space="preserve">În luna </w:t>
      </w:r>
      <w:r>
        <w:rPr>
          <w:bCs/>
          <w:sz w:val="28"/>
          <w:szCs w:val="28"/>
        </w:rPr>
        <w:t>noiembrie</w:t>
      </w:r>
      <w:r w:rsidRPr="00BF6FD0">
        <w:rPr>
          <w:bCs/>
          <w:sz w:val="28"/>
          <w:szCs w:val="28"/>
        </w:rPr>
        <w:t xml:space="preserve"> nu s-au măsurat parametrii meteorologici din cauza defecţiunilor existente</w:t>
      </w:r>
      <w:r w:rsidRPr="00BF6FD0">
        <w:rPr>
          <w:sz w:val="28"/>
          <w:szCs w:val="28"/>
        </w:rPr>
        <w:t>.</w:t>
      </w:r>
    </w:p>
    <w:p w:rsidR="00887CF9" w:rsidRPr="003F6B8D" w:rsidRDefault="00887CF9" w:rsidP="00887CF9">
      <w:pPr>
        <w:ind w:firstLine="720"/>
        <w:jc w:val="center"/>
        <w:rPr>
          <w:b/>
          <w:sz w:val="28"/>
          <w:szCs w:val="28"/>
        </w:rPr>
      </w:pPr>
      <w:r w:rsidRPr="003F6B8D">
        <w:rPr>
          <w:b/>
          <w:sz w:val="28"/>
          <w:szCs w:val="28"/>
        </w:rPr>
        <w:t>Poluanţii monitorizaţi</w:t>
      </w:r>
    </w:p>
    <w:p w:rsidR="00887CF9" w:rsidRPr="00BF6FD0" w:rsidRDefault="00887CF9" w:rsidP="00887CF9">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887CF9" w:rsidRPr="00BF6FD0" w:rsidTr="004B70F2">
        <w:trPr>
          <w:trHeight w:val="544"/>
          <w:jc w:val="center"/>
        </w:trPr>
        <w:tc>
          <w:tcPr>
            <w:tcW w:w="840"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887CF9" w:rsidRPr="00BF6FD0" w:rsidRDefault="00887CF9" w:rsidP="004B70F2">
            <w:pPr>
              <w:jc w:val="center"/>
              <w:rPr>
                <w:sz w:val="22"/>
                <w:szCs w:val="22"/>
              </w:rPr>
            </w:pPr>
            <w:r w:rsidRPr="00BF6FD0">
              <w:rPr>
                <w:sz w:val="22"/>
                <w:szCs w:val="22"/>
              </w:rPr>
              <w:t xml:space="preserve">Limita </w:t>
            </w:r>
          </w:p>
        </w:tc>
      </w:tr>
      <w:tr w:rsidR="00887CF9" w:rsidRPr="00BF6FD0" w:rsidTr="004B70F2">
        <w:trPr>
          <w:trHeight w:val="254"/>
          <w:jc w:val="center"/>
        </w:trPr>
        <w:tc>
          <w:tcPr>
            <w:tcW w:w="840" w:type="dxa"/>
            <w:vMerge w:val="restart"/>
            <w:tcBorders>
              <w:top w:val="double" w:sz="4" w:space="0" w:color="auto"/>
            </w:tcBorders>
            <w:vAlign w:val="center"/>
          </w:tcPr>
          <w:p w:rsidR="00887CF9" w:rsidRPr="00BF6FD0" w:rsidRDefault="00887CF9" w:rsidP="004B70F2">
            <w:pPr>
              <w:jc w:val="center"/>
            </w:pPr>
            <w:r w:rsidRPr="00BF6FD0">
              <w:t>BR1</w:t>
            </w:r>
          </w:p>
        </w:tc>
        <w:tc>
          <w:tcPr>
            <w:tcW w:w="1273" w:type="dxa"/>
            <w:vMerge w:val="restart"/>
            <w:tcBorders>
              <w:top w:val="double" w:sz="4" w:space="0" w:color="auto"/>
            </w:tcBorders>
            <w:vAlign w:val="center"/>
          </w:tcPr>
          <w:p w:rsidR="00887CF9" w:rsidRPr="00BF6FD0" w:rsidRDefault="00887CF9" w:rsidP="004B70F2">
            <w:pPr>
              <w:jc w:val="center"/>
            </w:pPr>
            <w:r w:rsidRPr="00BF6FD0">
              <w:t>Trafic</w:t>
            </w:r>
          </w:p>
        </w:tc>
        <w:tc>
          <w:tcPr>
            <w:tcW w:w="1408" w:type="dxa"/>
            <w:tcBorders>
              <w:top w:val="double" w:sz="4" w:space="0" w:color="auto"/>
            </w:tcBorders>
          </w:tcPr>
          <w:p w:rsidR="00887CF9" w:rsidRPr="00BF6FD0" w:rsidRDefault="00887CF9" w:rsidP="004B70F2">
            <w:pPr>
              <w:jc w:val="center"/>
            </w:pPr>
            <w:r w:rsidRPr="00BF6FD0">
              <w:t>SO</w:t>
            </w:r>
            <w:r w:rsidRPr="00BF6FD0">
              <w:rPr>
                <w:vertAlign w:val="subscript"/>
              </w:rPr>
              <w:t>2</w:t>
            </w:r>
          </w:p>
        </w:tc>
        <w:tc>
          <w:tcPr>
            <w:tcW w:w="881" w:type="dxa"/>
            <w:tcBorders>
              <w:top w:val="double" w:sz="4" w:space="0" w:color="auto"/>
            </w:tcBorders>
          </w:tcPr>
          <w:p w:rsidR="00887CF9" w:rsidRPr="00BF6FD0" w:rsidRDefault="00887CF9" w:rsidP="004B70F2">
            <w:pPr>
              <w:jc w:val="center"/>
            </w:pPr>
            <w:r w:rsidRPr="00BF6FD0">
              <w:t>-</w:t>
            </w:r>
          </w:p>
        </w:tc>
        <w:tc>
          <w:tcPr>
            <w:tcW w:w="1070" w:type="dxa"/>
            <w:tcBorders>
              <w:top w:val="double" w:sz="4" w:space="0" w:color="auto"/>
            </w:tcBorders>
          </w:tcPr>
          <w:p w:rsidR="00887CF9" w:rsidRPr="00BF6FD0" w:rsidRDefault="00887CF9" w:rsidP="004B70F2">
            <w:pPr>
              <w:jc w:val="center"/>
            </w:pPr>
            <w:r w:rsidRPr="00BF6FD0">
              <w:t>-</w:t>
            </w:r>
          </w:p>
        </w:tc>
        <w:tc>
          <w:tcPr>
            <w:tcW w:w="1003" w:type="dxa"/>
            <w:tcBorders>
              <w:top w:val="double" w:sz="4" w:space="0" w:color="auto"/>
            </w:tcBorders>
          </w:tcPr>
          <w:p w:rsidR="00887CF9" w:rsidRPr="00BF6FD0" w:rsidRDefault="00887CF9" w:rsidP="004B70F2">
            <w:pPr>
              <w:jc w:val="center"/>
            </w:pPr>
            <w:r w:rsidRPr="00BF6FD0">
              <w:t>-</w:t>
            </w:r>
          </w:p>
        </w:tc>
        <w:tc>
          <w:tcPr>
            <w:tcW w:w="1367" w:type="dxa"/>
            <w:tcBorders>
              <w:top w:val="double" w:sz="4" w:space="0" w:color="auto"/>
            </w:tcBorders>
          </w:tcPr>
          <w:p w:rsidR="00887CF9" w:rsidRPr="00BF6FD0" w:rsidRDefault="00887CF9" w:rsidP="004B70F2">
            <w:pPr>
              <w:jc w:val="center"/>
            </w:pPr>
            <w:r w:rsidRPr="00BF6FD0">
              <w:t>-</w:t>
            </w:r>
          </w:p>
        </w:tc>
        <w:tc>
          <w:tcPr>
            <w:tcW w:w="916" w:type="dxa"/>
            <w:tcBorders>
              <w:top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887CF9" w:rsidRPr="00BF6FD0" w:rsidRDefault="00887CF9" w:rsidP="004B70F2">
            <w:pPr>
              <w:jc w:val="center"/>
            </w:pPr>
            <w:r w:rsidRPr="00BF6FD0">
              <w:t>350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r w:rsidRPr="00BF6FD0">
              <w:rPr>
                <w:vertAlign w:val="subscript"/>
              </w:rPr>
              <w:t>2</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Nox</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30/an</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CO</w:t>
            </w:r>
          </w:p>
        </w:tc>
        <w:tc>
          <w:tcPr>
            <w:tcW w:w="881" w:type="dxa"/>
          </w:tcPr>
          <w:p w:rsidR="00887CF9" w:rsidRPr="00BF6FD0" w:rsidRDefault="00887CF9" w:rsidP="004B70F2">
            <w:pPr>
              <w:jc w:val="center"/>
            </w:pPr>
            <w:r>
              <w:t>0.23</w:t>
            </w:r>
          </w:p>
        </w:tc>
        <w:tc>
          <w:tcPr>
            <w:tcW w:w="1070" w:type="dxa"/>
          </w:tcPr>
          <w:p w:rsidR="00887CF9" w:rsidRPr="00BF6FD0" w:rsidRDefault="00887CF9" w:rsidP="004B70F2">
            <w:pPr>
              <w:jc w:val="center"/>
            </w:pPr>
            <w:r>
              <w:t>1.27</w:t>
            </w:r>
          </w:p>
        </w:tc>
        <w:tc>
          <w:tcPr>
            <w:tcW w:w="1003" w:type="dxa"/>
          </w:tcPr>
          <w:p w:rsidR="00887CF9" w:rsidRPr="00BF6FD0" w:rsidRDefault="00887CF9" w:rsidP="004B70F2">
            <w:pPr>
              <w:jc w:val="center"/>
            </w:pPr>
            <w:r>
              <w:t>0.03</w:t>
            </w:r>
          </w:p>
        </w:tc>
        <w:tc>
          <w:tcPr>
            <w:tcW w:w="1367" w:type="dxa"/>
          </w:tcPr>
          <w:p w:rsidR="00887CF9" w:rsidRPr="00BF6FD0" w:rsidRDefault="00887CF9" w:rsidP="004B70F2">
            <w:pPr>
              <w:jc w:val="center"/>
            </w:pPr>
            <w:r>
              <w:t>611</w:t>
            </w:r>
          </w:p>
        </w:tc>
        <w:tc>
          <w:tcPr>
            <w:tcW w:w="916" w:type="dxa"/>
          </w:tcPr>
          <w:p w:rsidR="00887CF9" w:rsidRPr="00BF6FD0" w:rsidRDefault="00887CF9" w:rsidP="004B70F2">
            <w:pPr>
              <w:jc w:val="center"/>
            </w:pPr>
            <w:r w:rsidRPr="00BF6FD0">
              <w:t>mg/m</w:t>
            </w:r>
            <w:r w:rsidRPr="00BF6FD0">
              <w:rPr>
                <w:vertAlign w:val="superscript"/>
              </w:rPr>
              <w:t>3</w:t>
            </w:r>
          </w:p>
        </w:tc>
        <w:tc>
          <w:tcPr>
            <w:tcW w:w="868" w:type="dxa"/>
          </w:tcPr>
          <w:p w:rsidR="00887CF9" w:rsidRPr="00BF6FD0" w:rsidRDefault="00887CF9" w:rsidP="004B70F2">
            <w:pPr>
              <w:jc w:val="center"/>
            </w:pPr>
            <w:r w:rsidRPr="00BF6FD0">
              <w:t>10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Benzen</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5</w:t>
            </w:r>
          </w:p>
        </w:tc>
      </w:tr>
      <w:tr w:rsidR="00887CF9" w:rsidRPr="00BF6FD0" w:rsidTr="004B70F2">
        <w:trPr>
          <w:trHeight w:val="128"/>
          <w:jc w:val="center"/>
        </w:trPr>
        <w:tc>
          <w:tcPr>
            <w:tcW w:w="840" w:type="dxa"/>
            <w:vMerge/>
            <w:tcBorders>
              <w:bottom w:val="double" w:sz="4" w:space="0" w:color="auto"/>
            </w:tcBorders>
          </w:tcPr>
          <w:p w:rsidR="00887CF9" w:rsidRPr="00BF6FD0" w:rsidRDefault="00887CF9" w:rsidP="004B70F2">
            <w:pPr>
              <w:jc w:val="center"/>
            </w:pPr>
          </w:p>
        </w:tc>
        <w:tc>
          <w:tcPr>
            <w:tcW w:w="1273" w:type="dxa"/>
            <w:vMerge/>
            <w:tcBorders>
              <w:bottom w:val="double" w:sz="4" w:space="0" w:color="auto"/>
            </w:tcBorders>
          </w:tcPr>
          <w:p w:rsidR="00887CF9" w:rsidRPr="00BF6FD0" w:rsidRDefault="00887CF9" w:rsidP="004B70F2">
            <w:pPr>
              <w:jc w:val="center"/>
            </w:pPr>
          </w:p>
        </w:tc>
        <w:tc>
          <w:tcPr>
            <w:tcW w:w="1408" w:type="dxa"/>
            <w:tcBorders>
              <w:bottom w:val="double" w:sz="4" w:space="0" w:color="auto"/>
            </w:tcBorders>
          </w:tcPr>
          <w:p w:rsidR="00887CF9" w:rsidRPr="00BF6FD0" w:rsidRDefault="00887CF9" w:rsidP="004B70F2">
            <w:pPr>
              <w:jc w:val="center"/>
            </w:pPr>
            <w:r w:rsidRPr="00BF6FD0">
              <w:t>PM10</w:t>
            </w:r>
          </w:p>
        </w:tc>
        <w:tc>
          <w:tcPr>
            <w:tcW w:w="881" w:type="dxa"/>
            <w:tcBorders>
              <w:bottom w:val="double" w:sz="4" w:space="0" w:color="auto"/>
            </w:tcBorders>
          </w:tcPr>
          <w:p w:rsidR="00887CF9" w:rsidRPr="00BF6FD0" w:rsidRDefault="00887CF9" w:rsidP="004B70F2">
            <w:pPr>
              <w:jc w:val="center"/>
            </w:pPr>
            <w:r w:rsidRPr="00BF6FD0">
              <w:t>-</w:t>
            </w:r>
          </w:p>
        </w:tc>
        <w:tc>
          <w:tcPr>
            <w:tcW w:w="1070" w:type="dxa"/>
            <w:tcBorders>
              <w:bottom w:val="double" w:sz="4" w:space="0" w:color="auto"/>
            </w:tcBorders>
          </w:tcPr>
          <w:p w:rsidR="00887CF9" w:rsidRPr="00BF6FD0" w:rsidRDefault="00887CF9" w:rsidP="004B70F2">
            <w:pPr>
              <w:jc w:val="center"/>
            </w:pPr>
            <w:r w:rsidRPr="00BF6FD0">
              <w:t>-</w:t>
            </w:r>
          </w:p>
        </w:tc>
        <w:tc>
          <w:tcPr>
            <w:tcW w:w="1003" w:type="dxa"/>
            <w:tcBorders>
              <w:bottom w:val="double" w:sz="4" w:space="0" w:color="auto"/>
            </w:tcBorders>
          </w:tcPr>
          <w:p w:rsidR="00887CF9" w:rsidRPr="00BF6FD0" w:rsidRDefault="00887CF9" w:rsidP="004B70F2">
            <w:pPr>
              <w:jc w:val="center"/>
            </w:pPr>
            <w:r w:rsidRPr="00BF6FD0">
              <w:t>-</w:t>
            </w:r>
          </w:p>
        </w:tc>
        <w:tc>
          <w:tcPr>
            <w:tcW w:w="1367" w:type="dxa"/>
            <w:tcBorders>
              <w:bottom w:val="double" w:sz="4" w:space="0" w:color="auto"/>
            </w:tcBorders>
          </w:tcPr>
          <w:p w:rsidR="00887CF9" w:rsidRPr="00BF6FD0" w:rsidRDefault="00887CF9" w:rsidP="004B70F2">
            <w:pPr>
              <w:jc w:val="center"/>
            </w:pPr>
            <w:r w:rsidRPr="00BF6FD0">
              <w:t>-</w:t>
            </w:r>
          </w:p>
        </w:tc>
        <w:tc>
          <w:tcPr>
            <w:tcW w:w="916" w:type="dxa"/>
            <w:tcBorders>
              <w:bottom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887CF9" w:rsidRPr="00BF6FD0" w:rsidRDefault="00887CF9" w:rsidP="004B70F2">
            <w:pPr>
              <w:jc w:val="center"/>
            </w:pPr>
            <w:r w:rsidRPr="00BF6FD0">
              <w:t>50</w:t>
            </w:r>
          </w:p>
        </w:tc>
      </w:tr>
      <w:tr w:rsidR="00887CF9" w:rsidRPr="00BF6FD0" w:rsidTr="004B70F2">
        <w:trPr>
          <w:trHeight w:val="254"/>
          <w:jc w:val="center"/>
        </w:trPr>
        <w:tc>
          <w:tcPr>
            <w:tcW w:w="840" w:type="dxa"/>
            <w:vMerge w:val="restart"/>
            <w:tcBorders>
              <w:top w:val="double" w:sz="4" w:space="0" w:color="auto"/>
            </w:tcBorders>
            <w:vAlign w:val="center"/>
          </w:tcPr>
          <w:p w:rsidR="00887CF9" w:rsidRPr="00BF6FD0" w:rsidRDefault="00887CF9" w:rsidP="004B70F2">
            <w:pPr>
              <w:jc w:val="center"/>
            </w:pPr>
            <w:r w:rsidRPr="00BF6FD0">
              <w:t>BR2</w:t>
            </w:r>
          </w:p>
        </w:tc>
        <w:tc>
          <w:tcPr>
            <w:tcW w:w="1273" w:type="dxa"/>
            <w:vMerge w:val="restart"/>
            <w:tcBorders>
              <w:top w:val="double" w:sz="4" w:space="0" w:color="auto"/>
            </w:tcBorders>
            <w:vAlign w:val="center"/>
          </w:tcPr>
          <w:p w:rsidR="00887CF9" w:rsidRPr="00BF6FD0" w:rsidRDefault="00887CF9" w:rsidP="004B70F2">
            <w:pPr>
              <w:jc w:val="center"/>
            </w:pPr>
            <w:r w:rsidRPr="00BF6FD0">
              <w:t>Urban</w:t>
            </w:r>
          </w:p>
        </w:tc>
        <w:tc>
          <w:tcPr>
            <w:tcW w:w="1408" w:type="dxa"/>
            <w:tcBorders>
              <w:top w:val="double" w:sz="4" w:space="0" w:color="auto"/>
            </w:tcBorders>
          </w:tcPr>
          <w:p w:rsidR="00887CF9" w:rsidRPr="00BF6FD0" w:rsidRDefault="00887CF9" w:rsidP="004B70F2">
            <w:pPr>
              <w:jc w:val="center"/>
            </w:pPr>
            <w:r w:rsidRPr="00BF6FD0">
              <w:t>SO</w:t>
            </w:r>
            <w:r w:rsidRPr="00BF6FD0">
              <w:rPr>
                <w:vertAlign w:val="subscript"/>
              </w:rPr>
              <w:t>2</w:t>
            </w:r>
          </w:p>
        </w:tc>
        <w:tc>
          <w:tcPr>
            <w:tcW w:w="881" w:type="dxa"/>
            <w:tcBorders>
              <w:top w:val="double" w:sz="4" w:space="0" w:color="auto"/>
            </w:tcBorders>
          </w:tcPr>
          <w:p w:rsidR="00887CF9" w:rsidRPr="00BF6FD0" w:rsidRDefault="00887CF9" w:rsidP="004B70F2">
            <w:pPr>
              <w:jc w:val="center"/>
            </w:pPr>
            <w:r w:rsidRPr="00BF6FD0">
              <w:t>-</w:t>
            </w:r>
          </w:p>
        </w:tc>
        <w:tc>
          <w:tcPr>
            <w:tcW w:w="1070" w:type="dxa"/>
            <w:tcBorders>
              <w:top w:val="double" w:sz="4" w:space="0" w:color="auto"/>
            </w:tcBorders>
          </w:tcPr>
          <w:p w:rsidR="00887CF9" w:rsidRPr="00BF6FD0" w:rsidRDefault="00887CF9" w:rsidP="004B70F2">
            <w:pPr>
              <w:jc w:val="center"/>
            </w:pPr>
            <w:r w:rsidRPr="00BF6FD0">
              <w:t>-</w:t>
            </w:r>
          </w:p>
        </w:tc>
        <w:tc>
          <w:tcPr>
            <w:tcW w:w="1003" w:type="dxa"/>
            <w:tcBorders>
              <w:top w:val="double" w:sz="4" w:space="0" w:color="auto"/>
            </w:tcBorders>
          </w:tcPr>
          <w:p w:rsidR="00887CF9" w:rsidRPr="00BF6FD0" w:rsidRDefault="00887CF9" w:rsidP="004B70F2">
            <w:pPr>
              <w:jc w:val="center"/>
            </w:pPr>
            <w:r w:rsidRPr="00BF6FD0">
              <w:t>-</w:t>
            </w:r>
          </w:p>
        </w:tc>
        <w:tc>
          <w:tcPr>
            <w:tcW w:w="1367" w:type="dxa"/>
            <w:tcBorders>
              <w:top w:val="double" w:sz="4" w:space="0" w:color="auto"/>
            </w:tcBorders>
          </w:tcPr>
          <w:p w:rsidR="00887CF9" w:rsidRPr="00BF6FD0" w:rsidRDefault="00887CF9" w:rsidP="004B70F2">
            <w:pPr>
              <w:jc w:val="center"/>
            </w:pPr>
            <w:r w:rsidRPr="00BF6FD0">
              <w:t>-</w:t>
            </w:r>
          </w:p>
        </w:tc>
        <w:tc>
          <w:tcPr>
            <w:tcW w:w="916" w:type="dxa"/>
            <w:tcBorders>
              <w:top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887CF9" w:rsidRPr="00BF6FD0" w:rsidRDefault="00887CF9" w:rsidP="004B70F2">
            <w:pPr>
              <w:jc w:val="center"/>
            </w:pPr>
            <w:r w:rsidRPr="00BF6FD0">
              <w:t>350</w:t>
            </w:r>
          </w:p>
        </w:tc>
      </w:tr>
      <w:tr w:rsidR="00887CF9" w:rsidRPr="00BF6FD0" w:rsidTr="004B70F2">
        <w:trPr>
          <w:trHeight w:val="128"/>
          <w:jc w:val="center"/>
        </w:trPr>
        <w:tc>
          <w:tcPr>
            <w:tcW w:w="840" w:type="dxa"/>
            <w:vMerge/>
            <w:vAlign w:val="center"/>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vAlign w:val="center"/>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r w:rsidRPr="00BF6FD0">
              <w:rPr>
                <w:vertAlign w:val="subscript"/>
              </w:rPr>
              <w:t>2</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vAlign w:val="center"/>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Nox</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30/an</w:t>
            </w:r>
          </w:p>
        </w:tc>
      </w:tr>
      <w:tr w:rsidR="00887CF9" w:rsidRPr="00BF6FD0" w:rsidTr="004B70F2">
        <w:trPr>
          <w:trHeight w:val="128"/>
          <w:jc w:val="center"/>
        </w:trPr>
        <w:tc>
          <w:tcPr>
            <w:tcW w:w="840" w:type="dxa"/>
            <w:vMerge/>
            <w:vAlign w:val="center"/>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CO</w:t>
            </w:r>
          </w:p>
        </w:tc>
        <w:tc>
          <w:tcPr>
            <w:tcW w:w="881" w:type="dxa"/>
          </w:tcPr>
          <w:p w:rsidR="00887CF9" w:rsidRPr="00BF6FD0" w:rsidRDefault="00887CF9" w:rsidP="004B70F2">
            <w:pPr>
              <w:jc w:val="center"/>
            </w:pPr>
            <w:r>
              <w:t>0.13</w:t>
            </w:r>
          </w:p>
        </w:tc>
        <w:tc>
          <w:tcPr>
            <w:tcW w:w="1070" w:type="dxa"/>
          </w:tcPr>
          <w:p w:rsidR="00887CF9" w:rsidRPr="00BF6FD0" w:rsidRDefault="00887CF9" w:rsidP="004B70F2">
            <w:pPr>
              <w:jc w:val="center"/>
            </w:pPr>
            <w:r>
              <w:t>3.01</w:t>
            </w:r>
          </w:p>
        </w:tc>
        <w:tc>
          <w:tcPr>
            <w:tcW w:w="1003" w:type="dxa"/>
          </w:tcPr>
          <w:p w:rsidR="00887CF9" w:rsidRPr="00BF6FD0" w:rsidRDefault="00887CF9" w:rsidP="004B70F2">
            <w:pPr>
              <w:jc w:val="center"/>
            </w:pPr>
            <w:r>
              <w:t>0.01</w:t>
            </w:r>
          </w:p>
        </w:tc>
        <w:tc>
          <w:tcPr>
            <w:tcW w:w="1367" w:type="dxa"/>
          </w:tcPr>
          <w:p w:rsidR="00887CF9" w:rsidRPr="00BF6FD0" w:rsidRDefault="00887CF9" w:rsidP="004B70F2">
            <w:pPr>
              <w:jc w:val="center"/>
            </w:pPr>
            <w:r>
              <w:t>583</w:t>
            </w:r>
          </w:p>
        </w:tc>
        <w:tc>
          <w:tcPr>
            <w:tcW w:w="916" w:type="dxa"/>
          </w:tcPr>
          <w:p w:rsidR="00887CF9" w:rsidRPr="00BF6FD0" w:rsidRDefault="00887CF9" w:rsidP="004B70F2">
            <w:pPr>
              <w:jc w:val="center"/>
            </w:pPr>
            <w:r w:rsidRPr="00BF6FD0">
              <w:t>mg/m</w:t>
            </w:r>
            <w:r w:rsidRPr="00BF6FD0">
              <w:rPr>
                <w:vertAlign w:val="superscript"/>
              </w:rPr>
              <w:t>3</w:t>
            </w:r>
          </w:p>
        </w:tc>
        <w:tc>
          <w:tcPr>
            <w:tcW w:w="868" w:type="dxa"/>
          </w:tcPr>
          <w:p w:rsidR="00887CF9" w:rsidRPr="00BF6FD0" w:rsidRDefault="00887CF9" w:rsidP="004B70F2">
            <w:pPr>
              <w:jc w:val="center"/>
            </w:pPr>
            <w:r w:rsidRPr="00BF6FD0">
              <w:t>10</w:t>
            </w:r>
          </w:p>
        </w:tc>
      </w:tr>
      <w:tr w:rsidR="00887CF9" w:rsidRPr="00BF6FD0" w:rsidTr="004B70F2">
        <w:trPr>
          <w:trHeight w:val="128"/>
          <w:jc w:val="center"/>
        </w:trPr>
        <w:tc>
          <w:tcPr>
            <w:tcW w:w="840" w:type="dxa"/>
            <w:vMerge/>
            <w:vAlign w:val="center"/>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O</w:t>
            </w:r>
            <w:r w:rsidRPr="00BF6FD0">
              <w:rPr>
                <w:vertAlign w:val="subscript"/>
              </w:rPr>
              <w:t>3</w:t>
            </w:r>
          </w:p>
        </w:tc>
        <w:tc>
          <w:tcPr>
            <w:tcW w:w="881" w:type="dxa"/>
          </w:tcPr>
          <w:p w:rsidR="00887CF9" w:rsidRPr="00BF6FD0" w:rsidRDefault="00887CF9" w:rsidP="004B70F2">
            <w:pPr>
              <w:jc w:val="center"/>
            </w:pPr>
            <w:r>
              <w:t>18.11</w:t>
            </w:r>
          </w:p>
        </w:tc>
        <w:tc>
          <w:tcPr>
            <w:tcW w:w="1070" w:type="dxa"/>
          </w:tcPr>
          <w:p w:rsidR="00887CF9" w:rsidRPr="00BF6FD0" w:rsidRDefault="00887CF9" w:rsidP="004B70F2">
            <w:pPr>
              <w:jc w:val="center"/>
            </w:pPr>
            <w:r>
              <w:t>45.66</w:t>
            </w:r>
          </w:p>
        </w:tc>
        <w:tc>
          <w:tcPr>
            <w:tcW w:w="1003" w:type="dxa"/>
          </w:tcPr>
          <w:p w:rsidR="00887CF9" w:rsidRPr="00BF6FD0" w:rsidRDefault="00887CF9" w:rsidP="004B70F2">
            <w:pPr>
              <w:jc w:val="center"/>
            </w:pPr>
            <w:r>
              <w:t>0.42</w:t>
            </w:r>
          </w:p>
        </w:tc>
        <w:tc>
          <w:tcPr>
            <w:tcW w:w="1367" w:type="dxa"/>
          </w:tcPr>
          <w:p w:rsidR="00887CF9" w:rsidRPr="00BF6FD0" w:rsidRDefault="00887CF9" w:rsidP="004B70F2">
            <w:pPr>
              <w:jc w:val="center"/>
            </w:pPr>
            <w:r>
              <w:t>584</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120</w:t>
            </w:r>
          </w:p>
        </w:tc>
      </w:tr>
      <w:tr w:rsidR="00887CF9" w:rsidRPr="00BF6FD0" w:rsidTr="004B70F2">
        <w:trPr>
          <w:trHeight w:val="128"/>
          <w:jc w:val="center"/>
        </w:trPr>
        <w:tc>
          <w:tcPr>
            <w:tcW w:w="840" w:type="dxa"/>
            <w:vMerge/>
            <w:vAlign w:val="center"/>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Benzen</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5</w:t>
            </w:r>
          </w:p>
        </w:tc>
      </w:tr>
      <w:tr w:rsidR="00887CF9" w:rsidRPr="00BF6FD0" w:rsidTr="004B70F2">
        <w:trPr>
          <w:trHeight w:val="128"/>
          <w:jc w:val="center"/>
        </w:trPr>
        <w:tc>
          <w:tcPr>
            <w:tcW w:w="840" w:type="dxa"/>
            <w:vMerge/>
            <w:tcBorders>
              <w:bottom w:val="double" w:sz="4" w:space="0" w:color="auto"/>
            </w:tcBorders>
            <w:vAlign w:val="center"/>
          </w:tcPr>
          <w:p w:rsidR="00887CF9" w:rsidRPr="00BF6FD0" w:rsidRDefault="00887CF9" w:rsidP="004B70F2">
            <w:pPr>
              <w:jc w:val="center"/>
            </w:pPr>
          </w:p>
        </w:tc>
        <w:tc>
          <w:tcPr>
            <w:tcW w:w="1273" w:type="dxa"/>
            <w:vMerge/>
            <w:tcBorders>
              <w:bottom w:val="double" w:sz="4" w:space="0" w:color="auto"/>
            </w:tcBorders>
          </w:tcPr>
          <w:p w:rsidR="00887CF9" w:rsidRPr="00BF6FD0" w:rsidRDefault="00887CF9" w:rsidP="004B70F2">
            <w:pPr>
              <w:jc w:val="center"/>
            </w:pPr>
          </w:p>
        </w:tc>
        <w:tc>
          <w:tcPr>
            <w:tcW w:w="1408" w:type="dxa"/>
            <w:tcBorders>
              <w:bottom w:val="double" w:sz="4" w:space="0" w:color="auto"/>
            </w:tcBorders>
          </w:tcPr>
          <w:p w:rsidR="00887CF9" w:rsidRPr="00BF6FD0" w:rsidRDefault="00887CF9" w:rsidP="004B70F2">
            <w:pPr>
              <w:jc w:val="center"/>
            </w:pPr>
            <w:r w:rsidRPr="00BF6FD0">
              <w:t>PM10</w:t>
            </w:r>
          </w:p>
        </w:tc>
        <w:tc>
          <w:tcPr>
            <w:tcW w:w="881" w:type="dxa"/>
            <w:tcBorders>
              <w:bottom w:val="double" w:sz="4" w:space="0" w:color="auto"/>
            </w:tcBorders>
          </w:tcPr>
          <w:p w:rsidR="00887CF9" w:rsidRPr="00BF6FD0" w:rsidRDefault="00887CF9" w:rsidP="004B70F2">
            <w:pPr>
              <w:jc w:val="center"/>
            </w:pPr>
            <w:r w:rsidRPr="00BF6FD0">
              <w:t>-</w:t>
            </w:r>
          </w:p>
        </w:tc>
        <w:tc>
          <w:tcPr>
            <w:tcW w:w="1070" w:type="dxa"/>
            <w:tcBorders>
              <w:bottom w:val="double" w:sz="4" w:space="0" w:color="auto"/>
            </w:tcBorders>
          </w:tcPr>
          <w:p w:rsidR="00887CF9" w:rsidRPr="00BF6FD0" w:rsidRDefault="00887CF9" w:rsidP="004B70F2">
            <w:pPr>
              <w:jc w:val="center"/>
            </w:pPr>
            <w:r w:rsidRPr="00BF6FD0">
              <w:t>-</w:t>
            </w:r>
          </w:p>
        </w:tc>
        <w:tc>
          <w:tcPr>
            <w:tcW w:w="1003" w:type="dxa"/>
            <w:tcBorders>
              <w:bottom w:val="double" w:sz="4" w:space="0" w:color="auto"/>
            </w:tcBorders>
          </w:tcPr>
          <w:p w:rsidR="00887CF9" w:rsidRPr="00BF6FD0" w:rsidRDefault="00887CF9" w:rsidP="004B70F2">
            <w:pPr>
              <w:jc w:val="center"/>
            </w:pPr>
            <w:r w:rsidRPr="00BF6FD0">
              <w:t>-</w:t>
            </w:r>
          </w:p>
        </w:tc>
        <w:tc>
          <w:tcPr>
            <w:tcW w:w="1367" w:type="dxa"/>
            <w:tcBorders>
              <w:bottom w:val="double" w:sz="4" w:space="0" w:color="auto"/>
            </w:tcBorders>
          </w:tcPr>
          <w:p w:rsidR="00887CF9" w:rsidRPr="00BF6FD0" w:rsidRDefault="00887CF9" w:rsidP="004B70F2">
            <w:pPr>
              <w:jc w:val="center"/>
            </w:pPr>
            <w:r w:rsidRPr="00BF6FD0">
              <w:t>-</w:t>
            </w:r>
          </w:p>
        </w:tc>
        <w:tc>
          <w:tcPr>
            <w:tcW w:w="916" w:type="dxa"/>
            <w:tcBorders>
              <w:bottom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887CF9" w:rsidRPr="00BF6FD0" w:rsidRDefault="00887CF9" w:rsidP="004B70F2">
            <w:pPr>
              <w:jc w:val="center"/>
            </w:pPr>
            <w:r w:rsidRPr="00BF6FD0">
              <w:t>17</w:t>
            </w:r>
          </w:p>
        </w:tc>
      </w:tr>
      <w:tr w:rsidR="00887CF9" w:rsidRPr="00BF6FD0" w:rsidTr="004B70F2">
        <w:trPr>
          <w:trHeight w:val="254"/>
          <w:jc w:val="center"/>
        </w:trPr>
        <w:tc>
          <w:tcPr>
            <w:tcW w:w="840" w:type="dxa"/>
            <w:vMerge w:val="restart"/>
            <w:tcBorders>
              <w:top w:val="double" w:sz="4" w:space="0" w:color="auto"/>
            </w:tcBorders>
            <w:vAlign w:val="center"/>
          </w:tcPr>
          <w:p w:rsidR="00887CF9" w:rsidRPr="00BF6FD0" w:rsidRDefault="00887CF9" w:rsidP="004B70F2">
            <w:pPr>
              <w:jc w:val="center"/>
            </w:pPr>
            <w:r w:rsidRPr="00BF6FD0">
              <w:t>BR3</w:t>
            </w:r>
          </w:p>
        </w:tc>
        <w:tc>
          <w:tcPr>
            <w:tcW w:w="1273" w:type="dxa"/>
            <w:vMerge w:val="restart"/>
            <w:tcBorders>
              <w:top w:val="double" w:sz="4" w:space="0" w:color="auto"/>
            </w:tcBorders>
            <w:vAlign w:val="center"/>
          </w:tcPr>
          <w:p w:rsidR="00887CF9" w:rsidRPr="00BF6FD0" w:rsidRDefault="00887CF9" w:rsidP="004B70F2">
            <w:pPr>
              <w:jc w:val="center"/>
            </w:pPr>
            <w:r w:rsidRPr="00BF6FD0">
              <w:t>Suburban</w:t>
            </w:r>
          </w:p>
        </w:tc>
        <w:tc>
          <w:tcPr>
            <w:tcW w:w="1408" w:type="dxa"/>
            <w:tcBorders>
              <w:top w:val="double" w:sz="4" w:space="0" w:color="auto"/>
            </w:tcBorders>
          </w:tcPr>
          <w:p w:rsidR="00887CF9" w:rsidRPr="00BF6FD0" w:rsidRDefault="00887CF9" w:rsidP="004B70F2">
            <w:pPr>
              <w:jc w:val="center"/>
            </w:pPr>
            <w:r w:rsidRPr="00BF6FD0">
              <w:t>SO</w:t>
            </w:r>
            <w:r w:rsidRPr="00BF6FD0">
              <w:rPr>
                <w:vertAlign w:val="subscript"/>
              </w:rPr>
              <w:t>2</w:t>
            </w:r>
          </w:p>
        </w:tc>
        <w:tc>
          <w:tcPr>
            <w:tcW w:w="881" w:type="dxa"/>
            <w:tcBorders>
              <w:top w:val="double" w:sz="4" w:space="0" w:color="auto"/>
            </w:tcBorders>
          </w:tcPr>
          <w:p w:rsidR="00887CF9" w:rsidRPr="00BF6FD0" w:rsidRDefault="00887CF9" w:rsidP="004B70F2">
            <w:pPr>
              <w:jc w:val="center"/>
            </w:pPr>
            <w:r w:rsidRPr="00BF6FD0">
              <w:t>-</w:t>
            </w:r>
          </w:p>
        </w:tc>
        <w:tc>
          <w:tcPr>
            <w:tcW w:w="1070" w:type="dxa"/>
            <w:tcBorders>
              <w:top w:val="double" w:sz="4" w:space="0" w:color="auto"/>
            </w:tcBorders>
          </w:tcPr>
          <w:p w:rsidR="00887CF9" w:rsidRPr="00BF6FD0" w:rsidRDefault="00887CF9" w:rsidP="004B70F2">
            <w:pPr>
              <w:jc w:val="center"/>
            </w:pPr>
            <w:r w:rsidRPr="00BF6FD0">
              <w:t>-</w:t>
            </w:r>
          </w:p>
        </w:tc>
        <w:tc>
          <w:tcPr>
            <w:tcW w:w="1003" w:type="dxa"/>
            <w:tcBorders>
              <w:top w:val="double" w:sz="4" w:space="0" w:color="auto"/>
            </w:tcBorders>
          </w:tcPr>
          <w:p w:rsidR="00887CF9" w:rsidRPr="00BF6FD0" w:rsidRDefault="00887CF9" w:rsidP="004B70F2">
            <w:pPr>
              <w:jc w:val="center"/>
            </w:pPr>
            <w:r w:rsidRPr="00BF6FD0">
              <w:t>-</w:t>
            </w:r>
          </w:p>
        </w:tc>
        <w:tc>
          <w:tcPr>
            <w:tcW w:w="1367" w:type="dxa"/>
            <w:tcBorders>
              <w:top w:val="double" w:sz="4" w:space="0" w:color="auto"/>
            </w:tcBorders>
          </w:tcPr>
          <w:p w:rsidR="00887CF9" w:rsidRPr="00BF6FD0" w:rsidRDefault="00887CF9" w:rsidP="004B70F2">
            <w:pPr>
              <w:jc w:val="center"/>
            </w:pPr>
            <w:r w:rsidRPr="00BF6FD0">
              <w:t>-</w:t>
            </w:r>
          </w:p>
        </w:tc>
        <w:tc>
          <w:tcPr>
            <w:tcW w:w="916" w:type="dxa"/>
            <w:tcBorders>
              <w:top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887CF9" w:rsidRPr="00BF6FD0" w:rsidRDefault="00887CF9" w:rsidP="004B70F2">
            <w:pPr>
              <w:jc w:val="center"/>
            </w:pPr>
            <w:r w:rsidRPr="00BF6FD0">
              <w:t>350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r w:rsidRPr="00BF6FD0">
              <w:rPr>
                <w:vertAlign w:val="subscript"/>
              </w:rPr>
              <w:t>2</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Nox</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30/an</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CO</w:t>
            </w:r>
          </w:p>
        </w:tc>
        <w:tc>
          <w:tcPr>
            <w:tcW w:w="881" w:type="dxa"/>
          </w:tcPr>
          <w:p w:rsidR="00887CF9" w:rsidRPr="00BF6FD0" w:rsidRDefault="00887CF9" w:rsidP="004B70F2">
            <w:pPr>
              <w:jc w:val="center"/>
            </w:pPr>
            <w:r>
              <w:t>-</w:t>
            </w:r>
          </w:p>
        </w:tc>
        <w:tc>
          <w:tcPr>
            <w:tcW w:w="1070" w:type="dxa"/>
          </w:tcPr>
          <w:p w:rsidR="00887CF9" w:rsidRPr="00BF6FD0" w:rsidRDefault="00887CF9" w:rsidP="004B70F2">
            <w:pPr>
              <w:jc w:val="center"/>
            </w:pPr>
            <w:r>
              <w:t>0.65</w:t>
            </w:r>
          </w:p>
        </w:tc>
        <w:tc>
          <w:tcPr>
            <w:tcW w:w="1003" w:type="dxa"/>
          </w:tcPr>
          <w:p w:rsidR="00887CF9" w:rsidRPr="00BF6FD0" w:rsidRDefault="00887CF9" w:rsidP="004B70F2">
            <w:pPr>
              <w:jc w:val="center"/>
            </w:pPr>
            <w:r>
              <w:t>0.04</w:t>
            </w:r>
          </w:p>
        </w:tc>
        <w:tc>
          <w:tcPr>
            <w:tcW w:w="1367" w:type="dxa"/>
          </w:tcPr>
          <w:p w:rsidR="00887CF9" w:rsidRPr="00BF6FD0" w:rsidRDefault="00887CF9" w:rsidP="004B70F2">
            <w:pPr>
              <w:jc w:val="center"/>
            </w:pPr>
            <w:r>
              <w:t>132</w:t>
            </w:r>
          </w:p>
        </w:tc>
        <w:tc>
          <w:tcPr>
            <w:tcW w:w="916" w:type="dxa"/>
          </w:tcPr>
          <w:p w:rsidR="00887CF9" w:rsidRPr="00BF6FD0" w:rsidRDefault="00887CF9" w:rsidP="004B70F2">
            <w:pPr>
              <w:jc w:val="center"/>
            </w:pPr>
            <w:r w:rsidRPr="00BF6FD0">
              <w:t>mg/m</w:t>
            </w:r>
            <w:r w:rsidRPr="00BF6FD0">
              <w:rPr>
                <w:vertAlign w:val="superscript"/>
              </w:rPr>
              <w:t>3</w:t>
            </w:r>
          </w:p>
        </w:tc>
        <w:tc>
          <w:tcPr>
            <w:tcW w:w="868" w:type="dxa"/>
          </w:tcPr>
          <w:p w:rsidR="00887CF9" w:rsidRPr="00BF6FD0" w:rsidRDefault="00887CF9" w:rsidP="004B70F2">
            <w:pPr>
              <w:jc w:val="center"/>
            </w:pPr>
            <w:r w:rsidRPr="00BF6FD0">
              <w:t>10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O</w:t>
            </w:r>
            <w:r w:rsidRPr="00BF6FD0">
              <w:rPr>
                <w:vertAlign w:val="subscript"/>
              </w:rPr>
              <w:t>3</w:t>
            </w:r>
          </w:p>
        </w:tc>
        <w:tc>
          <w:tcPr>
            <w:tcW w:w="881" w:type="dxa"/>
          </w:tcPr>
          <w:p w:rsidR="00887CF9" w:rsidRPr="00BF6FD0" w:rsidRDefault="00887CF9" w:rsidP="004B70F2">
            <w:pPr>
              <w:jc w:val="center"/>
            </w:pPr>
            <w:r>
              <w:t>37.67</w:t>
            </w:r>
          </w:p>
        </w:tc>
        <w:tc>
          <w:tcPr>
            <w:tcW w:w="1070" w:type="dxa"/>
          </w:tcPr>
          <w:p w:rsidR="00887CF9" w:rsidRPr="00BF6FD0" w:rsidRDefault="00887CF9" w:rsidP="004B70F2">
            <w:pPr>
              <w:jc w:val="center"/>
            </w:pPr>
            <w:r>
              <w:t>74.09</w:t>
            </w:r>
          </w:p>
        </w:tc>
        <w:tc>
          <w:tcPr>
            <w:tcW w:w="1003" w:type="dxa"/>
          </w:tcPr>
          <w:p w:rsidR="00887CF9" w:rsidRPr="00BF6FD0" w:rsidRDefault="00887CF9" w:rsidP="004B70F2">
            <w:pPr>
              <w:jc w:val="center"/>
            </w:pPr>
            <w:r>
              <w:t>2.68</w:t>
            </w:r>
          </w:p>
        </w:tc>
        <w:tc>
          <w:tcPr>
            <w:tcW w:w="1367" w:type="dxa"/>
          </w:tcPr>
          <w:p w:rsidR="00887CF9" w:rsidRPr="00BF6FD0" w:rsidRDefault="00887CF9" w:rsidP="004B70F2">
            <w:pPr>
              <w:jc w:val="center"/>
            </w:pPr>
            <w:r>
              <w:t>550</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120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Benzen</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5</w:t>
            </w:r>
          </w:p>
        </w:tc>
      </w:tr>
      <w:tr w:rsidR="00887CF9" w:rsidRPr="00BF6FD0" w:rsidTr="004B70F2">
        <w:trPr>
          <w:trHeight w:val="128"/>
          <w:jc w:val="center"/>
        </w:trPr>
        <w:tc>
          <w:tcPr>
            <w:tcW w:w="840" w:type="dxa"/>
            <w:vMerge/>
            <w:tcBorders>
              <w:bottom w:val="double" w:sz="4" w:space="0" w:color="auto"/>
            </w:tcBorders>
          </w:tcPr>
          <w:p w:rsidR="00887CF9" w:rsidRPr="00BF6FD0" w:rsidRDefault="00887CF9" w:rsidP="004B70F2">
            <w:pPr>
              <w:jc w:val="center"/>
            </w:pPr>
          </w:p>
        </w:tc>
        <w:tc>
          <w:tcPr>
            <w:tcW w:w="1273" w:type="dxa"/>
            <w:vMerge/>
            <w:tcBorders>
              <w:bottom w:val="double" w:sz="4" w:space="0" w:color="auto"/>
            </w:tcBorders>
          </w:tcPr>
          <w:p w:rsidR="00887CF9" w:rsidRPr="00BF6FD0" w:rsidRDefault="00887CF9" w:rsidP="004B70F2">
            <w:pPr>
              <w:jc w:val="center"/>
            </w:pPr>
          </w:p>
        </w:tc>
        <w:tc>
          <w:tcPr>
            <w:tcW w:w="1408" w:type="dxa"/>
            <w:tcBorders>
              <w:bottom w:val="double" w:sz="4" w:space="0" w:color="auto"/>
            </w:tcBorders>
          </w:tcPr>
          <w:p w:rsidR="00887CF9" w:rsidRPr="00BF6FD0" w:rsidRDefault="00887CF9" w:rsidP="004B70F2">
            <w:pPr>
              <w:jc w:val="center"/>
            </w:pPr>
            <w:r w:rsidRPr="00BF6FD0">
              <w:t>PM10</w:t>
            </w:r>
          </w:p>
        </w:tc>
        <w:tc>
          <w:tcPr>
            <w:tcW w:w="881" w:type="dxa"/>
            <w:tcBorders>
              <w:bottom w:val="double" w:sz="4" w:space="0" w:color="auto"/>
            </w:tcBorders>
          </w:tcPr>
          <w:p w:rsidR="00887CF9" w:rsidRPr="00BF6FD0" w:rsidRDefault="00887CF9" w:rsidP="004B70F2">
            <w:pPr>
              <w:jc w:val="center"/>
            </w:pPr>
            <w:r w:rsidRPr="00BF6FD0">
              <w:t>-</w:t>
            </w:r>
          </w:p>
        </w:tc>
        <w:tc>
          <w:tcPr>
            <w:tcW w:w="1070" w:type="dxa"/>
            <w:tcBorders>
              <w:bottom w:val="double" w:sz="4" w:space="0" w:color="auto"/>
            </w:tcBorders>
          </w:tcPr>
          <w:p w:rsidR="00887CF9" w:rsidRPr="00BF6FD0" w:rsidRDefault="00887CF9" w:rsidP="004B70F2">
            <w:pPr>
              <w:jc w:val="center"/>
            </w:pPr>
            <w:r w:rsidRPr="00BF6FD0">
              <w:t>-</w:t>
            </w:r>
          </w:p>
        </w:tc>
        <w:tc>
          <w:tcPr>
            <w:tcW w:w="1003" w:type="dxa"/>
            <w:tcBorders>
              <w:bottom w:val="double" w:sz="4" w:space="0" w:color="auto"/>
            </w:tcBorders>
          </w:tcPr>
          <w:p w:rsidR="00887CF9" w:rsidRPr="00BF6FD0" w:rsidRDefault="00887CF9" w:rsidP="004B70F2">
            <w:pPr>
              <w:jc w:val="center"/>
            </w:pPr>
            <w:r w:rsidRPr="00BF6FD0">
              <w:t>-</w:t>
            </w:r>
          </w:p>
        </w:tc>
        <w:tc>
          <w:tcPr>
            <w:tcW w:w="1367" w:type="dxa"/>
            <w:tcBorders>
              <w:bottom w:val="double" w:sz="4" w:space="0" w:color="auto"/>
            </w:tcBorders>
          </w:tcPr>
          <w:p w:rsidR="00887CF9" w:rsidRPr="00BF6FD0" w:rsidRDefault="00887CF9" w:rsidP="004B70F2">
            <w:pPr>
              <w:jc w:val="center"/>
            </w:pPr>
            <w:r w:rsidRPr="00BF6FD0">
              <w:t>-</w:t>
            </w:r>
          </w:p>
        </w:tc>
        <w:tc>
          <w:tcPr>
            <w:tcW w:w="916" w:type="dxa"/>
            <w:tcBorders>
              <w:bottom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887CF9" w:rsidRPr="00BF6FD0" w:rsidRDefault="00887CF9" w:rsidP="004B70F2">
            <w:pPr>
              <w:jc w:val="center"/>
            </w:pPr>
            <w:r w:rsidRPr="00BF6FD0">
              <w:t>50</w:t>
            </w:r>
          </w:p>
        </w:tc>
      </w:tr>
      <w:tr w:rsidR="00887CF9" w:rsidRPr="00BF6FD0" w:rsidTr="004B70F2">
        <w:trPr>
          <w:trHeight w:val="240"/>
          <w:jc w:val="center"/>
        </w:trPr>
        <w:tc>
          <w:tcPr>
            <w:tcW w:w="840" w:type="dxa"/>
            <w:vMerge w:val="restart"/>
            <w:tcBorders>
              <w:top w:val="double" w:sz="4" w:space="0" w:color="auto"/>
            </w:tcBorders>
            <w:vAlign w:val="center"/>
          </w:tcPr>
          <w:p w:rsidR="00887CF9" w:rsidRPr="00BF6FD0" w:rsidRDefault="00887CF9" w:rsidP="004B70F2">
            <w:pPr>
              <w:jc w:val="center"/>
            </w:pPr>
            <w:r w:rsidRPr="00BF6FD0">
              <w:t>BR4</w:t>
            </w:r>
          </w:p>
        </w:tc>
        <w:tc>
          <w:tcPr>
            <w:tcW w:w="1273" w:type="dxa"/>
            <w:vMerge w:val="restart"/>
            <w:tcBorders>
              <w:top w:val="double" w:sz="4" w:space="0" w:color="auto"/>
            </w:tcBorders>
            <w:vAlign w:val="center"/>
          </w:tcPr>
          <w:p w:rsidR="00887CF9" w:rsidRPr="00BF6FD0" w:rsidRDefault="00887CF9" w:rsidP="004B70F2">
            <w:pPr>
              <w:jc w:val="center"/>
            </w:pPr>
            <w:r w:rsidRPr="00BF6FD0">
              <w:t>IND1</w:t>
            </w:r>
          </w:p>
        </w:tc>
        <w:tc>
          <w:tcPr>
            <w:tcW w:w="1408" w:type="dxa"/>
            <w:tcBorders>
              <w:top w:val="double" w:sz="4" w:space="0" w:color="auto"/>
            </w:tcBorders>
          </w:tcPr>
          <w:p w:rsidR="00887CF9" w:rsidRPr="00BF6FD0" w:rsidRDefault="00887CF9" w:rsidP="004B70F2">
            <w:pPr>
              <w:jc w:val="center"/>
            </w:pPr>
            <w:r w:rsidRPr="00BF6FD0">
              <w:t>SO</w:t>
            </w:r>
            <w:r w:rsidRPr="00BF6FD0">
              <w:rPr>
                <w:vertAlign w:val="subscript"/>
              </w:rPr>
              <w:t>2</w:t>
            </w:r>
          </w:p>
        </w:tc>
        <w:tc>
          <w:tcPr>
            <w:tcW w:w="881" w:type="dxa"/>
            <w:tcBorders>
              <w:top w:val="double" w:sz="4" w:space="0" w:color="auto"/>
            </w:tcBorders>
          </w:tcPr>
          <w:p w:rsidR="00887CF9" w:rsidRPr="00BF6FD0" w:rsidRDefault="00887CF9" w:rsidP="004B70F2">
            <w:pPr>
              <w:jc w:val="center"/>
            </w:pPr>
            <w:r w:rsidRPr="00BF6FD0">
              <w:t>-</w:t>
            </w:r>
          </w:p>
        </w:tc>
        <w:tc>
          <w:tcPr>
            <w:tcW w:w="1070" w:type="dxa"/>
            <w:tcBorders>
              <w:top w:val="double" w:sz="4" w:space="0" w:color="auto"/>
            </w:tcBorders>
          </w:tcPr>
          <w:p w:rsidR="00887CF9" w:rsidRPr="00BF6FD0" w:rsidRDefault="00887CF9" w:rsidP="004B70F2">
            <w:pPr>
              <w:jc w:val="center"/>
            </w:pPr>
            <w:r w:rsidRPr="00BF6FD0">
              <w:t>-</w:t>
            </w:r>
          </w:p>
        </w:tc>
        <w:tc>
          <w:tcPr>
            <w:tcW w:w="1003" w:type="dxa"/>
            <w:tcBorders>
              <w:top w:val="double" w:sz="4" w:space="0" w:color="auto"/>
            </w:tcBorders>
          </w:tcPr>
          <w:p w:rsidR="00887CF9" w:rsidRPr="00BF6FD0" w:rsidRDefault="00887CF9" w:rsidP="004B70F2">
            <w:pPr>
              <w:jc w:val="center"/>
            </w:pPr>
            <w:r w:rsidRPr="00BF6FD0">
              <w:t>-</w:t>
            </w:r>
          </w:p>
        </w:tc>
        <w:tc>
          <w:tcPr>
            <w:tcW w:w="1367" w:type="dxa"/>
            <w:tcBorders>
              <w:top w:val="double" w:sz="4" w:space="0" w:color="auto"/>
            </w:tcBorders>
          </w:tcPr>
          <w:p w:rsidR="00887CF9" w:rsidRPr="00BF6FD0" w:rsidRDefault="00887CF9" w:rsidP="004B70F2">
            <w:pPr>
              <w:jc w:val="center"/>
            </w:pPr>
            <w:r w:rsidRPr="00BF6FD0">
              <w:t>-</w:t>
            </w:r>
          </w:p>
        </w:tc>
        <w:tc>
          <w:tcPr>
            <w:tcW w:w="916" w:type="dxa"/>
            <w:tcBorders>
              <w:top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887CF9" w:rsidRPr="00BF6FD0" w:rsidRDefault="00887CF9" w:rsidP="004B70F2">
            <w:pPr>
              <w:jc w:val="center"/>
            </w:pPr>
            <w:r w:rsidRPr="00BF6FD0">
              <w:t>350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r w:rsidRPr="00BF6FD0">
              <w:rPr>
                <w:vertAlign w:val="subscript"/>
              </w:rPr>
              <w:t>2</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Nox</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30/an</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CO</w:t>
            </w:r>
          </w:p>
        </w:tc>
        <w:tc>
          <w:tcPr>
            <w:tcW w:w="881" w:type="dxa"/>
          </w:tcPr>
          <w:p w:rsidR="00887CF9" w:rsidRPr="00BF6FD0" w:rsidRDefault="00887CF9" w:rsidP="004B70F2">
            <w:pPr>
              <w:jc w:val="center"/>
            </w:pPr>
            <w:r>
              <w:t>0.13</w:t>
            </w:r>
          </w:p>
        </w:tc>
        <w:tc>
          <w:tcPr>
            <w:tcW w:w="1070" w:type="dxa"/>
          </w:tcPr>
          <w:p w:rsidR="00887CF9" w:rsidRPr="00BF6FD0" w:rsidRDefault="00887CF9" w:rsidP="004B70F2">
            <w:pPr>
              <w:jc w:val="center"/>
            </w:pPr>
            <w:r>
              <w:t>3.32</w:t>
            </w:r>
          </w:p>
        </w:tc>
        <w:tc>
          <w:tcPr>
            <w:tcW w:w="1003" w:type="dxa"/>
          </w:tcPr>
          <w:p w:rsidR="00887CF9" w:rsidRPr="00BF6FD0" w:rsidRDefault="00887CF9" w:rsidP="004B70F2">
            <w:pPr>
              <w:jc w:val="center"/>
            </w:pPr>
            <w:r>
              <w:t>0.00</w:t>
            </w:r>
          </w:p>
        </w:tc>
        <w:tc>
          <w:tcPr>
            <w:tcW w:w="1367" w:type="dxa"/>
          </w:tcPr>
          <w:p w:rsidR="00887CF9" w:rsidRPr="00BF6FD0" w:rsidRDefault="00887CF9" w:rsidP="004B70F2">
            <w:pPr>
              <w:jc w:val="center"/>
            </w:pPr>
            <w:r>
              <w:t>547</w:t>
            </w:r>
          </w:p>
        </w:tc>
        <w:tc>
          <w:tcPr>
            <w:tcW w:w="916" w:type="dxa"/>
          </w:tcPr>
          <w:p w:rsidR="00887CF9" w:rsidRPr="00BF6FD0" w:rsidRDefault="00887CF9" w:rsidP="004B70F2">
            <w:pPr>
              <w:jc w:val="center"/>
            </w:pPr>
            <w:r w:rsidRPr="00BF6FD0">
              <w:t>mg/m</w:t>
            </w:r>
            <w:r w:rsidRPr="00BF6FD0">
              <w:rPr>
                <w:vertAlign w:val="superscript"/>
              </w:rPr>
              <w:t>3</w:t>
            </w:r>
          </w:p>
        </w:tc>
        <w:tc>
          <w:tcPr>
            <w:tcW w:w="868" w:type="dxa"/>
          </w:tcPr>
          <w:p w:rsidR="00887CF9" w:rsidRPr="00BF6FD0" w:rsidRDefault="00887CF9" w:rsidP="004B70F2">
            <w:pPr>
              <w:jc w:val="center"/>
            </w:pPr>
            <w:r w:rsidRPr="00BF6FD0">
              <w:t>10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O</w:t>
            </w:r>
            <w:r w:rsidRPr="00BF6FD0">
              <w:rPr>
                <w:vertAlign w:val="subscript"/>
              </w:rPr>
              <w:t>3</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120</w:t>
            </w:r>
          </w:p>
        </w:tc>
      </w:tr>
      <w:tr w:rsidR="00887CF9" w:rsidRPr="00BF6FD0" w:rsidTr="004B70F2">
        <w:trPr>
          <w:trHeight w:val="128"/>
          <w:jc w:val="center"/>
        </w:trPr>
        <w:tc>
          <w:tcPr>
            <w:tcW w:w="840" w:type="dxa"/>
            <w:vMerge/>
            <w:tcBorders>
              <w:bottom w:val="double" w:sz="4" w:space="0" w:color="auto"/>
            </w:tcBorders>
          </w:tcPr>
          <w:p w:rsidR="00887CF9" w:rsidRPr="00BF6FD0" w:rsidRDefault="00887CF9" w:rsidP="004B70F2">
            <w:pPr>
              <w:jc w:val="center"/>
            </w:pPr>
          </w:p>
        </w:tc>
        <w:tc>
          <w:tcPr>
            <w:tcW w:w="1273" w:type="dxa"/>
            <w:vMerge/>
            <w:tcBorders>
              <w:bottom w:val="double" w:sz="4" w:space="0" w:color="auto"/>
            </w:tcBorders>
          </w:tcPr>
          <w:p w:rsidR="00887CF9" w:rsidRPr="00BF6FD0" w:rsidRDefault="00887CF9" w:rsidP="004B70F2">
            <w:pPr>
              <w:jc w:val="center"/>
            </w:pPr>
          </w:p>
        </w:tc>
        <w:tc>
          <w:tcPr>
            <w:tcW w:w="1408" w:type="dxa"/>
            <w:tcBorders>
              <w:bottom w:val="double" w:sz="4" w:space="0" w:color="auto"/>
            </w:tcBorders>
          </w:tcPr>
          <w:p w:rsidR="00887CF9" w:rsidRPr="00BF6FD0" w:rsidRDefault="00887CF9" w:rsidP="004B70F2">
            <w:pPr>
              <w:jc w:val="center"/>
            </w:pPr>
            <w:r w:rsidRPr="00BF6FD0">
              <w:t>PM10</w:t>
            </w:r>
          </w:p>
        </w:tc>
        <w:tc>
          <w:tcPr>
            <w:tcW w:w="881" w:type="dxa"/>
            <w:tcBorders>
              <w:bottom w:val="double" w:sz="4" w:space="0" w:color="auto"/>
            </w:tcBorders>
          </w:tcPr>
          <w:p w:rsidR="00887CF9" w:rsidRPr="00BF6FD0" w:rsidRDefault="00887CF9" w:rsidP="004B70F2">
            <w:pPr>
              <w:jc w:val="center"/>
            </w:pPr>
            <w:r w:rsidRPr="00BF6FD0">
              <w:t>-</w:t>
            </w:r>
          </w:p>
        </w:tc>
        <w:tc>
          <w:tcPr>
            <w:tcW w:w="1070" w:type="dxa"/>
            <w:tcBorders>
              <w:bottom w:val="double" w:sz="4" w:space="0" w:color="auto"/>
            </w:tcBorders>
          </w:tcPr>
          <w:p w:rsidR="00887CF9" w:rsidRPr="00BF6FD0" w:rsidRDefault="00887CF9" w:rsidP="004B70F2">
            <w:pPr>
              <w:jc w:val="center"/>
            </w:pPr>
            <w:r w:rsidRPr="00BF6FD0">
              <w:t>-</w:t>
            </w:r>
          </w:p>
        </w:tc>
        <w:tc>
          <w:tcPr>
            <w:tcW w:w="1003" w:type="dxa"/>
            <w:tcBorders>
              <w:bottom w:val="double" w:sz="4" w:space="0" w:color="auto"/>
            </w:tcBorders>
          </w:tcPr>
          <w:p w:rsidR="00887CF9" w:rsidRPr="00BF6FD0" w:rsidRDefault="00887CF9" w:rsidP="004B70F2">
            <w:pPr>
              <w:jc w:val="center"/>
            </w:pPr>
            <w:r w:rsidRPr="00BF6FD0">
              <w:t>-</w:t>
            </w:r>
          </w:p>
        </w:tc>
        <w:tc>
          <w:tcPr>
            <w:tcW w:w="1367" w:type="dxa"/>
            <w:tcBorders>
              <w:bottom w:val="double" w:sz="4" w:space="0" w:color="auto"/>
            </w:tcBorders>
          </w:tcPr>
          <w:p w:rsidR="00887CF9" w:rsidRPr="00BF6FD0" w:rsidRDefault="00887CF9" w:rsidP="004B70F2">
            <w:pPr>
              <w:jc w:val="center"/>
            </w:pPr>
            <w:r w:rsidRPr="00BF6FD0">
              <w:t>-</w:t>
            </w:r>
          </w:p>
        </w:tc>
        <w:tc>
          <w:tcPr>
            <w:tcW w:w="916" w:type="dxa"/>
            <w:tcBorders>
              <w:bottom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bottom w:val="double" w:sz="4" w:space="0" w:color="auto"/>
            </w:tcBorders>
          </w:tcPr>
          <w:p w:rsidR="00887CF9" w:rsidRPr="00BF6FD0" w:rsidRDefault="00887CF9" w:rsidP="004B70F2">
            <w:pPr>
              <w:jc w:val="center"/>
            </w:pPr>
            <w:r w:rsidRPr="00BF6FD0">
              <w:t>50</w:t>
            </w:r>
          </w:p>
        </w:tc>
      </w:tr>
      <w:tr w:rsidR="00887CF9" w:rsidRPr="00BF6FD0" w:rsidTr="004B70F2">
        <w:trPr>
          <w:trHeight w:val="240"/>
          <w:jc w:val="center"/>
        </w:trPr>
        <w:tc>
          <w:tcPr>
            <w:tcW w:w="840" w:type="dxa"/>
            <w:vMerge w:val="restart"/>
            <w:tcBorders>
              <w:top w:val="double" w:sz="4" w:space="0" w:color="auto"/>
            </w:tcBorders>
            <w:vAlign w:val="center"/>
          </w:tcPr>
          <w:p w:rsidR="00887CF9" w:rsidRPr="00BF6FD0" w:rsidRDefault="00887CF9" w:rsidP="004B70F2">
            <w:pPr>
              <w:jc w:val="center"/>
            </w:pPr>
            <w:r w:rsidRPr="00BF6FD0">
              <w:t>BR5</w:t>
            </w:r>
          </w:p>
        </w:tc>
        <w:tc>
          <w:tcPr>
            <w:tcW w:w="1273" w:type="dxa"/>
            <w:vMerge w:val="restart"/>
            <w:tcBorders>
              <w:top w:val="double" w:sz="4" w:space="0" w:color="auto"/>
            </w:tcBorders>
            <w:vAlign w:val="center"/>
          </w:tcPr>
          <w:p w:rsidR="00887CF9" w:rsidRPr="00BF6FD0" w:rsidRDefault="00887CF9" w:rsidP="004B70F2">
            <w:pPr>
              <w:jc w:val="center"/>
            </w:pPr>
            <w:r w:rsidRPr="00BF6FD0">
              <w:t>IND2</w:t>
            </w:r>
          </w:p>
        </w:tc>
        <w:tc>
          <w:tcPr>
            <w:tcW w:w="1408" w:type="dxa"/>
            <w:tcBorders>
              <w:top w:val="double" w:sz="4" w:space="0" w:color="auto"/>
            </w:tcBorders>
          </w:tcPr>
          <w:p w:rsidR="00887CF9" w:rsidRPr="00BF6FD0" w:rsidRDefault="00887CF9" w:rsidP="004B70F2">
            <w:pPr>
              <w:jc w:val="center"/>
            </w:pPr>
            <w:r w:rsidRPr="00BF6FD0">
              <w:t>SO</w:t>
            </w:r>
            <w:r w:rsidRPr="00BF6FD0">
              <w:rPr>
                <w:vertAlign w:val="subscript"/>
              </w:rPr>
              <w:t>2</w:t>
            </w:r>
          </w:p>
        </w:tc>
        <w:tc>
          <w:tcPr>
            <w:tcW w:w="881" w:type="dxa"/>
            <w:tcBorders>
              <w:top w:val="double" w:sz="4" w:space="0" w:color="auto"/>
            </w:tcBorders>
          </w:tcPr>
          <w:p w:rsidR="00887CF9" w:rsidRPr="00BF6FD0" w:rsidRDefault="00887CF9" w:rsidP="004B70F2">
            <w:pPr>
              <w:jc w:val="center"/>
            </w:pPr>
            <w:r w:rsidRPr="00BF6FD0">
              <w:t>-</w:t>
            </w:r>
          </w:p>
        </w:tc>
        <w:tc>
          <w:tcPr>
            <w:tcW w:w="1070" w:type="dxa"/>
            <w:tcBorders>
              <w:top w:val="double" w:sz="4" w:space="0" w:color="auto"/>
            </w:tcBorders>
          </w:tcPr>
          <w:p w:rsidR="00887CF9" w:rsidRPr="00BF6FD0" w:rsidRDefault="00887CF9" w:rsidP="004B70F2">
            <w:pPr>
              <w:jc w:val="center"/>
            </w:pPr>
            <w:r w:rsidRPr="00BF6FD0">
              <w:t>-</w:t>
            </w:r>
          </w:p>
        </w:tc>
        <w:tc>
          <w:tcPr>
            <w:tcW w:w="1003" w:type="dxa"/>
            <w:tcBorders>
              <w:top w:val="double" w:sz="4" w:space="0" w:color="auto"/>
            </w:tcBorders>
          </w:tcPr>
          <w:p w:rsidR="00887CF9" w:rsidRPr="00BF6FD0" w:rsidRDefault="00887CF9" w:rsidP="004B70F2">
            <w:pPr>
              <w:jc w:val="center"/>
            </w:pPr>
            <w:r w:rsidRPr="00BF6FD0">
              <w:t>-</w:t>
            </w:r>
          </w:p>
        </w:tc>
        <w:tc>
          <w:tcPr>
            <w:tcW w:w="1367" w:type="dxa"/>
            <w:tcBorders>
              <w:top w:val="double" w:sz="4" w:space="0" w:color="auto"/>
            </w:tcBorders>
          </w:tcPr>
          <w:p w:rsidR="00887CF9" w:rsidRPr="00BF6FD0" w:rsidRDefault="00887CF9" w:rsidP="004B70F2">
            <w:pPr>
              <w:jc w:val="center"/>
            </w:pPr>
            <w:r w:rsidRPr="00BF6FD0">
              <w:t>-</w:t>
            </w:r>
          </w:p>
        </w:tc>
        <w:tc>
          <w:tcPr>
            <w:tcW w:w="916" w:type="dxa"/>
            <w:tcBorders>
              <w:top w:val="double" w:sz="4" w:space="0" w:color="auto"/>
            </w:tcBorders>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Borders>
              <w:top w:val="double" w:sz="4" w:space="0" w:color="auto"/>
            </w:tcBorders>
          </w:tcPr>
          <w:p w:rsidR="00887CF9" w:rsidRPr="00BF6FD0" w:rsidRDefault="00887CF9" w:rsidP="004B70F2">
            <w:pPr>
              <w:jc w:val="center"/>
            </w:pPr>
            <w:r w:rsidRPr="00BF6FD0">
              <w:t>350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w:t>
            </w:r>
            <w:r w:rsidRPr="00BF6FD0">
              <w:rPr>
                <w:vertAlign w:val="subscript"/>
              </w:rPr>
              <w:t>2</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200</w:t>
            </w:r>
          </w:p>
        </w:tc>
      </w:tr>
      <w:tr w:rsidR="00887CF9" w:rsidRPr="00BF6FD0" w:rsidTr="004B70F2">
        <w:trPr>
          <w:trHeight w:val="128"/>
          <w:jc w:val="center"/>
        </w:trPr>
        <w:tc>
          <w:tcPr>
            <w:tcW w:w="840" w:type="dxa"/>
            <w:vMerge/>
          </w:tcPr>
          <w:p w:rsidR="00887CF9" w:rsidRPr="00BF6FD0" w:rsidRDefault="00887CF9" w:rsidP="004B70F2">
            <w:pPr>
              <w:jc w:val="center"/>
            </w:pPr>
            <w:bookmarkStart w:id="2" w:name="_Hlk279588179"/>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Nox</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30/an</w:t>
            </w:r>
          </w:p>
        </w:tc>
      </w:tr>
      <w:bookmarkEnd w:id="2"/>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CO</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t>mg/m</w:t>
            </w:r>
            <w:r w:rsidRPr="00BF6FD0">
              <w:rPr>
                <w:vertAlign w:val="superscript"/>
              </w:rPr>
              <w:t>3</w:t>
            </w:r>
          </w:p>
        </w:tc>
        <w:tc>
          <w:tcPr>
            <w:tcW w:w="868" w:type="dxa"/>
          </w:tcPr>
          <w:p w:rsidR="00887CF9" w:rsidRPr="00BF6FD0" w:rsidRDefault="00887CF9" w:rsidP="004B70F2">
            <w:pPr>
              <w:jc w:val="center"/>
            </w:pPr>
            <w:r w:rsidRPr="00BF6FD0">
              <w:t>10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O</w:t>
            </w:r>
            <w:r w:rsidRPr="00BF6FD0">
              <w:rPr>
                <w:vertAlign w:val="subscript"/>
              </w:rPr>
              <w:t>3</w:t>
            </w:r>
          </w:p>
        </w:tc>
        <w:tc>
          <w:tcPr>
            <w:tcW w:w="881" w:type="dxa"/>
          </w:tcPr>
          <w:p w:rsidR="00887CF9" w:rsidRPr="00BF6FD0" w:rsidRDefault="00887CF9" w:rsidP="004B70F2">
            <w:pPr>
              <w:jc w:val="center"/>
            </w:pPr>
            <w:r>
              <w:t>26.53</w:t>
            </w:r>
          </w:p>
        </w:tc>
        <w:tc>
          <w:tcPr>
            <w:tcW w:w="1070" w:type="dxa"/>
          </w:tcPr>
          <w:p w:rsidR="00887CF9" w:rsidRPr="00BF6FD0" w:rsidRDefault="00887CF9" w:rsidP="004B70F2">
            <w:pPr>
              <w:jc w:val="center"/>
            </w:pPr>
            <w:r>
              <w:t>74.53</w:t>
            </w:r>
          </w:p>
        </w:tc>
        <w:tc>
          <w:tcPr>
            <w:tcW w:w="1003" w:type="dxa"/>
          </w:tcPr>
          <w:p w:rsidR="00887CF9" w:rsidRPr="00BF6FD0" w:rsidRDefault="00887CF9" w:rsidP="004B70F2">
            <w:pPr>
              <w:jc w:val="center"/>
            </w:pPr>
            <w:r>
              <w:t>1.81</w:t>
            </w:r>
          </w:p>
        </w:tc>
        <w:tc>
          <w:tcPr>
            <w:tcW w:w="1367" w:type="dxa"/>
          </w:tcPr>
          <w:p w:rsidR="00887CF9" w:rsidRPr="00BF6FD0" w:rsidRDefault="00887CF9" w:rsidP="004B70F2">
            <w:pPr>
              <w:jc w:val="center"/>
            </w:pPr>
            <w:r>
              <w:t>685</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120</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Benzen</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5</w:t>
            </w:r>
          </w:p>
        </w:tc>
      </w:tr>
      <w:tr w:rsidR="00887CF9" w:rsidRPr="00BF6FD0" w:rsidTr="004B70F2">
        <w:trPr>
          <w:trHeight w:val="128"/>
          <w:jc w:val="center"/>
        </w:trPr>
        <w:tc>
          <w:tcPr>
            <w:tcW w:w="840" w:type="dxa"/>
            <w:vMerge/>
          </w:tcPr>
          <w:p w:rsidR="00887CF9" w:rsidRPr="00BF6FD0" w:rsidRDefault="00887CF9" w:rsidP="004B70F2">
            <w:pPr>
              <w:jc w:val="center"/>
            </w:pPr>
          </w:p>
        </w:tc>
        <w:tc>
          <w:tcPr>
            <w:tcW w:w="1273" w:type="dxa"/>
            <w:vMerge/>
          </w:tcPr>
          <w:p w:rsidR="00887CF9" w:rsidRPr="00BF6FD0" w:rsidRDefault="00887CF9" w:rsidP="004B70F2">
            <w:pPr>
              <w:jc w:val="center"/>
            </w:pPr>
          </w:p>
        </w:tc>
        <w:tc>
          <w:tcPr>
            <w:tcW w:w="1408" w:type="dxa"/>
          </w:tcPr>
          <w:p w:rsidR="00887CF9" w:rsidRPr="00BF6FD0" w:rsidRDefault="00887CF9" w:rsidP="004B70F2">
            <w:pPr>
              <w:jc w:val="center"/>
            </w:pPr>
            <w:r w:rsidRPr="00BF6FD0">
              <w:t>PM10</w:t>
            </w:r>
          </w:p>
        </w:tc>
        <w:tc>
          <w:tcPr>
            <w:tcW w:w="881" w:type="dxa"/>
          </w:tcPr>
          <w:p w:rsidR="00887CF9" w:rsidRPr="00BF6FD0" w:rsidRDefault="00887CF9" w:rsidP="004B70F2">
            <w:pPr>
              <w:jc w:val="center"/>
            </w:pPr>
            <w:r w:rsidRPr="00BF6FD0">
              <w:t>-</w:t>
            </w:r>
          </w:p>
        </w:tc>
        <w:tc>
          <w:tcPr>
            <w:tcW w:w="1070" w:type="dxa"/>
          </w:tcPr>
          <w:p w:rsidR="00887CF9" w:rsidRPr="00BF6FD0" w:rsidRDefault="00887CF9" w:rsidP="004B70F2">
            <w:pPr>
              <w:jc w:val="center"/>
            </w:pPr>
            <w:r w:rsidRPr="00BF6FD0">
              <w:t>-</w:t>
            </w:r>
          </w:p>
        </w:tc>
        <w:tc>
          <w:tcPr>
            <w:tcW w:w="1003" w:type="dxa"/>
          </w:tcPr>
          <w:p w:rsidR="00887CF9" w:rsidRPr="00BF6FD0" w:rsidRDefault="00887CF9" w:rsidP="004B70F2">
            <w:pPr>
              <w:jc w:val="center"/>
            </w:pPr>
            <w:r w:rsidRPr="00BF6FD0">
              <w:t>-</w:t>
            </w:r>
          </w:p>
        </w:tc>
        <w:tc>
          <w:tcPr>
            <w:tcW w:w="1367" w:type="dxa"/>
          </w:tcPr>
          <w:p w:rsidR="00887CF9" w:rsidRPr="00BF6FD0" w:rsidRDefault="00887CF9" w:rsidP="004B70F2">
            <w:pPr>
              <w:jc w:val="center"/>
            </w:pPr>
            <w:r w:rsidRPr="00BF6FD0">
              <w:t>-</w:t>
            </w:r>
          </w:p>
        </w:tc>
        <w:tc>
          <w:tcPr>
            <w:tcW w:w="916" w:type="dxa"/>
          </w:tcPr>
          <w:p w:rsidR="00887CF9" w:rsidRPr="00BF6FD0" w:rsidRDefault="00887CF9" w:rsidP="004B70F2">
            <w:pPr>
              <w:jc w:val="center"/>
            </w:pPr>
            <w:r w:rsidRPr="00BF6FD0">
              <w:sym w:font="Symbol" w:char="F06D"/>
            </w:r>
            <w:r w:rsidRPr="00BF6FD0">
              <w:t>g/m</w:t>
            </w:r>
            <w:r w:rsidRPr="00BF6FD0">
              <w:rPr>
                <w:vertAlign w:val="superscript"/>
              </w:rPr>
              <w:t>3</w:t>
            </w:r>
          </w:p>
        </w:tc>
        <w:tc>
          <w:tcPr>
            <w:tcW w:w="868" w:type="dxa"/>
          </w:tcPr>
          <w:p w:rsidR="00887CF9" w:rsidRPr="00BF6FD0" w:rsidRDefault="00887CF9" w:rsidP="004B70F2">
            <w:pPr>
              <w:jc w:val="center"/>
            </w:pPr>
            <w:r w:rsidRPr="00BF6FD0">
              <w:t>50</w:t>
            </w:r>
          </w:p>
        </w:tc>
      </w:tr>
    </w:tbl>
    <w:p w:rsidR="00887CF9" w:rsidRPr="00BF6FD0" w:rsidRDefault="00887CF9" w:rsidP="00887CF9">
      <w:pPr>
        <w:jc w:val="center"/>
      </w:pPr>
    </w:p>
    <w:p w:rsidR="00887CF9" w:rsidRPr="00BF6FD0" w:rsidRDefault="00887CF9" w:rsidP="00887CF9">
      <w:pPr>
        <w:jc w:val="center"/>
      </w:pPr>
    </w:p>
    <w:p w:rsidR="00887CF9" w:rsidRPr="00BF6FD0" w:rsidRDefault="00F34ACE" w:rsidP="00887CF9">
      <w:pPr>
        <w:jc w:val="center"/>
      </w:pPr>
      <w:r>
        <w:pict>
          <v:shape id="_x0000_s1526" type="#_x0000_t202" style="position:absolute;left:0;text-align:left;margin-left:-396.8pt;margin-top:160.2pt;width:135pt;height:18pt;z-index:251660288">
            <v:textbox style="mso-next-textbox:#_x0000_s1526">
              <w:txbxContent>
                <w:p w:rsidR="004B70F2" w:rsidRDefault="004B70F2" w:rsidP="00887CF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887CF9">
        <w:rPr>
          <w:noProof/>
          <w:lang w:eastAsia="ro-RO"/>
        </w:rPr>
        <w:drawing>
          <wp:inline distT="0" distB="0" distL="0" distR="0">
            <wp:extent cx="5476875" cy="2247900"/>
            <wp:effectExtent l="0" t="0" r="0" b="0"/>
            <wp:docPr id="1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CF9" w:rsidRPr="00BF6FD0" w:rsidRDefault="00887CF9" w:rsidP="004B70F2">
      <w:pPr>
        <w:jc w:val="both"/>
        <w:rPr>
          <w:sz w:val="28"/>
          <w:szCs w:val="28"/>
        </w:rPr>
      </w:pPr>
      <w:r w:rsidRPr="00BF6FD0">
        <w:rPr>
          <w:sz w:val="28"/>
          <w:szCs w:val="28"/>
        </w:rPr>
        <w:t xml:space="preserve">Valorile înregistrate în luna </w:t>
      </w:r>
      <w:r>
        <w:rPr>
          <w:sz w:val="28"/>
          <w:szCs w:val="28"/>
        </w:rPr>
        <w:t>noiembrie</w:t>
      </w:r>
      <w:r w:rsidRPr="00BF6FD0">
        <w:rPr>
          <w:sz w:val="28"/>
          <w:szCs w:val="28"/>
        </w:rPr>
        <w:t xml:space="preserve"> pentru CO, se situează sub valorile limită admise.</w:t>
      </w:r>
    </w:p>
    <w:p w:rsidR="00887CF9" w:rsidRPr="00BF6FD0" w:rsidRDefault="00887CF9" w:rsidP="004B70F2">
      <w:pPr>
        <w:ind w:left="22"/>
        <w:jc w:val="both"/>
        <w:rPr>
          <w:sz w:val="28"/>
          <w:szCs w:val="28"/>
        </w:rPr>
      </w:pPr>
      <w:r w:rsidRPr="00BF6FD0">
        <w:rPr>
          <w:sz w:val="28"/>
          <w:szCs w:val="28"/>
        </w:rPr>
        <w:t>Poluantul CO rezultă din arderea incompletă a combustibililor şi alături de benzen este considerat ca făcând parte din categoria poluanţilor specifici rezultaţi din trafic.</w:t>
      </w:r>
    </w:p>
    <w:p w:rsidR="00887CF9" w:rsidRPr="00B44F98" w:rsidRDefault="00887CF9" w:rsidP="00887CF9">
      <w:pPr>
        <w:ind w:left="22" w:firstLine="698"/>
        <w:jc w:val="both"/>
        <w:rPr>
          <w:sz w:val="28"/>
          <w:szCs w:val="28"/>
        </w:rPr>
      </w:pPr>
    </w:p>
    <w:p w:rsidR="00887CF9" w:rsidRPr="00EF1F6D" w:rsidRDefault="00887CF9" w:rsidP="00887CF9">
      <w:pPr>
        <w:jc w:val="center"/>
        <w:rPr>
          <w:rFonts w:ascii="Arial" w:hAnsi="Arial" w:cs="Arial"/>
        </w:rPr>
      </w:pPr>
      <w:r>
        <w:rPr>
          <w:rFonts w:ascii="Arial" w:hAnsi="Arial" w:cs="Arial"/>
          <w:noProof/>
          <w:lang w:eastAsia="ro-RO"/>
        </w:rPr>
        <w:drawing>
          <wp:inline distT="0" distB="0" distL="0" distR="0">
            <wp:extent cx="4905375" cy="2247900"/>
            <wp:effectExtent l="0" t="0" r="0" b="0"/>
            <wp:docPr id="1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CF9" w:rsidRPr="00BF6FD0" w:rsidRDefault="00887CF9" w:rsidP="004B70F2">
      <w:pPr>
        <w:rPr>
          <w:bCs/>
          <w:sz w:val="28"/>
          <w:szCs w:val="28"/>
        </w:rPr>
      </w:pPr>
      <w:r w:rsidRPr="00B44F98">
        <w:rPr>
          <w:sz w:val="28"/>
          <w:szCs w:val="28"/>
        </w:rPr>
        <w:t xml:space="preserve">În luna </w:t>
      </w:r>
      <w:r>
        <w:rPr>
          <w:sz w:val="28"/>
          <w:szCs w:val="28"/>
        </w:rPr>
        <w:t>noiembrie</w:t>
      </w:r>
      <w:r w:rsidRPr="00B44F98">
        <w:rPr>
          <w:sz w:val="28"/>
          <w:szCs w:val="28"/>
        </w:rPr>
        <w:t xml:space="preserve"> media orară a indicatorului ozon nu a depăşit pragul de informare de 180 </w:t>
      </w:r>
      <w:r w:rsidRPr="00B44F98">
        <w:rPr>
          <w:sz w:val="28"/>
          <w:szCs w:val="28"/>
        </w:rPr>
        <w:sym w:font="Symbol" w:char="F06D"/>
      </w:r>
      <w:r w:rsidRPr="00B44F98">
        <w:rPr>
          <w:sz w:val="28"/>
          <w:szCs w:val="28"/>
        </w:rPr>
        <w:t>g/m</w:t>
      </w:r>
      <w:r w:rsidRPr="00B44F98">
        <w:rPr>
          <w:sz w:val="28"/>
          <w:szCs w:val="28"/>
          <w:vertAlign w:val="superscript"/>
        </w:rPr>
        <w:t>3</w:t>
      </w:r>
      <w:r w:rsidRPr="00B44F98">
        <w:rPr>
          <w:sz w:val="28"/>
          <w:szCs w:val="28"/>
        </w:rPr>
        <w:t>.</w:t>
      </w:r>
    </w:p>
    <w:p w:rsidR="00887CF9" w:rsidRPr="00BF6FD0" w:rsidRDefault="00887CF9" w:rsidP="004B70F2">
      <w:pPr>
        <w:jc w:val="both"/>
        <w:rPr>
          <w:sz w:val="28"/>
          <w:szCs w:val="28"/>
        </w:rPr>
      </w:pPr>
      <w:r w:rsidRPr="00BF6FD0">
        <w:rPr>
          <w:bCs/>
          <w:sz w:val="28"/>
          <w:szCs w:val="28"/>
        </w:rPr>
        <w:t xml:space="preserve">Pentru determinarea pulberilor in suspensie se aplică 2 metode, respectiv metoda automată şi metoda gravimetrică, care de altfel este metoda de referinţă. </w:t>
      </w:r>
    </w:p>
    <w:p w:rsidR="00887CF9" w:rsidRPr="00BF6FD0" w:rsidRDefault="00887CF9" w:rsidP="004B70F2">
      <w:pPr>
        <w:jc w:val="both"/>
        <w:rPr>
          <w:sz w:val="28"/>
          <w:szCs w:val="28"/>
        </w:rPr>
      </w:pPr>
      <w:r>
        <w:rPr>
          <w:sz w:val="28"/>
          <w:szCs w:val="28"/>
        </w:rPr>
        <w:t>In luna noiembrie</w:t>
      </w:r>
      <w:r w:rsidRPr="00BF6FD0">
        <w:rPr>
          <w:sz w:val="28"/>
          <w:szCs w:val="28"/>
        </w:rPr>
        <w:t xml:space="preserve"> nu s-au efectuat masuratori </w:t>
      </w:r>
      <w:r>
        <w:rPr>
          <w:sz w:val="28"/>
          <w:szCs w:val="28"/>
        </w:rPr>
        <w:t>pentru indicatorul PM10</w:t>
      </w:r>
      <w:r w:rsidRPr="00BF6FD0">
        <w:rPr>
          <w:sz w:val="28"/>
          <w:szCs w:val="28"/>
        </w:rPr>
        <w:t xml:space="preserve"> deoarece analizoarele au fost defecte.</w:t>
      </w:r>
    </w:p>
    <w:p w:rsidR="00887CF9" w:rsidRPr="00BF6FD0" w:rsidRDefault="00887CF9" w:rsidP="00887CF9">
      <w:pPr>
        <w:ind w:firstLine="720"/>
        <w:jc w:val="both"/>
        <w:rPr>
          <w:sz w:val="28"/>
          <w:szCs w:val="28"/>
        </w:rPr>
      </w:pPr>
    </w:p>
    <w:p w:rsidR="00887CF9" w:rsidRPr="00BF6FD0" w:rsidRDefault="00887CF9" w:rsidP="00887CF9">
      <w:pPr>
        <w:tabs>
          <w:tab w:val="left" w:pos="0"/>
        </w:tabs>
        <w:jc w:val="center"/>
        <w:rPr>
          <w:b/>
          <w:sz w:val="28"/>
          <w:szCs w:val="28"/>
        </w:rPr>
      </w:pPr>
      <w:r w:rsidRPr="00BF6FD0">
        <w:rPr>
          <w:b/>
          <w:sz w:val="28"/>
          <w:szCs w:val="28"/>
        </w:rPr>
        <w:t>Evoluţia indicelui general de calitatea aerului</w:t>
      </w:r>
    </w:p>
    <w:p w:rsidR="00887CF9" w:rsidRPr="00BF6FD0" w:rsidRDefault="00887CF9" w:rsidP="00887CF9">
      <w:pPr>
        <w:tabs>
          <w:tab w:val="left" w:pos="0"/>
        </w:tabs>
        <w:jc w:val="center"/>
        <w:rPr>
          <w:b/>
          <w:sz w:val="28"/>
          <w:szCs w:val="28"/>
        </w:rPr>
      </w:pPr>
    </w:p>
    <w:p w:rsidR="00887CF9" w:rsidRPr="00BF6FD0" w:rsidRDefault="00887CF9" w:rsidP="00887CF9">
      <w:pPr>
        <w:jc w:val="center"/>
        <w:rPr>
          <w:sz w:val="28"/>
          <w:szCs w:val="28"/>
        </w:rPr>
      </w:pPr>
      <w:r w:rsidRPr="00BF6FD0">
        <w:rPr>
          <w:sz w:val="28"/>
          <w:szCs w:val="28"/>
        </w:rPr>
        <w:t xml:space="preserve"> Staţia BR-1 TRAFIC adresa: Calea Galaţi nr. 53, Brăila</w:t>
      </w:r>
    </w:p>
    <w:p w:rsidR="00887CF9" w:rsidRPr="00BF6FD0" w:rsidRDefault="00F34ACE" w:rsidP="00887CF9">
      <w:pPr>
        <w:jc w:val="center"/>
      </w:pPr>
      <w:r w:rsidRPr="00F34ACE">
        <w:rPr>
          <w:noProof/>
          <w:lang w:val="en-US"/>
        </w:rPr>
        <w:lastRenderedPageBreak/>
        <w:pict>
          <v:shape id="_x0000_s1527" type="#_x0000_t202" style="position:absolute;left:0;text-align:left;margin-left:117pt;margin-top:41.2pt;width:297pt;height:22.6pt;z-index:251661312" fillcolor="red" stroked="f">
            <v:textbox>
              <w:txbxContent>
                <w:p w:rsidR="004B70F2" w:rsidRPr="00701E68" w:rsidRDefault="004B70F2" w:rsidP="00887CF9">
                  <w:pPr>
                    <w:jc w:val="center"/>
                    <w:rPr>
                      <w:b/>
                      <w:lang w:val="en-US"/>
                    </w:rPr>
                  </w:pPr>
                  <w:proofErr w:type="spellStart"/>
                  <w:r>
                    <w:rPr>
                      <w:b/>
                      <w:lang w:val="en-US"/>
                    </w:rPr>
                    <w:t>Analizoare</w:t>
                  </w:r>
                  <w:proofErr w:type="spellEnd"/>
                  <w:r>
                    <w:rPr>
                      <w:b/>
                      <w:lang w:val="en-US"/>
                    </w:rPr>
                    <w:t xml:space="preserve"> </w:t>
                  </w:r>
                  <w:proofErr w:type="spellStart"/>
                  <w:r>
                    <w:rPr>
                      <w:b/>
                      <w:lang w:val="en-US"/>
                    </w:rPr>
                    <w:t>defecte</w:t>
                  </w:r>
                  <w:proofErr w:type="spellEnd"/>
                </w:p>
                <w:p w:rsidR="004B70F2" w:rsidRPr="003034D7" w:rsidRDefault="004B70F2" w:rsidP="00887CF9"/>
              </w:txbxContent>
            </v:textbox>
          </v:shape>
        </w:pict>
      </w:r>
      <w:r w:rsidR="00887CF9">
        <w:rPr>
          <w:noProof/>
          <w:lang w:eastAsia="ro-RO"/>
        </w:rPr>
        <w:drawing>
          <wp:inline distT="0" distB="0" distL="0" distR="0">
            <wp:extent cx="5210175" cy="1628775"/>
            <wp:effectExtent l="0" t="0" r="0" b="0"/>
            <wp:docPr id="1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7CF9" w:rsidRPr="00BF6FD0" w:rsidRDefault="00887CF9" w:rsidP="00887CF9">
      <w:pPr>
        <w:jc w:val="center"/>
      </w:pPr>
    </w:p>
    <w:p w:rsidR="00887CF9" w:rsidRPr="00BF6FD0" w:rsidRDefault="00887CF9" w:rsidP="00887CF9">
      <w:pPr>
        <w:jc w:val="center"/>
        <w:rPr>
          <w:sz w:val="28"/>
          <w:szCs w:val="28"/>
        </w:rPr>
      </w:pPr>
      <w:r w:rsidRPr="00BF6FD0">
        <w:rPr>
          <w:sz w:val="28"/>
          <w:szCs w:val="28"/>
        </w:rPr>
        <w:t>Staţia BR-2 FOND URBAN adresa: Piaţa Independenţei nr. 1, Brăila</w:t>
      </w:r>
    </w:p>
    <w:p w:rsidR="00887CF9" w:rsidRPr="00BF6FD0" w:rsidRDefault="00F34ACE" w:rsidP="00887CF9">
      <w:pPr>
        <w:jc w:val="center"/>
      </w:pPr>
      <w:r>
        <w:rPr>
          <w:noProof/>
          <w:lang w:eastAsia="ro-RO"/>
        </w:rPr>
        <w:pict>
          <v:shape id="_x0000_s1528" type="#_x0000_t202" style="position:absolute;left:0;text-align:left;margin-left:121.8pt;margin-top:40.25pt;width:292.2pt;height:21.85pt;z-index:251662336" fillcolor="red" stroked="f">
            <v:textbox style="mso-next-textbox:#_x0000_s1528">
              <w:txbxContent>
                <w:p w:rsidR="004B70F2" w:rsidRPr="00E50AAD" w:rsidRDefault="004B70F2" w:rsidP="00887CF9">
                  <w:pPr>
                    <w:jc w:val="center"/>
                    <w:rPr>
                      <w:b/>
                      <w:lang w:val="en-US"/>
                    </w:rPr>
                  </w:pPr>
                  <w:proofErr w:type="spellStart"/>
                  <w:r w:rsidRPr="00E50AAD">
                    <w:rPr>
                      <w:b/>
                      <w:lang w:val="en-US"/>
                    </w:rPr>
                    <w:t>Analizoare</w:t>
                  </w:r>
                  <w:proofErr w:type="spellEnd"/>
                  <w:r w:rsidRPr="00E50AAD">
                    <w:rPr>
                      <w:b/>
                      <w:lang w:val="en-US"/>
                    </w:rPr>
                    <w:t xml:space="preserve"> </w:t>
                  </w:r>
                  <w:proofErr w:type="spellStart"/>
                  <w:r w:rsidRPr="00E50AAD">
                    <w:rPr>
                      <w:b/>
                      <w:lang w:val="en-US"/>
                    </w:rPr>
                    <w:t>defecte</w:t>
                  </w:r>
                  <w:proofErr w:type="spellEnd"/>
                </w:p>
              </w:txbxContent>
            </v:textbox>
          </v:shape>
        </w:pict>
      </w:r>
      <w:r w:rsidR="00887CF9">
        <w:rPr>
          <w:noProof/>
          <w:lang w:eastAsia="ro-RO"/>
        </w:rPr>
        <w:drawing>
          <wp:inline distT="0" distB="0" distL="0" distR="0">
            <wp:extent cx="5238750" cy="1676400"/>
            <wp:effectExtent l="0" t="0" r="0" b="0"/>
            <wp:docPr id="1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7CF9" w:rsidRPr="00BF6FD0" w:rsidRDefault="00887CF9" w:rsidP="00887CF9">
      <w:pPr>
        <w:jc w:val="center"/>
      </w:pPr>
    </w:p>
    <w:p w:rsidR="00887CF9" w:rsidRPr="00BF6FD0" w:rsidRDefault="00887CF9" w:rsidP="00887CF9">
      <w:pPr>
        <w:jc w:val="center"/>
        <w:rPr>
          <w:sz w:val="28"/>
          <w:szCs w:val="28"/>
        </w:rPr>
      </w:pPr>
      <w:r w:rsidRPr="00BF6FD0">
        <w:rPr>
          <w:sz w:val="28"/>
          <w:szCs w:val="28"/>
        </w:rPr>
        <w:t>Staţia BR-3 FOND SUBURBAN adresa: Sat Cazasu</w:t>
      </w:r>
    </w:p>
    <w:p w:rsidR="00887CF9" w:rsidRPr="00BF6FD0" w:rsidRDefault="00F34ACE" w:rsidP="00887CF9">
      <w:pPr>
        <w:jc w:val="center"/>
      </w:pPr>
      <w:r>
        <w:rPr>
          <w:noProof/>
          <w:lang w:eastAsia="ro-RO"/>
        </w:rPr>
        <w:pict>
          <v:shape id="_x0000_s1529" type="#_x0000_t202" style="position:absolute;left:0;text-align:left;margin-left:117pt;margin-top:45.9pt;width:301.15pt;height:23.25pt;z-index:251663360" fillcolor="red" stroked="f">
            <v:textbox>
              <w:txbxContent>
                <w:p w:rsidR="004B70F2" w:rsidRPr="008261E8" w:rsidRDefault="004B70F2" w:rsidP="00887CF9">
                  <w:pPr>
                    <w:jc w:val="center"/>
                    <w:rPr>
                      <w:b/>
                    </w:rPr>
                  </w:pPr>
                  <w:r w:rsidRPr="008261E8">
                    <w:rPr>
                      <w:b/>
                    </w:rPr>
                    <w:t>Analizoare defecte</w:t>
                  </w:r>
                </w:p>
              </w:txbxContent>
            </v:textbox>
          </v:shape>
        </w:pict>
      </w:r>
      <w:r w:rsidR="00887CF9">
        <w:rPr>
          <w:noProof/>
          <w:lang w:eastAsia="ro-RO"/>
        </w:rPr>
        <w:drawing>
          <wp:inline distT="0" distB="0" distL="0" distR="0">
            <wp:extent cx="5257800" cy="1743075"/>
            <wp:effectExtent l="0" t="0" r="0" b="0"/>
            <wp:docPr id="10"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7CF9" w:rsidRPr="00BF6FD0" w:rsidRDefault="00887CF9" w:rsidP="00887CF9">
      <w:pPr>
        <w:jc w:val="center"/>
      </w:pPr>
    </w:p>
    <w:p w:rsidR="00887CF9" w:rsidRPr="00BF6FD0" w:rsidRDefault="00887CF9" w:rsidP="00887CF9">
      <w:pPr>
        <w:jc w:val="center"/>
        <w:rPr>
          <w:sz w:val="28"/>
          <w:szCs w:val="28"/>
        </w:rPr>
      </w:pPr>
      <w:r w:rsidRPr="00BF6FD0">
        <w:rPr>
          <w:sz w:val="28"/>
          <w:szCs w:val="28"/>
        </w:rPr>
        <w:t>Staţia BR-4 INDUSTRIAL 1 adresa: Şoseaua Baldovineşti nr. 22, Brăila</w:t>
      </w:r>
    </w:p>
    <w:p w:rsidR="00887CF9" w:rsidRPr="00BF6FD0" w:rsidRDefault="00F34ACE" w:rsidP="00887CF9">
      <w:pPr>
        <w:jc w:val="center"/>
      </w:pPr>
      <w:r>
        <w:rPr>
          <w:noProof/>
          <w:lang w:eastAsia="ro-RO"/>
        </w:rPr>
        <w:pict>
          <v:shape id="_x0000_s1530" type="#_x0000_t202" style="position:absolute;left:0;text-align:left;margin-left:117pt;margin-top:43.65pt;width:301.15pt;height:23.25pt;z-index:251664384" fillcolor="red" stroked="f">
            <v:textbox>
              <w:txbxContent>
                <w:p w:rsidR="004B70F2" w:rsidRPr="008261E8" w:rsidRDefault="004B70F2" w:rsidP="00887CF9">
                  <w:pPr>
                    <w:jc w:val="center"/>
                    <w:rPr>
                      <w:b/>
                    </w:rPr>
                  </w:pPr>
                  <w:r w:rsidRPr="008261E8">
                    <w:rPr>
                      <w:b/>
                    </w:rPr>
                    <w:t>Analizoare defecte</w:t>
                  </w:r>
                </w:p>
              </w:txbxContent>
            </v:textbox>
          </v:shape>
        </w:pict>
      </w:r>
      <w:r w:rsidR="00887CF9">
        <w:rPr>
          <w:noProof/>
          <w:lang w:eastAsia="ro-RO"/>
        </w:rPr>
        <w:drawing>
          <wp:inline distT="0" distB="0" distL="0" distR="0">
            <wp:extent cx="5314950" cy="1790700"/>
            <wp:effectExtent l="0" t="0" r="0" b="0"/>
            <wp:docPr id="9"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CF9" w:rsidRPr="00BF6FD0" w:rsidRDefault="00887CF9" w:rsidP="00887CF9">
      <w:pPr>
        <w:jc w:val="center"/>
      </w:pPr>
    </w:p>
    <w:p w:rsidR="00887CF9" w:rsidRPr="00BF6FD0" w:rsidRDefault="00887CF9" w:rsidP="00887CF9">
      <w:pPr>
        <w:jc w:val="center"/>
        <w:rPr>
          <w:sz w:val="28"/>
          <w:szCs w:val="28"/>
        </w:rPr>
      </w:pPr>
      <w:r w:rsidRPr="00BF6FD0">
        <w:rPr>
          <w:sz w:val="28"/>
          <w:szCs w:val="28"/>
        </w:rPr>
        <w:t>Staţia BR-5 INDUSTRIAL 2 adresa Sat Chiscani:</w:t>
      </w:r>
    </w:p>
    <w:p w:rsidR="007E5A00" w:rsidRDefault="00F34ACE" w:rsidP="00887CF9">
      <w:pPr>
        <w:pStyle w:val="Heading1"/>
        <w:rPr>
          <w:sz w:val="28"/>
          <w:szCs w:val="28"/>
        </w:rPr>
      </w:pPr>
      <w:r w:rsidRPr="00F34ACE">
        <w:rPr>
          <w:noProof/>
          <w:lang w:eastAsia="ro-RO"/>
        </w:rPr>
        <w:lastRenderedPageBreak/>
        <w:pict>
          <v:shape id="_x0000_s1531" type="#_x0000_t202" style="position:absolute;left:0;text-align:left;margin-left:136.5pt;margin-top:54.15pt;width:289.65pt;height:21pt;z-index:251665408" fillcolor="red" stroked="f">
            <v:textbox>
              <w:txbxContent>
                <w:p w:rsidR="004B70F2" w:rsidRPr="008261E8" w:rsidRDefault="004B70F2" w:rsidP="00887CF9">
                  <w:pPr>
                    <w:jc w:val="center"/>
                    <w:rPr>
                      <w:b/>
                    </w:rPr>
                  </w:pPr>
                  <w:r w:rsidRPr="008261E8">
                    <w:rPr>
                      <w:b/>
                    </w:rPr>
                    <w:t>Analizoare defecte</w:t>
                  </w:r>
                </w:p>
              </w:txbxContent>
            </v:textbox>
          </v:shape>
        </w:pict>
      </w:r>
      <w:r w:rsidR="00887CF9">
        <w:rPr>
          <w:noProof/>
          <w:lang w:eastAsia="ro-RO"/>
        </w:rPr>
        <w:drawing>
          <wp:inline distT="0" distB="0" distL="0" distR="0">
            <wp:extent cx="5381625" cy="1800225"/>
            <wp:effectExtent l="0" t="0" r="0" b="0"/>
            <wp:docPr id="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4B70F2">
      <w:pPr>
        <w:jc w:val="both"/>
        <w:rPr>
          <w:b/>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695213" w:rsidRDefault="004777F6" w:rsidP="004B70F2">
      <w:pPr>
        <w:ind w:firstLine="708"/>
        <w:rPr>
          <w:bCs/>
          <w:sz w:val="28"/>
          <w:szCs w:val="28"/>
          <w:lang w:val="pt-BR"/>
        </w:rPr>
      </w:pPr>
      <w:r>
        <w:rPr>
          <w:sz w:val="28"/>
          <w:szCs w:val="28"/>
          <w:lang w:val="pt-BR"/>
        </w:rPr>
        <w:t>În luna noiembrie 2015 nu s-au prelevat probe de sol, conform programului de monitorizare.</w:t>
      </w:r>
    </w:p>
    <w:p w:rsidR="00282BAF" w:rsidRPr="00282BAF" w:rsidRDefault="004B015F" w:rsidP="00282BAF">
      <w:pPr>
        <w:pStyle w:val="Heading1"/>
      </w:pPr>
      <w:r w:rsidRPr="00515807">
        <w:rPr>
          <w:sz w:val="28"/>
          <w:szCs w:val="28"/>
        </w:rPr>
        <w:t>CAPITOLUL 5</w:t>
      </w:r>
    </w:p>
    <w:p w:rsidR="00A82994" w:rsidRDefault="004C7EDD" w:rsidP="00282BAF">
      <w:pPr>
        <w:pStyle w:val="Heading1"/>
        <w:rPr>
          <w:sz w:val="28"/>
          <w:szCs w:val="28"/>
        </w:rPr>
      </w:pPr>
      <w:r w:rsidRPr="00515807">
        <w:rPr>
          <w:sz w:val="28"/>
          <w:szCs w:val="28"/>
        </w:rPr>
        <w:t>REŢEAUA DE SUPRAVEGHERE A ZGOMOTULUI URBAN</w:t>
      </w:r>
      <w:r w:rsidR="00E964B9" w:rsidRPr="00851F44">
        <w:rPr>
          <w:sz w:val="28"/>
          <w:szCs w:val="28"/>
        </w:rPr>
        <w:t xml:space="preserve"> </w:t>
      </w:r>
    </w:p>
    <w:p w:rsidR="00282BAF" w:rsidRPr="00282BAF" w:rsidRDefault="00282BAF" w:rsidP="00282BAF"/>
    <w:p w:rsidR="00A82994" w:rsidRDefault="00A82994" w:rsidP="00282BAF">
      <w:pPr>
        <w:ind w:firstLine="720"/>
        <w:rPr>
          <w:sz w:val="28"/>
          <w:szCs w:val="28"/>
        </w:rPr>
      </w:pPr>
      <w:r w:rsidRPr="00A82994">
        <w:rPr>
          <w:sz w:val="28"/>
          <w:szCs w:val="28"/>
        </w:rPr>
        <w:t xml:space="preserve">Conform planificării anuale în luna </w:t>
      </w:r>
      <w:r w:rsidR="00DD4A08">
        <w:rPr>
          <w:sz w:val="28"/>
          <w:szCs w:val="28"/>
        </w:rPr>
        <w:t>n</w:t>
      </w:r>
      <w:r w:rsidR="004777F6">
        <w:rPr>
          <w:sz w:val="28"/>
          <w:szCs w:val="28"/>
        </w:rPr>
        <w:t>oiem</w:t>
      </w:r>
      <w:r w:rsidR="008B43ED">
        <w:rPr>
          <w:sz w:val="28"/>
          <w:szCs w:val="28"/>
        </w:rPr>
        <w:t xml:space="preserve">brie </w:t>
      </w:r>
      <w:r w:rsidRPr="00A82994">
        <w:rPr>
          <w:sz w:val="28"/>
          <w:szCs w:val="28"/>
        </w:rPr>
        <w:t>nu s-au efectuat determinări.</w:t>
      </w:r>
    </w:p>
    <w:p w:rsidR="00282BAF" w:rsidRDefault="00282BAF"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0D3193">
      <w:pPr>
        <w:pStyle w:val="Heading1"/>
        <w:rPr>
          <w:sz w:val="28"/>
          <w:szCs w:val="28"/>
        </w:rPr>
      </w:pPr>
      <w:r w:rsidRPr="00515807">
        <w:rPr>
          <w:sz w:val="28"/>
          <w:szCs w:val="28"/>
        </w:rPr>
        <w:t>PROTECŢIA NATURII ŞI ARII PROTEJATE</w:t>
      </w:r>
    </w:p>
    <w:p w:rsidR="000D3193" w:rsidRPr="000D3193" w:rsidRDefault="000D3193" w:rsidP="000D3193"/>
    <w:p w:rsidR="0082121E" w:rsidRPr="002043A4" w:rsidRDefault="0082121E" w:rsidP="0082121E">
      <w:pPr>
        <w:numPr>
          <w:ilvl w:val="0"/>
          <w:numId w:val="24"/>
        </w:numPr>
        <w:ind w:left="426"/>
        <w:jc w:val="both"/>
        <w:rPr>
          <w:sz w:val="28"/>
          <w:szCs w:val="28"/>
        </w:rPr>
      </w:pPr>
      <w:r w:rsidRPr="002043A4">
        <w:rPr>
          <w:sz w:val="28"/>
          <w:szCs w:val="28"/>
        </w:rPr>
        <w:t xml:space="preserve">Colaborare cu Serviciul Avize Acorduri Autorizaţii pentru elaborarea actelor de reglementare: s-au analizat 4 documentaţii pentru emitere acte de reglementare și s-a emis un punct de vedere: </w:t>
      </w:r>
    </w:p>
    <w:p w:rsidR="0082121E" w:rsidRPr="002043A4" w:rsidRDefault="0082121E" w:rsidP="0082121E">
      <w:pPr>
        <w:numPr>
          <w:ilvl w:val="0"/>
          <w:numId w:val="20"/>
        </w:numPr>
        <w:jc w:val="both"/>
        <w:rPr>
          <w:sz w:val="28"/>
          <w:szCs w:val="28"/>
        </w:rPr>
      </w:pPr>
      <w:r w:rsidRPr="002043A4">
        <w:rPr>
          <w:sz w:val="28"/>
          <w:szCs w:val="28"/>
        </w:rPr>
        <w:t>un plande urbanism general, la care s-au  făcut observaţii în cadrul  şedinţei grupului de lucru în carul evaluării  strategice de mediu .</w:t>
      </w:r>
    </w:p>
    <w:p w:rsidR="0082121E" w:rsidRPr="004B70F2" w:rsidRDefault="0082121E" w:rsidP="0082121E">
      <w:pPr>
        <w:numPr>
          <w:ilvl w:val="0"/>
          <w:numId w:val="20"/>
        </w:numPr>
        <w:jc w:val="both"/>
        <w:rPr>
          <w:sz w:val="28"/>
          <w:szCs w:val="28"/>
        </w:rPr>
      </w:pPr>
      <w:r w:rsidRPr="004B70F2">
        <w:rPr>
          <w:sz w:val="28"/>
          <w:szCs w:val="28"/>
        </w:rPr>
        <w:t>S-a analizat variant a II a a planurilor</w:t>
      </w:r>
      <w:r w:rsidRPr="004B70F2">
        <w:rPr>
          <w:b/>
          <w:sz w:val="28"/>
          <w:szCs w:val="28"/>
        </w:rPr>
        <w:t xml:space="preserve"> </w:t>
      </w:r>
      <w:r w:rsidRPr="004B70F2">
        <w:rPr>
          <w:sz w:val="28"/>
          <w:szCs w:val="28"/>
        </w:rPr>
        <w:t>de management pentru 3 arii protejate: ROSPA0006 Balta Tătaru, ROSPA 0077 Măxineni și ROSPA 0048 Ianca Plopu Sărat  notificate de</w:t>
      </w:r>
      <w:r w:rsidRPr="004B70F2">
        <w:rPr>
          <w:b/>
          <w:sz w:val="28"/>
          <w:szCs w:val="28"/>
        </w:rPr>
        <w:t xml:space="preserve"> </w:t>
      </w:r>
      <w:r w:rsidRPr="004B70F2">
        <w:rPr>
          <w:sz w:val="28"/>
          <w:szCs w:val="28"/>
        </w:rPr>
        <w:t>Asociația OTUS</w:t>
      </w:r>
      <w:r w:rsidRPr="004B70F2">
        <w:rPr>
          <w:b/>
          <w:sz w:val="28"/>
          <w:szCs w:val="28"/>
        </w:rPr>
        <w:t xml:space="preserve"> </w:t>
      </w:r>
      <w:r w:rsidRPr="004B70F2">
        <w:rPr>
          <w:sz w:val="28"/>
          <w:szCs w:val="28"/>
        </w:rPr>
        <w:t>Odorheiul Secuiesc, elaborate în cadrul proiectului  ”</w:t>
      </w:r>
      <w:r w:rsidRPr="004B70F2">
        <w:rPr>
          <w:i/>
          <w:sz w:val="28"/>
          <w:szCs w:val="28"/>
        </w:rPr>
        <w:t>Elaborarea stării de conservare a ariilor de protecţie specială avifaunistice ROSPA0006, ROSPA0038, ROSPA0048, ROSPA0077, ROSPA0058 şi ROSPA0064, cod SMIS 36408</w:t>
      </w:r>
      <w:r w:rsidRPr="004B70F2">
        <w:rPr>
          <w:sz w:val="28"/>
          <w:szCs w:val="28"/>
        </w:rPr>
        <w:t xml:space="preserve">” finanțat prin POS Mediu-axa prioritară IV-Protecția naturii, </w:t>
      </w:r>
      <w:r w:rsidR="004B70F2" w:rsidRPr="004B70F2">
        <w:rPr>
          <w:sz w:val="28"/>
          <w:szCs w:val="28"/>
        </w:rPr>
        <w:t>î</w:t>
      </w:r>
      <w:r w:rsidRPr="004B70F2">
        <w:rPr>
          <w:sz w:val="28"/>
          <w:szCs w:val="28"/>
        </w:rPr>
        <w:t xml:space="preserve">n cadrul procedurii SEA </w:t>
      </w:r>
      <w:r w:rsidR="004B70F2" w:rsidRPr="004B70F2">
        <w:rPr>
          <w:sz w:val="28"/>
          <w:szCs w:val="28"/>
        </w:rPr>
        <w:t>.</w:t>
      </w:r>
    </w:p>
    <w:p w:rsidR="0082121E" w:rsidRPr="002043A4" w:rsidRDefault="0082121E" w:rsidP="0082121E">
      <w:pPr>
        <w:numPr>
          <w:ilvl w:val="0"/>
          <w:numId w:val="5"/>
        </w:numPr>
        <w:tabs>
          <w:tab w:val="clear" w:pos="360"/>
        </w:tabs>
        <w:ind w:left="374"/>
        <w:jc w:val="both"/>
        <w:rPr>
          <w:sz w:val="28"/>
          <w:szCs w:val="28"/>
        </w:rPr>
      </w:pPr>
      <w:r w:rsidRPr="002043A4">
        <w:rPr>
          <w:sz w:val="28"/>
          <w:szCs w:val="28"/>
        </w:rPr>
        <w:t xml:space="preserve">S-a continuat introducerea datelor in aplicatia SIM –secţiunea Conservarea Naturii, pe modulul grădini zoologice;. </w:t>
      </w:r>
    </w:p>
    <w:p w:rsidR="0082121E" w:rsidRPr="002043A4" w:rsidRDefault="0082121E" w:rsidP="0082121E">
      <w:pPr>
        <w:numPr>
          <w:ilvl w:val="0"/>
          <w:numId w:val="5"/>
        </w:numPr>
        <w:tabs>
          <w:tab w:val="clear" w:pos="360"/>
        </w:tabs>
        <w:ind w:left="374"/>
        <w:jc w:val="both"/>
        <w:rPr>
          <w:sz w:val="28"/>
          <w:szCs w:val="28"/>
        </w:rPr>
      </w:pPr>
      <w:r w:rsidRPr="002043A4">
        <w:rPr>
          <w:sz w:val="28"/>
          <w:szCs w:val="28"/>
        </w:rPr>
        <w:t xml:space="preserve">S-au întocmit capitolele corespunzătoare domeniului din Raportul Fişa judeţului şi Raportul anual Starea Factorilor de Mediu în Judeţul Brăila. </w:t>
      </w:r>
    </w:p>
    <w:p w:rsidR="00282BAF" w:rsidRPr="002723E3" w:rsidRDefault="00282BAF" w:rsidP="00282BAF">
      <w:pPr>
        <w:ind w:left="374"/>
        <w:jc w:val="both"/>
        <w:rPr>
          <w:sz w:val="28"/>
          <w:szCs w:val="28"/>
          <w:highlight w:val="yellow"/>
        </w:rPr>
      </w:pPr>
    </w:p>
    <w:p w:rsidR="00546B45" w:rsidRPr="0082121E" w:rsidRDefault="00546B45" w:rsidP="00546B45">
      <w:pPr>
        <w:jc w:val="both"/>
        <w:rPr>
          <w:b/>
          <w:color w:val="000000" w:themeColor="text1"/>
          <w:sz w:val="28"/>
          <w:szCs w:val="28"/>
          <w:u w:val="single"/>
        </w:rPr>
      </w:pPr>
      <w:r w:rsidRPr="0082121E">
        <w:rPr>
          <w:b/>
          <w:color w:val="000000" w:themeColor="text1"/>
          <w:sz w:val="28"/>
          <w:szCs w:val="28"/>
          <w:u w:val="single"/>
        </w:rPr>
        <w:t>DOMENIUL SOL</w:t>
      </w:r>
      <w:r w:rsidR="004B70F2">
        <w:rPr>
          <w:b/>
          <w:color w:val="000000" w:themeColor="text1"/>
          <w:sz w:val="28"/>
          <w:szCs w:val="28"/>
          <w:u w:val="single"/>
        </w:rPr>
        <w:t xml:space="preserve"> </w:t>
      </w:r>
      <w:r w:rsidRPr="0082121E">
        <w:rPr>
          <w:b/>
          <w:color w:val="000000" w:themeColor="text1"/>
          <w:sz w:val="28"/>
          <w:szCs w:val="28"/>
          <w:u w:val="single"/>
        </w:rPr>
        <w:t>-</w:t>
      </w:r>
      <w:r w:rsidR="004B70F2">
        <w:rPr>
          <w:b/>
          <w:color w:val="000000" w:themeColor="text1"/>
          <w:sz w:val="28"/>
          <w:szCs w:val="28"/>
          <w:u w:val="single"/>
        </w:rPr>
        <w:t xml:space="preserve"> </w:t>
      </w:r>
      <w:r w:rsidRPr="0082121E">
        <w:rPr>
          <w:b/>
          <w:color w:val="000000" w:themeColor="text1"/>
          <w:sz w:val="28"/>
          <w:szCs w:val="28"/>
          <w:u w:val="single"/>
        </w:rPr>
        <w:t>SUBSOL</w:t>
      </w:r>
    </w:p>
    <w:p w:rsidR="0082121E" w:rsidRPr="002043A4" w:rsidRDefault="0082121E" w:rsidP="0082121E">
      <w:pPr>
        <w:numPr>
          <w:ilvl w:val="0"/>
          <w:numId w:val="5"/>
        </w:numPr>
        <w:tabs>
          <w:tab w:val="clear" w:pos="360"/>
        </w:tabs>
        <w:ind w:left="374"/>
        <w:jc w:val="both"/>
        <w:rPr>
          <w:sz w:val="28"/>
          <w:szCs w:val="28"/>
        </w:rPr>
      </w:pPr>
      <w:r w:rsidRPr="002043A4">
        <w:rPr>
          <w:sz w:val="28"/>
          <w:szCs w:val="28"/>
        </w:rPr>
        <w:lastRenderedPageBreak/>
        <w:t xml:space="preserve">Colaborare cu Serviciul Avize Acorduri Autorizaţii pentru elaborarea actelor de reglementare: s-au  analizat două documentații și au fost emise două puncte de vedere pentru un proiect de desființare instalații din cadrul unui parc petrolier și pentru </w:t>
      </w:r>
      <w:r w:rsidRPr="002043A4">
        <w:rPr>
          <w:sz w:val="28"/>
          <w:szCs w:val="28"/>
          <w:lang w:val="pt-BR"/>
        </w:rPr>
        <w:t>stabilirea obligațiilor de mediu pentru Societatea Complexul Energetic Oltenia SA Sucursala Electrocentrale Chiscani în cazul procedurii de vânzare de active.</w:t>
      </w:r>
    </w:p>
    <w:p w:rsidR="0082121E" w:rsidRPr="002043A4" w:rsidRDefault="0082121E" w:rsidP="0082121E">
      <w:pPr>
        <w:jc w:val="both"/>
        <w:rPr>
          <w:sz w:val="28"/>
          <w:szCs w:val="28"/>
          <w:lang w:val="pt-BR"/>
        </w:rPr>
      </w:pPr>
      <w:r w:rsidRPr="002043A4">
        <w:rPr>
          <w:sz w:val="28"/>
          <w:szCs w:val="28"/>
          <w:lang w:val="pt-BR"/>
        </w:rPr>
        <w:t>S-a efectuat o verificare în teren  la OMV PETROM SA, împreună cu reprezentanții ANPM, ca urmare a solicitării unui punct de vedere referitor la propunerea societății privind conceptul de investigare și evaluare a gradului de poluare a solului de pe amplasamentul unui fost depozit de produse petroliere.</w:t>
      </w:r>
    </w:p>
    <w:p w:rsidR="0082121E" w:rsidRPr="002043A4" w:rsidRDefault="0082121E" w:rsidP="0082121E">
      <w:pPr>
        <w:numPr>
          <w:ilvl w:val="0"/>
          <w:numId w:val="5"/>
        </w:numPr>
        <w:tabs>
          <w:tab w:val="clear" w:pos="360"/>
        </w:tabs>
        <w:ind w:left="374"/>
        <w:jc w:val="both"/>
        <w:rPr>
          <w:sz w:val="28"/>
          <w:szCs w:val="28"/>
        </w:rPr>
      </w:pPr>
      <w:r w:rsidRPr="002043A4">
        <w:rPr>
          <w:sz w:val="28"/>
          <w:szCs w:val="28"/>
        </w:rPr>
        <w:t xml:space="preserve">S-au întocmit capitolele corespunzătoare domeniului din Raportul Fişa judeţului şi Raportul anual Starea Factorilor de Mediu în Judeţul Brăila. </w:t>
      </w:r>
    </w:p>
    <w:p w:rsidR="00F02433" w:rsidRDefault="00F02433" w:rsidP="00546B45">
      <w:pPr>
        <w:jc w:val="center"/>
        <w:rPr>
          <w:b/>
          <w:sz w:val="28"/>
          <w:szCs w:val="28"/>
        </w:rPr>
      </w:pPr>
    </w:p>
    <w:p w:rsidR="00282BAF" w:rsidRPr="006A75E7" w:rsidRDefault="00546B45" w:rsidP="00546B45">
      <w:pPr>
        <w:jc w:val="center"/>
        <w:rPr>
          <w:b/>
          <w:sz w:val="28"/>
          <w:szCs w:val="28"/>
          <w:highlight w:val="yellow"/>
        </w:rPr>
      </w:pPr>
      <w:r w:rsidRPr="001635FE">
        <w:rPr>
          <w:b/>
          <w:sz w:val="28"/>
          <w:szCs w:val="28"/>
        </w:rPr>
        <w:t>CAPITOLUL 7</w:t>
      </w:r>
    </w:p>
    <w:p w:rsidR="00546B45" w:rsidRPr="001635FE" w:rsidRDefault="00546B45" w:rsidP="00546B45">
      <w:pPr>
        <w:jc w:val="both"/>
        <w:rPr>
          <w:b/>
          <w:sz w:val="28"/>
          <w:szCs w:val="28"/>
          <w:u w:val="single"/>
        </w:rPr>
      </w:pPr>
      <w:r w:rsidRPr="001635FE">
        <w:rPr>
          <w:b/>
          <w:sz w:val="28"/>
          <w:szCs w:val="28"/>
          <w:u w:val="single"/>
        </w:rPr>
        <w:t>DOMENIUL DEŞEURI ŞI CHIMICALE</w:t>
      </w:r>
    </w:p>
    <w:p w:rsidR="0082121E" w:rsidRPr="002043A4" w:rsidRDefault="0082121E" w:rsidP="0082121E">
      <w:pPr>
        <w:numPr>
          <w:ilvl w:val="0"/>
          <w:numId w:val="5"/>
        </w:numPr>
        <w:tabs>
          <w:tab w:val="clear" w:pos="360"/>
        </w:tabs>
        <w:ind w:left="374"/>
        <w:jc w:val="both"/>
        <w:rPr>
          <w:sz w:val="28"/>
          <w:szCs w:val="28"/>
        </w:rPr>
      </w:pPr>
      <w:r w:rsidRPr="002043A4">
        <w:rPr>
          <w:sz w:val="28"/>
          <w:szCs w:val="28"/>
        </w:rPr>
        <w:t xml:space="preserve">Colaborare cu Serviciul Avize Acorduri Autorizaţii pentru elaborarea actelor de reglementare: au fost analizate 4 documentaţii la care s-au  făcut observaţii în cadrul  şedinţelor CSC şi CAT și s-au emis 4 puncte de vedere cu privire la depozitarea unor deșeuri din județele Brăila și Vrancea la </w:t>
      </w:r>
      <w:r w:rsidRPr="002043A4">
        <w:rPr>
          <w:sz w:val="28"/>
          <w:szCs w:val="28"/>
          <w:lang w:val="pt-BR"/>
        </w:rPr>
        <w:t>depozitul de deșeuri nepericuloase Muchea administrat de SC Tracon SRL.</w:t>
      </w:r>
    </w:p>
    <w:p w:rsidR="0082121E" w:rsidRPr="002043A4" w:rsidRDefault="0082121E" w:rsidP="0082121E">
      <w:pPr>
        <w:numPr>
          <w:ilvl w:val="0"/>
          <w:numId w:val="5"/>
        </w:numPr>
        <w:ind w:left="374"/>
        <w:jc w:val="both"/>
        <w:rPr>
          <w:sz w:val="28"/>
          <w:szCs w:val="28"/>
        </w:rPr>
      </w:pPr>
      <w:r w:rsidRPr="002043A4">
        <w:rPr>
          <w:sz w:val="28"/>
          <w:szCs w:val="28"/>
        </w:rPr>
        <w:t xml:space="preserve">Au fost validate şi aprobate 55 formulare pentru transportul de deşeuri periculoase care se valorifică/reciclează/elimină în instalaţii din judeţul Brăila, conform </w:t>
      </w:r>
      <w:r w:rsidRPr="002043A4">
        <w:rPr>
          <w:i/>
          <w:sz w:val="28"/>
          <w:szCs w:val="28"/>
        </w:rPr>
        <w:t>HG 1061/2008, pentru aprobarea Procedurii de reglementare şi control al transportului deşeurilor pe teritoriul României</w:t>
      </w:r>
      <w:r w:rsidRPr="002043A4">
        <w:rPr>
          <w:sz w:val="28"/>
          <w:szCs w:val="28"/>
        </w:rPr>
        <w:t>, pentru SC SETCAR SA și OMV PETROM SA ASSET IX.                   S-au înregistrat în baza de date 6 formulare de expediţie/transport substanţe periculoase.</w:t>
      </w:r>
    </w:p>
    <w:p w:rsidR="0082121E" w:rsidRPr="002043A4" w:rsidRDefault="0082121E" w:rsidP="0082121E">
      <w:pPr>
        <w:numPr>
          <w:ilvl w:val="0"/>
          <w:numId w:val="5"/>
        </w:numPr>
        <w:tabs>
          <w:tab w:val="clear" w:pos="360"/>
        </w:tabs>
        <w:ind w:left="374"/>
        <w:jc w:val="both"/>
        <w:rPr>
          <w:sz w:val="28"/>
          <w:szCs w:val="28"/>
        </w:rPr>
      </w:pPr>
      <w:r w:rsidRPr="002043A4">
        <w:rPr>
          <w:sz w:val="28"/>
          <w:szCs w:val="28"/>
        </w:rPr>
        <w:t>S-au colectat, validat şi prelucrat datele şi informaţiile necesare, s-au întocmit inventarele specifice şi s-au făcut raportările corespunzătoare privind:</w:t>
      </w:r>
    </w:p>
    <w:p w:rsidR="0082121E" w:rsidRPr="002043A4" w:rsidRDefault="0082121E" w:rsidP="0082121E">
      <w:pPr>
        <w:numPr>
          <w:ilvl w:val="1"/>
          <w:numId w:val="6"/>
        </w:numPr>
        <w:tabs>
          <w:tab w:val="clear" w:pos="1440"/>
          <w:tab w:val="num" w:pos="927"/>
        </w:tabs>
        <w:ind w:left="935"/>
        <w:jc w:val="both"/>
        <w:rPr>
          <w:sz w:val="28"/>
          <w:szCs w:val="28"/>
        </w:rPr>
      </w:pPr>
      <w:r w:rsidRPr="002043A4">
        <w:rPr>
          <w:sz w:val="28"/>
          <w:szCs w:val="28"/>
        </w:rPr>
        <w:t>fluxul deşeurilor;</w:t>
      </w:r>
    </w:p>
    <w:p w:rsidR="0082121E" w:rsidRPr="002043A4" w:rsidRDefault="0082121E" w:rsidP="0082121E">
      <w:pPr>
        <w:numPr>
          <w:ilvl w:val="1"/>
          <w:numId w:val="6"/>
        </w:numPr>
        <w:tabs>
          <w:tab w:val="clear" w:pos="1440"/>
          <w:tab w:val="num" w:pos="927"/>
        </w:tabs>
        <w:ind w:left="935"/>
        <w:jc w:val="both"/>
        <w:rPr>
          <w:sz w:val="28"/>
          <w:szCs w:val="28"/>
        </w:rPr>
      </w:pPr>
      <w:r w:rsidRPr="002043A4">
        <w:rPr>
          <w:sz w:val="28"/>
          <w:szCs w:val="28"/>
        </w:rPr>
        <w:t>firme autorizate pentru colectare/tratare vehicule scoase din uz - actualizarea listei operatorilor economici;</w:t>
      </w:r>
    </w:p>
    <w:p w:rsidR="0082121E" w:rsidRPr="002043A4" w:rsidRDefault="0082121E" w:rsidP="0082121E">
      <w:pPr>
        <w:numPr>
          <w:ilvl w:val="1"/>
          <w:numId w:val="6"/>
        </w:numPr>
        <w:tabs>
          <w:tab w:val="clear" w:pos="1440"/>
          <w:tab w:val="num" w:pos="927"/>
        </w:tabs>
        <w:ind w:left="935"/>
        <w:jc w:val="both"/>
        <w:rPr>
          <w:sz w:val="28"/>
          <w:szCs w:val="28"/>
        </w:rPr>
      </w:pPr>
      <w:r w:rsidRPr="002043A4">
        <w:rPr>
          <w:sz w:val="28"/>
          <w:szCs w:val="28"/>
        </w:rPr>
        <w:t>firme autorizate pentru transportul de deşeuri medicale;</w:t>
      </w:r>
    </w:p>
    <w:p w:rsidR="0082121E" w:rsidRPr="002043A4" w:rsidRDefault="0082121E" w:rsidP="0082121E">
      <w:pPr>
        <w:numPr>
          <w:ilvl w:val="1"/>
          <w:numId w:val="6"/>
        </w:numPr>
        <w:tabs>
          <w:tab w:val="clear" w:pos="1440"/>
          <w:tab w:val="num" w:pos="927"/>
        </w:tabs>
        <w:ind w:left="927"/>
        <w:jc w:val="both"/>
        <w:rPr>
          <w:sz w:val="28"/>
          <w:szCs w:val="28"/>
        </w:rPr>
      </w:pPr>
      <w:r w:rsidRPr="002043A4">
        <w:rPr>
          <w:sz w:val="28"/>
          <w:szCs w:val="28"/>
        </w:rPr>
        <w:t>firme autorizate pentru colectare/tratare DEEE – trim III</w:t>
      </w:r>
    </w:p>
    <w:p w:rsidR="0082121E" w:rsidRPr="002043A4" w:rsidRDefault="0082121E" w:rsidP="0082121E">
      <w:pPr>
        <w:numPr>
          <w:ilvl w:val="1"/>
          <w:numId w:val="6"/>
        </w:numPr>
        <w:tabs>
          <w:tab w:val="clear" w:pos="1440"/>
          <w:tab w:val="num" w:pos="927"/>
        </w:tabs>
        <w:ind w:left="935"/>
        <w:jc w:val="both"/>
        <w:rPr>
          <w:sz w:val="28"/>
          <w:szCs w:val="28"/>
        </w:rPr>
      </w:pPr>
      <w:r w:rsidRPr="002043A4">
        <w:rPr>
          <w:sz w:val="28"/>
          <w:szCs w:val="28"/>
        </w:rPr>
        <w:t>capitolele corespunzătoare domeniului din raportul lunar Fişa judeţului;</w:t>
      </w:r>
    </w:p>
    <w:p w:rsidR="0082121E" w:rsidRPr="002043A4" w:rsidRDefault="0082121E" w:rsidP="0082121E">
      <w:pPr>
        <w:numPr>
          <w:ilvl w:val="0"/>
          <w:numId w:val="5"/>
        </w:numPr>
        <w:ind w:left="374"/>
        <w:jc w:val="both"/>
        <w:rPr>
          <w:i/>
          <w:sz w:val="28"/>
          <w:szCs w:val="28"/>
        </w:rPr>
      </w:pPr>
      <w:r w:rsidRPr="002043A4">
        <w:rPr>
          <w:sz w:val="28"/>
          <w:szCs w:val="28"/>
        </w:rPr>
        <w:t xml:space="preserve">Participare la o acţiune de preluare şi distrugere în cadrul comisiilor de specialitate organizate conform </w:t>
      </w:r>
      <w:r w:rsidRPr="002043A4">
        <w:rPr>
          <w:i/>
          <w:sz w:val="28"/>
          <w:szCs w:val="28"/>
        </w:rPr>
        <w:t xml:space="preserve">OG </w:t>
      </w:r>
      <w:hyperlink r:id="rId18" w:history="1">
        <w:r w:rsidRPr="002043A4">
          <w:rPr>
            <w:bCs/>
            <w:i/>
            <w:sz w:val="28"/>
            <w:szCs w:val="28"/>
          </w:rPr>
          <w:t>14/2007</w:t>
        </w:r>
      </w:hyperlink>
      <w:r w:rsidRPr="002043A4">
        <w:rPr>
          <w:b/>
          <w:bCs/>
          <w:i/>
          <w:sz w:val="28"/>
          <w:szCs w:val="28"/>
        </w:rPr>
        <w:t xml:space="preserve"> </w:t>
      </w:r>
      <w:r w:rsidRPr="002043A4">
        <w:rPr>
          <w:bCs/>
          <w:i/>
          <w:sz w:val="28"/>
          <w:szCs w:val="28"/>
        </w:rPr>
        <w:t>pentru reglementarea modului şi condiţiilor de valorificare a bunurilor intrate, potrivit legii, în proprietatea privată a statului</w:t>
      </w:r>
      <w:r w:rsidRPr="002043A4">
        <w:rPr>
          <w:bCs/>
          <w:sz w:val="28"/>
          <w:szCs w:val="28"/>
        </w:rPr>
        <w:t xml:space="preserve">  </w:t>
      </w:r>
      <w:r w:rsidRPr="002043A4">
        <w:rPr>
          <w:bCs/>
          <w:i/>
          <w:sz w:val="28"/>
          <w:szCs w:val="28"/>
        </w:rPr>
        <w:t xml:space="preserve">şi a normelor metodologice de aplicare stabilite prin </w:t>
      </w:r>
      <w:r w:rsidRPr="002043A4">
        <w:rPr>
          <w:i/>
          <w:sz w:val="28"/>
          <w:szCs w:val="28"/>
        </w:rPr>
        <w:t>HG 371/2007 Republicată.</w:t>
      </w:r>
    </w:p>
    <w:p w:rsidR="0082121E" w:rsidRPr="002043A4" w:rsidRDefault="0082121E" w:rsidP="0082121E">
      <w:pPr>
        <w:numPr>
          <w:ilvl w:val="0"/>
          <w:numId w:val="5"/>
        </w:numPr>
        <w:ind w:left="374"/>
        <w:jc w:val="both"/>
        <w:rPr>
          <w:sz w:val="28"/>
          <w:szCs w:val="28"/>
        </w:rPr>
      </w:pPr>
      <w:r w:rsidRPr="002043A4">
        <w:rPr>
          <w:sz w:val="28"/>
          <w:szCs w:val="28"/>
        </w:rPr>
        <w:t>Au fost acordate operatorilor economici 10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282BAF" w:rsidRPr="006A75E7" w:rsidRDefault="00282BAF" w:rsidP="00546B45">
      <w:pPr>
        <w:ind w:left="374"/>
        <w:jc w:val="both"/>
        <w:rPr>
          <w:b/>
          <w:sz w:val="28"/>
          <w:szCs w:val="28"/>
          <w:highlight w:val="yellow"/>
          <w:u w:val="single"/>
        </w:rPr>
      </w:pPr>
    </w:p>
    <w:p w:rsidR="00D16BC6" w:rsidRDefault="00180687" w:rsidP="006A7EFD">
      <w:pPr>
        <w:pStyle w:val="Heading1"/>
        <w:rPr>
          <w:sz w:val="28"/>
          <w:szCs w:val="28"/>
        </w:rPr>
      </w:pPr>
      <w:r w:rsidRPr="00515807">
        <w:rPr>
          <w:sz w:val="28"/>
          <w:szCs w:val="28"/>
        </w:rPr>
        <w:lastRenderedPageBreak/>
        <w:t>CAPITOLUL 8</w:t>
      </w:r>
    </w:p>
    <w:p w:rsidR="00282BAF" w:rsidRPr="00282BAF" w:rsidRDefault="00282BAF" w:rsidP="00282BAF"/>
    <w:p w:rsidR="00D16BC6" w:rsidRPr="00515807" w:rsidRDefault="00180687" w:rsidP="002E6CD2">
      <w:pPr>
        <w:jc w:val="center"/>
        <w:rPr>
          <w:sz w:val="28"/>
          <w:szCs w:val="28"/>
          <w:lang w:val="it-IT"/>
        </w:rPr>
      </w:pPr>
      <w:r w:rsidRPr="00515807">
        <w:rPr>
          <w:b/>
          <w:bCs/>
          <w:sz w:val="28"/>
          <w:szCs w:val="28"/>
        </w:rPr>
        <w:t>POLUĂRI ACCIDENTALE</w:t>
      </w:r>
    </w:p>
    <w:p w:rsidR="00F9075B" w:rsidRPr="00515807" w:rsidRDefault="004B5C84" w:rsidP="00CD75D1">
      <w:pPr>
        <w:autoSpaceDE w:val="0"/>
        <w:autoSpaceDN w:val="0"/>
        <w:adjustRightInd w:val="0"/>
        <w:rPr>
          <w:sz w:val="28"/>
          <w:szCs w:val="28"/>
        </w:rPr>
      </w:pPr>
      <w:r w:rsidRPr="00515807">
        <w:rPr>
          <w:sz w:val="28"/>
          <w:szCs w:val="28"/>
          <w:lang w:val="it-IT"/>
        </w:rPr>
        <w:t xml:space="preserve">În cursul lunii  </w:t>
      </w:r>
      <w:r w:rsidR="002723E3">
        <w:rPr>
          <w:sz w:val="28"/>
          <w:szCs w:val="28"/>
          <w:lang w:val="it-IT"/>
        </w:rPr>
        <w:t>noie</w:t>
      </w:r>
      <w:r w:rsidR="007E5A00">
        <w:rPr>
          <w:sz w:val="28"/>
          <w:szCs w:val="28"/>
          <w:lang w:val="it-IT"/>
        </w:rPr>
        <w:t>mbrie</w:t>
      </w:r>
      <w:r w:rsidR="005F1ABA">
        <w:rPr>
          <w:sz w:val="28"/>
          <w:szCs w:val="28"/>
          <w:lang w:val="it-IT"/>
        </w:rPr>
        <w:t xml:space="preserve"> </w:t>
      </w:r>
      <w:r w:rsidRPr="00515807">
        <w:rPr>
          <w:sz w:val="28"/>
          <w:szCs w:val="28"/>
          <w:lang w:val="it-IT"/>
        </w:rPr>
        <w:t>201</w:t>
      </w:r>
      <w:r w:rsidR="00D32B2A">
        <w:rPr>
          <w:sz w:val="28"/>
          <w:szCs w:val="28"/>
          <w:lang w:val="it-IT"/>
        </w:rPr>
        <w:t>5</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CF20C7" w:rsidP="0068717E">
      <w:pPr>
        <w:pStyle w:val="BodyText"/>
        <w:jc w:val="center"/>
        <w:rPr>
          <w:b/>
          <w:sz w:val="28"/>
          <w:szCs w:val="28"/>
        </w:rPr>
      </w:pPr>
    </w:p>
    <w:p w:rsidR="00282BAF" w:rsidRPr="00515807" w:rsidRDefault="00180687" w:rsidP="0068717E">
      <w:pPr>
        <w:pStyle w:val="BodyText"/>
        <w:jc w:val="center"/>
        <w:rPr>
          <w:b/>
          <w:sz w:val="28"/>
          <w:szCs w:val="28"/>
        </w:rPr>
      </w:pPr>
      <w:r w:rsidRPr="00515807">
        <w:rPr>
          <w:b/>
          <w:sz w:val="28"/>
          <w:szCs w:val="28"/>
        </w:rPr>
        <w:t>CAPITOLUL 9</w:t>
      </w:r>
    </w:p>
    <w:p w:rsidR="00354287" w:rsidRPr="00515807" w:rsidRDefault="00180687" w:rsidP="006A7EFD">
      <w:pPr>
        <w:pStyle w:val="Heading1"/>
        <w:rPr>
          <w:bCs w:val="0"/>
          <w:sz w:val="28"/>
          <w:szCs w:val="28"/>
          <w:lang w:eastAsia="ro-RO"/>
        </w:rPr>
      </w:pPr>
      <w:r w:rsidRPr="00515807">
        <w:rPr>
          <w:sz w:val="28"/>
          <w:szCs w:val="28"/>
        </w:rPr>
        <w:t xml:space="preserve">CHELTUIELI ŞI INVESTIŢII PENTRU MEDIU </w:t>
      </w:r>
    </w:p>
    <w:p w:rsidR="00282BAF" w:rsidRDefault="003C56DC" w:rsidP="00182D33">
      <w:pPr>
        <w:ind w:left="-142" w:right="-1"/>
        <w:rPr>
          <w:rFonts w:ascii="Arial" w:hAnsi="Arial" w:cs="Arial"/>
          <w:b/>
          <w:bCs/>
          <w:sz w:val="22"/>
          <w:szCs w:val="22"/>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8825D3" w:rsidRPr="00182D33" w:rsidRDefault="00071545" w:rsidP="00891921">
      <w:pPr>
        <w:ind w:left="-142" w:right="-1"/>
        <w:jc w:val="center"/>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8825D3" w:rsidRDefault="008825D3" w:rsidP="00BC5C58">
      <w:pPr>
        <w:ind w:left="-142" w:right="-1"/>
        <w:rPr>
          <w:sz w:val="22"/>
          <w:szCs w:val="22"/>
          <w:lang w:val="fr-FR"/>
        </w:rPr>
      </w:pPr>
      <w:r>
        <w:rPr>
          <w:b/>
          <w:sz w:val="28"/>
          <w:szCs w:val="28"/>
          <w:lang w:val="fr-FR"/>
        </w:rPr>
        <w:t xml:space="preserve">                                                                                                                       </w:t>
      </w:r>
      <w:proofErr w:type="spellStart"/>
      <w:r w:rsidRPr="008825D3">
        <w:rPr>
          <w:sz w:val="22"/>
          <w:szCs w:val="22"/>
          <w:lang w:val="fr-FR"/>
        </w:rPr>
        <w:t>Actualizat</w:t>
      </w:r>
      <w:proofErr w:type="spellEnd"/>
      <w:r w:rsidRPr="008825D3">
        <w:rPr>
          <w:sz w:val="22"/>
          <w:szCs w:val="22"/>
          <w:lang w:val="fr-FR"/>
        </w:rPr>
        <w:t xml:space="preserve"> la 30.11.2015</w:t>
      </w:r>
    </w:p>
    <w:tbl>
      <w:tblPr>
        <w:tblW w:w="10206" w:type="dxa"/>
        <w:tblInd w:w="93" w:type="dxa"/>
        <w:tblLook w:val="04A0"/>
      </w:tblPr>
      <w:tblGrid>
        <w:gridCol w:w="462"/>
        <w:gridCol w:w="1453"/>
        <w:gridCol w:w="1096"/>
        <w:gridCol w:w="1301"/>
        <w:gridCol w:w="1098"/>
        <w:gridCol w:w="1151"/>
        <w:gridCol w:w="1027"/>
        <w:gridCol w:w="957"/>
        <w:gridCol w:w="1027"/>
        <w:gridCol w:w="1041"/>
      </w:tblGrid>
      <w:tr w:rsidR="008825D3" w:rsidRPr="008825D3" w:rsidTr="008825D3">
        <w:trPr>
          <w:trHeight w:val="690"/>
        </w:trPr>
        <w:tc>
          <w:tcPr>
            <w:tcW w:w="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1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5456"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8825D3">
        <w:trPr>
          <w:trHeight w:val="480"/>
        </w:trPr>
        <w:tc>
          <w:tcPr>
            <w:tcW w:w="56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9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66"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544"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293"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269"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350"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8825D3">
        <w:trPr>
          <w:trHeight w:val="1110"/>
        </w:trPr>
        <w:tc>
          <w:tcPr>
            <w:tcW w:w="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973"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1466"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544"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293"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269"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350"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313"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8825D3">
        <w:trPr>
          <w:trHeight w:val="615"/>
        </w:trPr>
        <w:tc>
          <w:tcPr>
            <w:tcW w:w="56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9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66"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57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356"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544"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293"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269"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350"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8825D3">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97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46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57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356"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544"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9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8825D3" w:rsidRPr="008825D3" w:rsidTr="008825D3">
        <w:trPr>
          <w:trHeight w:val="46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97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tc>
        <w:tc>
          <w:tcPr>
            <w:tcW w:w="146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57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5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544"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29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269"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350"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8825D3" w:rsidRPr="008825D3" w:rsidTr="008825D3">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97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tc>
        <w:tc>
          <w:tcPr>
            <w:tcW w:w="146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57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356" w:type="dxa"/>
            <w:tcBorders>
              <w:top w:val="nil"/>
              <w:left w:val="nil"/>
              <w:bottom w:val="single" w:sz="4" w:space="0" w:color="auto"/>
              <w:right w:val="single" w:sz="4" w:space="0" w:color="auto"/>
            </w:tcBorders>
            <w:shd w:val="clear" w:color="auto" w:fill="auto"/>
            <w:hideMark/>
          </w:tcPr>
          <w:p w:rsidR="008825D3" w:rsidRPr="008825D3" w:rsidRDefault="008825D3"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544" w:type="dxa"/>
            <w:tcBorders>
              <w:top w:val="nil"/>
              <w:left w:val="nil"/>
              <w:bottom w:val="single" w:sz="4" w:space="0" w:color="auto"/>
              <w:right w:val="single" w:sz="4" w:space="0" w:color="auto"/>
            </w:tcBorders>
            <w:shd w:val="clear" w:color="auto" w:fill="auto"/>
            <w:hideMark/>
          </w:tcPr>
          <w:p w:rsidR="008825D3" w:rsidRPr="008825D3" w:rsidRDefault="008825D3"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29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269"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350"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8825D3">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97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46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57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356"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544"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9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8825D3">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97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b/>
                <w:bCs/>
                <w:color w:val="FF0000"/>
                <w:lang w:eastAsia="ro-RO"/>
              </w:rPr>
            </w:pPr>
            <w:r w:rsidRPr="008825D3">
              <w:rPr>
                <w:rFonts w:ascii="Arial" w:hAnsi="Arial" w:cs="Arial"/>
                <w:b/>
                <w:bCs/>
                <w:color w:val="FF0000"/>
                <w:lang w:eastAsia="ro-RO"/>
              </w:rPr>
              <w:t> </w:t>
            </w:r>
          </w:p>
        </w:tc>
        <w:tc>
          <w:tcPr>
            <w:tcW w:w="146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57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5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544"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29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269"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8825D3" w:rsidRPr="008825D3" w:rsidTr="008825D3">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973"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46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57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5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544"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293"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269"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50"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313"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bl>
    <w:p w:rsidR="00071545" w:rsidRPr="00515807" w:rsidRDefault="00071545" w:rsidP="00BC5C58">
      <w:pPr>
        <w:ind w:left="-142" w:right="-1"/>
        <w:rPr>
          <w:sz w:val="28"/>
          <w:szCs w:val="28"/>
          <w:lang w:val="fr-FR"/>
        </w:rPr>
      </w:pPr>
    </w:p>
    <w:p w:rsidR="009B6F1A" w:rsidRDefault="00600A2B" w:rsidP="009B6F1A">
      <w:pPr>
        <w:rPr>
          <w:sz w:val="28"/>
          <w:szCs w:val="28"/>
        </w:rPr>
      </w:pPr>
      <w:r w:rsidRPr="00515807">
        <w:rPr>
          <w:sz w:val="28"/>
          <w:szCs w:val="28"/>
        </w:rPr>
        <w:t xml:space="preserve"> </w:t>
      </w:r>
      <w:r w:rsidR="0095287E" w:rsidRPr="00515807">
        <w:rPr>
          <w:sz w:val="28"/>
          <w:szCs w:val="28"/>
        </w:rPr>
        <w:t xml:space="preserve">  </w:t>
      </w: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B6F1A" w:rsidRDefault="009B6F1A"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9"/>
      <w:footerReference w:type="default" r:id="rId20"/>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1F" w:rsidRDefault="00783F1F">
      <w:r>
        <w:separator/>
      </w:r>
    </w:p>
  </w:endnote>
  <w:endnote w:type="continuationSeparator" w:id="0">
    <w:p w:rsidR="00783F1F" w:rsidRDefault="00783F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F2" w:rsidRDefault="004B7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0F2" w:rsidRDefault="004B70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F2" w:rsidRDefault="004B7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D33">
      <w:rPr>
        <w:rStyle w:val="PageNumber"/>
        <w:noProof/>
      </w:rPr>
      <w:t>8</w:t>
    </w:r>
    <w:r>
      <w:rPr>
        <w:rStyle w:val="PageNumber"/>
      </w:rPr>
      <w:fldChar w:fldCharType="end"/>
    </w:r>
  </w:p>
  <w:p w:rsidR="004B70F2" w:rsidRDefault="004B70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1F" w:rsidRDefault="00783F1F">
      <w:r>
        <w:separator/>
      </w:r>
    </w:p>
  </w:footnote>
  <w:footnote w:type="continuationSeparator" w:id="0">
    <w:p w:rsidR="00783F1F" w:rsidRDefault="00783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4">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E6579A2"/>
    <w:multiLevelType w:val="hybridMultilevel"/>
    <w:tmpl w:val="3CAE29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7EB965F6"/>
    <w:multiLevelType w:val="hybridMultilevel"/>
    <w:tmpl w:val="AE9C10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7"/>
  </w:num>
  <w:num w:numId="7">
    <w:abstractNumId w:val="8"/>
  </w:num>
  <w:num w:numId="8">
    <w:abstractNumId w:val="7"/>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
  </w:num>
  <w:num w:numId="18">
    <w:abstractNumId w:val="16"/>
  </w:num>
  <w:num w:numId="19">
    <w:abstractNumId w:val="1"/>
  </w:num>
  <w:num w:numId="20">
    <w:abstractNumId w:val="11"/>
  </w:num>
  <w:num w:numId="21">
    <w:abstractNumId w:val="3"/>
  </w:num>
  <w:num w:numId="22">
    <w:abstractNumId w:val="19"/>
  </w:num>
  <w:num w:numId="23">
    <w:abstractNumId w:val="0"/>
  </w:num>
  <w:num w:numId="24">
    <w:abstractNumId w:val="21"/>
  </w:num>
  <w:num w:numId="25">
    <w:abstractNumId w:val="18"/>
  </w:num>
  <w:num w:numId="26">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67A"/>
    <w:rsid w:val="00023117"/>
    <w:rsid w:val="00023CDF"/>
    <w:rsid w:val="00025107"/>
    <w:rsid w:val="0003019D"/>
    <w:rsid w:val="0003222E"/>
    <w:rsid w:val="0003717A"/>
    <w:rsid w:val="00041589"/>
    <w:rsid w:val="0004251F"/>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2F7B"/>
    <w:rsid w:val="000A6577"/>
    <w:rsid w:val="000A78AC"/>
    <w:rsid w:val="000B2B9F"/>
    <w:rsid w:val="000B30CE"/>
    <w:rsid w:val="000B32AC"/>
    <w:rsid w:val="000B4ABB"/>
    <w:rsid w:val="000B6963"/>
    <w:rsid w:val="000C00C3"/>
    <w:rsid w:val="000C202B"/>
    <w:rsid w:val="000C2A43"/>
    <w:rsid w:val="000C4B48"/>
    <w:rsid w:val="000C6DF3"/>
    <w:rsid w:val="000D3193"/>
    <w:rsid w:val="000D7618"/>
    <w:rsid w:val="000E0183"/>
    <w:rsid w:val="000E1B79"/>
    <w:rsid w:val="000E2823"/>
    <w:rsid w:val="000E291A"/>
    <w:rsid w:val="000E7160"/>
    <w:rsid w:val="000E7291"/>
    <w:rsid w:val="000E7891"/>
    <w:rsid w:val="000F02FF"/>
    <w:rsid w:val="000F072F"/>
    <w:rsid w:val="000F19FB"/>
    <w:rsid w:val="000F1CCA"/>
    <w:rsid w:val="000F336B"/>
    <w:rsid w:val="000F4983"/>
    <w:rsid w:val="000F5452"/>
    <w:rsid w:val="000F7637"/>
    <w:rsid w:val="0010005A"/>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4FB2"/>
    <w:rsid w:val="00235301"/>
    <w:rsid w:val="002358B4"/>
    <w:rsid w:val="00241AEA"/>
    <w:rsid w:val="00242575"/>
    <w:rsid w:val="00242810"/>
    <w:rsid w:val="00246DAA"/>
    <w:rsid w:val="002532C2"/>
    <w:rsid w:val="0025569A"/>
    <w:rsid w:val="00257201"/>
    <w:rsid w:val="00257FE9"/>
    <w:rsid w:val="002615E6"/>
    <w:rsid w:val="00263CA6"/>
    <w:rsid w:val="00263CDC"/>
    <w:rsid w:val="00266F1F"/>
    <w:rsid w:val="0027168E"/>
    <w:rsid w:val="00271847"/>
    <w:rsid w:val="002723E3"/>
    <w:rsid w:val="0027259E"/>
    <w:rsid w:val="00274D26"/>
    <w:rsid w:val="00274F85"/>
    <w:rsid w:val="00275208"/>
    <w:rsid w:val="002768C2"/>
    <w:rsid w:val="00276FB5"/>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26D0"/>
    <w:rsid w:val="002B442B"/>
    <w:rsid w:val="002B73FB"/>
    <w:rsid w:val="002B7C67"/>
    <w:rsid w:val="002C5306"/>
    <w:rsid w:val="002D11F9"/>
    <w:rsid w:val="002D3AC2"/>
    <w:rsid w:val="002D3BE0"/>
    <w:rsid w:val="002D5207"/>
    <w:rsid w:val="002E12FC"/>
    <w:rsid w:val="002E2C8A"/>
    <w:rsid w:val="002E3B9B"/>
    <w:rsid w:val="002E5AA5"/>
    <w:rsid w:val="002E6099"/>
    <w:rsid w:val="002E6CD2"/>
    <w:rsid w:val="002E7CF5"/>
    <w:rsid w:val="002F13ED"/>
    <w:rsid w:val="002F2BC3"/>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A9F"/>
    <w:rsid w:val="00331040"/>
    <w:rsid w:val="00331A39"/>
    <w:rsid w:val="00331C4F"/>
    <w:rsid w:val="00331CED"/>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7D2"/>
    <w:rsid w:val="00397DE2"/>
    <w:rsid w:val="003A1B4F"/>
    <w:rsid w:val="003A1EBF"/>
    <w:rsid w:val="003A44DB"/>
    <w:rsid w:val="003A7C9C"/>
    <w:rsid w:val="003B25F9"/>
    <w:rsid w:val="003B3793"/>
    <w:rsid w:val="003B48AC"/>
    <w:rsid w:val="003B6AA5"/>
    <w:rsid w:val="003C2936"/>
    <w:rsid w:val="003C56DC"/>
    <w:rsid w:val="003C7B49"/>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610B"/>
    <w:rsid w:val="00496413"/>
    <w:rsid w:val="004A3988"/>
    <w:rsid w:val="004A560D"/>
    <w:rsid w:val="004A5A04"/>
    <w:rsid w:val="004A6C01"/>
    <w:rsid w:val="004A70C9"/>
    <w:rsid w:val="004A7BBD"/>
    <w:rsid w:val="004A7F57"/>
    <w:rsid w:val="004B015F"/>
    <w:rsid w:val="004B07DB"/>
    <w:rsid w:val="004B08A6"/>
    <w:rsid w:val="004B239D"/>
    <w:rsid w:val="004B53F6"/>
    <w:rsid w:val="004B5C84"/>
    <w:rsid w:val="004B65DE"/>
    <w:rsid w:val="004B70F2"/>
    <w:rsid w:val="004C0128"/>
    <w:rsid w:val="004C2AA4"/>
    <w:rsid w:val="004C33DD"/>
    <w:rsid w:val="004C4597"/>
    <w:rsid w:val="004C46B5"/>
    <w:rsid w:val="004C5329"/>
    <w:rsid w:val="004C5EF2"/>
    <w:rsid w:val="004C784D"/>
    <w:rsid w:val="004C7EDD"/>
    <w:rsid w:val="004D14E9"/>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46C8"/>
    <w:rsid w:val="005B5434"/>
    <w:rsid w:val="005C0BED"/>
    <w:rsid w:val="005C0E33"/>
    <w:rsid w:val="005C16B3"/>
    <w:rsid w:val="005C1BE3"/>
    <w:rsid w:val="005C2838"/>
    <w:rsid w:val="005C4021"/>
    <w:rsid w:val="005C50CB"/>
    <w:rsid w:val="005C6776"/>
    <w:rsid w:val="005C6B75"/>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6377"/>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305C5"/>
    <w:rsid w:val="00630CBD"/>
    <w:rsid w:val="00630D92"/>
    <w:rsid w:val="00631D9C"/>
    <w:rsid w:val="00632BA0"/>
    <w:rsid w:val="00633911"/>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52D6"/>
    <w:rsid w:val="006C563A"/>
    <w:rsid w:val="006C74F7"/>
    <w:rsid w:val="006D061C"/>
    <w:rsid w:val="006D1535"/>
    <w:rsid w:val="006D5B20"/>
    <w:rsid w:val="006D6462"/>
    <w:rsid w:val="006D77A3"/>
    <w:rsid w:val="006D7D7E"/>
    <w:rsid w:val="006E591B"/>
    <w:rsid w:val="006E7FF2"/>
    <w:rsid w:val="006F3157"/>
    <w:rsid w:val="006F5C9D"/>
    <w:rsid w:val="006F6817"/>
    <w:rsid w:val="006F6C3B"/>
    <w:rsid w:val="007002E0"/>
    <w:rsid w:val="00700A37"/>
    <w:rsid w:val="0070399C"/>
    <w:rsid w:val="00705A7E"/>
    <w:rsid w:val="0070751A"/>
    <w:rsid w:val="00713855"/>
    <w:rsid w:val="00714D0B"/>
    <w:rsid w:val="00715CAB"/>
    <w:rsid w:val="00720980"/>
    <w:rsid w:val="00721ABC"/>
    <w:rsid w:val="007229A3"/>
    <w:rsid w:val="00722DDB"/>
    <w:rsid w:val="00723E22"/>
    <w:rsid w:val="007266F4"/>
    <w:rsid w:val="007269EF"/>
    <w:rsid w:val="007313B3"/>
    <w:rsid w:val="007313FA"/>
    <w:rsid w:val="007326AE"/>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736"/>
    <w:rsid w:val="00774443"/>
    <w:rsid w:val="0077482A"/>
    <w:rsid w:val="00774F71"/>
    <w:rsid w:val="00774FA1"/>
    <w:rsid w:val="00775AB9"/>
    <w:rsid w:val="00776203"/>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FE8"/>
    <w:rsid w:val="008C2CD9"/>
    <w:rsid w:val="008C440B"/>
    <w:rsid w:val="008C4E6A"/>
    <w:rsid w:val="008C574D"/>
    <w:rsid w:val="008C5D3C"/>
    <w:rsid w:val="008C5D70"/>
    <w:rsid w:val="008C6432"/>
    <w:rsid w:val="008C7723"/>
    <w:rsid w:val="008D4479"/>
    <w:rsid w:val="008D6A2F"/>
    <w:rsid w:val="008D7246"/>
    <w:rsid w:val="008D72DC"/>
    <w:rsid w:val="008E3129"/>
    <w:rsid w:val="008F12D6"/>
    <w:rsid w:val="008F17D5"/>
    <w:rsid w:val="008F7D5B"/>
    <w:rsid w:val="00902D16"/>
    <w:rsid w:val="009107D8"/>
    <w:rsid w:val="00911CAD"/>
    <w:rsid w:val="0091452C"/>
    <w:rsid w:val="00914532"/>
    <w:rsid w:val="00915D1A"/>
    <w:rsid w:val="00922B9C"/>
    <w:rsid w:val="0092509B"/>
    <w:rsid w:val="00926824"/>
    <w:rsid w:val="00926AB7"/>
    <w:rsid w:val="00926D98"/>
    <w:rsid w:val="0092744C"/>
    <w:rsid w:val="009329E3"/>
    <w:rsid w:val="009338E4"/>
    <w:rsid w:val="0093396A"/>
    <w:rsid w:val="00933AA7"/>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D0E"/>
    <w:rsid w:val="009A233C"/>
    <w:rsid w:val="009A301D"/>
    <w:rsid w:val="009A51C6"/>
    <w:rsid w:val="009A6E04"/>
    <w:rsid w:val="009A7614"/>
    <w:rsid w:val="009A7E19"/>
    <w:rsid w:val="009B0C5B"/>
    <w:rsid w:val="009B25E0"/>
    <w:rsid w:val="009B3C1C"/>
    <w:rsid w:val="009B439F"/>
    <w:rsid w:val="009B6F1A"/>
    <w:rsid w:val="009C1F13"/>
    <w:rsid w:val="009C3F50"/>
    <w:rsid w:val="009C5855"/>
    <w:rsid w:val="009C6203"/>
    <w:rsid w:val="009C66B1"/>
    <w:rsid w:val="009C792C"/>
    <w:rsid w:val="009D694C"/>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1DCE"/>
    <w:rsid w:val="00A02FCD"/>
    <w:rsid w:val="00A040C0"/>
    <w:rsid w:val="00A06DF9"/>
    <w:rsid w:val="00A06F48"/>
    <w:rsid w:val="00A07D54"/>
    <w:rsid w:val="00A10C68"/>
    <w:rsid w:val="00A10FAF"/>
    <w:rsid w:val="00A12009"/>
    <w:rsid w:val="00A16480"/>
    <w:rsid w:val="00A17263"/>
    <w:rsid w:val="00A17989"/>
    <w:rsid w:val="00A20FD8"/>
    <w:rsid w:val="00A21AF7"/>
    <w:rsid w:val="00A21F4A"/>
    <w:rsid w:val="00A22407"/>
    <w:rsid w:val="00A2589C"/>
    <w:rsid w:val="00A27A64"/>
    <w:rsid w:val="00A43BFD"/>
    <w:rsid w:val="00A4457F"/>
    <w:rsid w:val="00A517B0"/>
    <w:rsid w:val="00A52613"/>
    <w:rsid w:val="00A52FC9"/>
    <w:rsid w:val="00A53989"/>
    <w:rsid w:val="00A564F5"/>
    <w:rsid w:val="00A62469"/>
    <w:rsid w:val="00A65AC7"/>
    <w:rsid w:val="00A72EFB"/>
    <w:rsid w:val="00A7463B"/>
    <w:rsid w:val="00A75307"/>
    <w:rsid w:val="00A7674E"/>
    <w:rsid w:val="00A76C24"/>
    <w:rsid w:val="00A77206"/>
    <w:rsid w:val="00A775B1"/>
    <w:rsid w:val="00A77B0A"/>
    <w:rsid w:val="00A80F22"/>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37B8"/>
    <w:rsid w:val="00AC3833"/>
    <w:rsid w:val="00AC3910"/>
    <w:rsid w:val="00AC420F"/>
    <w:rsid w:val="00AC49ED"/>
    <w:rsid w:val="00AD045B"/>
    <w:rsid w:val="00AD06A4"/>
    <w:rsid w:val="00AD0A4F"/>
    <w:rsid w:val="00AD0F90"/>
    <w:rsid w:val="00AD126A"/>
    <w:rsid w:val="00AD1D6B"/>
    <w:rsid w:val="00AD279D"/>
    <w:rsid w:val="00AD356C"/>
    <w:rsid w:val="00AE2C60"/>
    <w:rsid w:val="00AE7A37"/>
    <w:rsid w:val="00AF1C2A"/>
    <w:rsid w:val="00AF4B3A"/>
    <w:rsid w:val="00AF69BB"/>
    <w:rsid w:val="00AF732F"/>
    <w:rsid w:val="00B025FA"/>
    <w:rsid w:val="00B04166"/>
    <w:rsid w:val="00B048CD"/>
    <w:rsid w:val="00B063DE"/>
    <w:rsid w:val="00B064B7"/>
    <w:rsid w:val="00B06610"/>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61126"/>
    <w:rsid w:val="00B61883"/>
    <w:rsid w:val="00B61CC4"/>
    <w:rsid w:val="00B629A8"/>
    <w:rsid w:val="00B64E5A"/>
    <w:rsid w:val="00B706D1"/>
    <w:rsid w:val="00B74804"/>
    <w:rsid w:val="00B75D1E"/>
    <w:rsid w:val="00B80679"/>
    <w:rsid w:val="00B81665"/>
    <w:rsid w:val="00B82D46"/>
    <w:rsid w:val="00B84D3C"/>
    <w:rsid w:val="00B92414"/>
    <w:rsid w:val="00BA09FC"/>
    <w:rsid w:val="00BA0A3F"/>
    <w:rsid w:val="00BA1E6D"/>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51A6"/>
    <w:rsid w:val="00BD5D47"/>
    <w:rsid w:val="00BD642C"/>
    <w:rsid w:val="00BD7815"/>
    <w:rsid w:val="00BE1411"/>
    <w:rsid w:val="00BE163E"/>
    <w:rsid w:val="00BE5186"/>
    <w:rsid w:val="00BE558B"/>
    <w:rsid w:val="00BE7057"/>
    <w:rsid w:val="00BF029E"/>
    <w:rsid w:val="00BF1116"/>
    <w:rsid w:val="00BF2D13"/>
    <w:rsid w:val="00BF515D"/>
    <w:rsid w:val="00BF5CCC"/>
    <w:rsid w:val="00BF73F9"/>
    <w:rsid w:val="00C020AB"/>
    <w:rsid w:val="00C047F5"/>
    <w:rsid w:val="00C06496"/>
    <w:rsid w:val="00C064BA"/>
    <w:rsid w:val="00C066E3"/>
    <w:rsid w:val="00C11B0E"/>
    <w:rsid w:val="00C13153"/>
    <w:rsid w:val="00C13CA5"/>
    <w:rsid w:val="00C16F4C"/>
    <w:rsid w:val="00C171F3"/>
    <w:rsid w:val="00C221CA"/>
    <w:rsid w:val="00C22201"/>
    <w:rsid w:val="00C25B2C"/>
    <w:rsid w:val="00C264F5"/>
    <w:rsid w:val="00C26FAC"/>
    <w:rsid w:val="00C27F63"/>
    <w:rsid w:val="00C31325"/>
    <w:rsid w:val="00C34A53"/>
    <w:rsid w:val="00C36B43"/>
    <w:rsid w:val="00C40A65"/>
    <w:rsid w:val="00C43446"/>
    <w:rsid w:val="00C44D85"/>
    <w:rsid w:val="00C45046"/>
    <w:rsid w:val="00C47086"/>
    <w:rsid w:val="00C472F8"/>
    <w:rsid w:val="00C5048A"/>
    <w:rsid w:val="00C516DA"/>
    <w:rsid w:val="00C541C2"/>
    <w:rsid w:val="00C5457C"/>
    <w:rsid w:val="00C5520C"/>
    <w:rsid w:val="00C55C2A"/>
    <w:rsid w:val="00C55D4D"/>
    <w:rsid w:val="00C60C9F"/>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E36"/>
    <w:rsid w:val="00C9163E"/>
    <w:rsid w:val="00C91EDA"/>
    <w:rsid w:val="00C9306E"/>
    <w:rsid w:val="00C96AD6"/>
    <w:rsid w:val="00C97980"/>
    <w:rsid w:val="00CA38AF"/>
    <w:rsid w:val="00CA42CE"/>
    <w:rsid w:val="00CA5458"/>
    <w:rsid w:val="00CB0E17"/>
    <w:rsid w:val="00CB1D27"/>
    <w:rsid w:val="00CB226D"/>
    <w:rsid w:val="00CB3F3D"/>
    <w:rsid w:val="00CB47C2"/>
    <w:rsid w:val="00CB5017"/>
    <w:rsid w:val="00CB5D55"/>
    <w:rsid w:val="00CB7958"/>
    <w:rsid w:val="00CC1A2D"/>
    <w:rsid w:val="00CC1D3D"/>
    <w:rsid w:val="00CC2182"/>
    <w:rsid w:val="00CC66C1"/>
    <w:rsid w:val="00CC6BFD"/>
    <w:rsid w:val="00CC7ED3"/>
    <w:rsid w:val="00CD019F"/>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E4E"/>
    <w:rsid w:val="00D0010E"/>
    <w:rsid w:val="00D001BC"/>
    <w:rsid w:val="00D016C3"/>
    <w:rsid w:val="00D02519"/>
    <w:rsid w:val="00D058EE"/>
    <w:rsid w:val="00D06D71"/>
    <w:rsid w:val="00D07D4F"/>
    <w:rsid w:val="00D10DDD"/>
    <w:rsid w:val="00D1206C"/>
    <w:rsid w:val="00D13E4C"/>
    <w:rsid w:val="00D14F32"/>
    <w:rsid w:val="00D16BC6"/>
    <w:rsid w:val="00D21169"/>
    <w:rsid w:val="00D22DEE"/>
    <w:rsid w:val="00D26E44"/>
    <w:rsid w:val="00D274CB"/>
    <w:rsid w:val="00D27DB2"/>
    <w:rsid w:val="00D300C8"/>
    <w:rsid w:val="00D31277"/>
    <w:rsid w:val="00D3205B"/>
    <w:rsid w:val="00D32652"/>
    <w:rsid w:val="00D32B2A"/>
    <w:rsid w:val="00D358BA"/>
    <w:rsid w:val="00D3599F"/>
    <w:rsid w:val="00D41F3D"/>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31DC"/>
    <w:rsid w:val="00E63BB1"/>
    <w:rsid w:val="00E641B0"/>
    <w:rsid w:val="00E6505B"/>
    <w:rsid w:val="00E657CF"/>
    <w:rsid w:val="00E657D4"/>
    <w:rsid w:val="00E67A7D"/>
    <w:rsid w:val="00E709E5"/>
    <w:rsid w:val="00E71EF5"/>
    <w:rsid w:val="00E7258E"/>
    <w:rsid w:val="00E73526"/>
    <w:rsid w:val="00E7407E"/>
    <w:rsid w:val="00E75188"/>
    <w:rsid w:val="00E75627"/>
    <w:rsid w:val="00E80730"/>
    <w:rsid w:val="00E80B6B"/>
    <w:rsid w:val="00E81A6F"/>
    <w:rsid w:val="00E824B0"/>
    <w:rsid w:val="00E850F2"/>
    <w:rsid w:val="00E859DC"/>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A0"/>
    <w:rsid w:val="00F3330B"/>
    <w:rsid w:val="00F34ACE"/>
    <w:rsid w:val="00F34E43"/>
    <w:rsid w:val="00F358DC"/>
    <w:rsid w:val="00F425EB"/>
    <w:rsid w:val="00F43686"/>
    <w:rsid w:val="00F475FE"/>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3DF7"/>
    <w:rsid w:val="00F840EA"/>
    <w:rsid w:val="00F9075B"/>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BFB"/>
    <w:rsid w:val="00FD33C1"/>
    <w:rsid w:val="00FE07E9"/>
    <w:rsid w:val="00FE134D"/>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yperlink" Target="file:///C:\Documents%20and%20Settings\Administrator\sintact%203.0\cache\Legislatie\temp1115056\0012044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p>
          <a:p>
            <a:pPr>
              <a:defRPr sz="9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513274336283234"/>
          <c:y val="0"/>
        </c:manualLayout>
      </c:layout>
      <c:spPr>
        <a:noFill/>
        <a:ln w="25399">
          <a:noFill/>
        </a:ln>
      </c:spPr>
    </c:title>
    <c:plotArea>
      <c:layout>
        <c:manualLayout>
          <c:layoutTarget val="inner"/>
          <c:xMode val="edge"/>
          <c:yMode val="edge"/>
          <c:x val="9.7345132743362844E-2"/>
          <c:y val="0.22123893805309749"/>
          <c:w val="0.77522123893805384"/>
          <c:h val="0.59292035398230059"/>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5">
                  <c:v>0.30000000000000032</c:v>
                </c:pt>
                <c:pt idx="6">
                  <c:v>0.28000000000000008</c:v>
                </c:pt>
                <c:pt idx="7">
                  <c:v>0.4</c:v>
                </c:pt>
                <c:pt idx="8">
                  <c:v>0.41000000000000031</c:v>
                </c:pt>
                <c:pt idx="9">
                  <c:v>0.29000000000000031</c:v>
                </c:pt>
                <c:pt idx="10">
                  <c:v>0.31000000000000033</c:v>
                </c:pt>
                <c:pt idx="11">
                  <c:v>0.17</c:v>
                </c:pt>
                <c:pt idx="12">
                  <c:v>0.25</c:v>
                </c:pt>
                <c:pt idx="13">
                  <c:v>0.19000000000000006</c:v>
                </c:pt>
                <c:pt idx="14">
                  <c:v>7.0000000000000034E-2</c:v>
                </c:pt>
                <c:pt idx="15">
                  <c:v>0.14000000000000001</c:v>
                </c:pt>
                <c:pt idx="16">
                  <c:v>0.14000000000000001</c:v>
                </c:pt>
                <c:pt idx="17">
                  <c:v>0.2</c:v>
                </c:pt>
                <c:pt idx="18">
                  <c:v>0.28000000000000008</c:v>
                </c:pt>
                <c:pt idx="19">
                  <c:v>0.24000000000000016</c:v>
                </c:pt>
                <c:pt idx="20">
                  <c:v>9.0000000000000066E-2</c:v>
                </c:pt>
                <c:pt idx="21">
                  <c:v>0.15000000000000016</c:v>
                </c:pt>
                <c:pt idx="22">
                  <c:v>0.27</c:v>
                </c:pt>
                <c:pt idx="23">
                  <c:v>0.16000000000000006</c:v>
                </c:pt>
                <c:pt idx="24">
                  <c:v>0.16000000000000006</c:v>
                </c:pt>
                <c:pt idx="25">
                  <c:v>0.15000000000000016</c:v>
                </c:pt>
                <c:pt idx="26">
                  <c:v>0.21000000000000016</c:v>
                </c:pt>
                <c:pt idx="27">
                  <c:v>0.2</c:v>
                </c:pt>
                <c:pt idx="28">
                  <c:v>0.34000000000000019</c:v>
                </c:pt>
                <c:pt idx="29">
                  <c:v>0.19000000000000006</c:v>
                </c:pt>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5">
                  <c:v>0.25</c:v>
                </c:pt>
                <c:pt idx="6">
                  <c:v>0.22000000000000006</c:v>
                </c:pt>
                <c:pt idx="7">
                  <c:v>0.18000000000000016</c:v>
                </c:pt>
                <c:pt idx="8">
                  <c:v>0.21000000000000016</c:v>
                </c:pt>
                <c:pt idx="9">
                  <c:v>0.13</c:v>
                </c:pt>
                <c:pt idx="10">
                  <c:v>8.0000000000000085E-2</c:v>
                </c:pt>
                <c:pt idx="11">
                  <c:v>5.0000000000000031E-2</c:v>
                </c:pt>
                <c:pt idx="12">
                  <c:v>8.0000000000000085E-2</c:v>
                </c:pt>
                <c:pt idx="13">
                  <c:v>5.0000000000000031E-2</c:v>
                </c:pt>
                <c:pt idx="14">
                  <c:v>2.0000000000000021E-2</c:v>
                </c:pt>
                <c:pt idx="15">
                  <c:v>9.0000000000000066E-2</c:v>
                </c:pt>
                <c:pt idx="16">
                  <c:v>4.0000000000000042E-2</c:v>
                </c:pt>
                <c:pt idx="17">
                  <c:v>6.0000000000000039E-2</c:v>
                </c:pt>
                <c:pt idx="18">
                  <c:v>0.1</c:v>
                </c:pt>
                <c:pt idx="19">
                  <c:v>9.0000000000000066E-2</c:v>
                </c:pt>
                <c:pt idx="20">
                  <c:v>7.0000000000000034E-2</c:v>
                </c:pt>
                <c:pt idx="21">
                  <c:v>4.0000000000000042E-2</c:v>
                </c:pt>
                <c:pt idx="22">
                  <c:v>0.13</c:v>
                </c:pt>
                <c:pt idx="23">
                  <c:v>0.11000000000000003</c:v>
                </c:pt>
                <c:pt idx="24">
                  <c:v>0.11000000000000003</c:v>
                </c:pt>
                <c:pt idx="25">
                  <c:v>8.0000000000000085E-2</c:v>
                </c:pt>
                <c:pt idx="26">
                  <c:v>0.1</c:v>
                </c:pt>
                <c:pt idx="27">
                  <c:v>9.0000000000000066E-2</c:v>
                </c:pt>
                <c:pt idx="28">
                  <c:v>0.18000000000000016</c:v>
                </c:pt>
                <c:pt idx="29">
                  <c:v>0.12000000000000002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25">
                  <c:v>8.0000000000000085E-2</c:v>
                </c:pt>
                <c:pt idx="26">
                  <c:v>0.11000000000000003</c:v>
                </c:pt>
                <c:pt idx="27">
                  <c:v>9.0000000000000066E-2</c:v>
                </c:pt>
                <c:pt idx="28">
                  <c:v>0.28000000000000008</c:v>
                </c:pt>
                <c:pt idx="29">
                  <c:v>0.17</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0.4</c:v>
                </c:pt>
                <c:pt idx="1">
                  <c:v>0.14000000000000001</c:v>
                </c:pt>
                <c:pt idx="2">
                  <c:v>0.29000000000000031</c:v>
                </c:pt>
                <c:pt idx="3">
                  <c:v>0.14000000000000001</c:v>
                </c:pt>
                <c:pt idx="4">
                  <c:v>0.14000000000000001</c:v>
                </c:pt>
                <c:pt idx="5">
                  <c:v>1.0000000000000011E-2</c:v>
                </c:pt>
                <c:pt idx="6">
                  <c:v>2.0000000000000021E-2</c:v>
                </c:pt>
                <c:pt idx="7">
                  <c:v>7.0000000000000034E-2</c:v>
                </c:pt>
                <c:pt idx="8">
                  <c:v>0.30000000000000032</c:v>
                </c:pt>
                <c:pt idx="9">
                  <c:v>6.0000000000000039E-2</c:v>
                </c:pt>
                <c:pt idx="10">
                  <c:v>6.0000000000000039E-2</c:v>
                </c:pt>
                <c:pt idx="11">
                  <c:v>3.0000000000000016E-2</c:v>
                </c:pt>
                <c:pt idx="12">
                  <c:v>0.16000000000000006</c:v>
                </c:pt>
                <c:pt idx="13">
                  <c:v>4.0000000000000042E-2</c:v>
                </c:pt>
                <c:pt idx="23">
                  <c:v>0.42000000000000032</c:v>
                </c:pt>
                <c:pt idx="24">
                  <c:v>7.0000000000000034E-2</c:v>
                </c:pt>
                <c:pt idx="25">
                  <c:v>5.0000000000000031E-2</c:v>
                </c:pt>
                <c:pt idx="26">
                  <c:v>8.0000000000000085E-2</c:v>
                </c:pt>
                <c:pt idx="27">
                  <c:v>1.0000000000000011E-2</c:v>
                </c:pt>
                <c:pt idx="28">
                  <c:v>0.18000000000000016</c:v>
                </c:pt>
                <c:pt idx="29">
                  <c:v>0.14000000000000001</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er>
        <c:marker val="1"/>
        <c:axId val="120176640"/>
        <c:axId val="120178944"/>
      </c:lineChart>
      <c:catAx>
        <c:axId val="120176640"/>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20178944"/>
        <c:crosses val="autoZero"/>
        <c:auto val="1"/>
        <c:lblAlgn val="ctr"/>
        <c:lblOffset val="100"/>
        <c:tickLblSkip val="1"/>
        <c:tickMarkSkip val="1"/>
      </c:catAx>
      <c:valAx>
        <c:axId val="120178944"/>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11E-2"/>
              <c:y val="0.4380530973451328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201766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30530973451327431"/>
          <c:w val="0.10442477876106213"/>
          <c:h val="0.4247787610619476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p>
          <a:p>
            <a:pPr>
              <a:defRPr sz="925"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712871287128738"/>
          <c:y val="0"/>
        </c:manualLayout>
      </c:layout>
      <c:spPr>
        <a:noFill/>
        <a:ln w="25399">
          <a:noFill/>
        </a:ln>
      </c:spPr>
    </c:title>
    <c:plotArea>
      <c:layout>
        <c:manualLayout>
          <c:layoutTarget val="inner"/>
          <c:xMode val="edge"/>
          <c:yMode val="edge"/>
          <c:x val="0.13465346534653466"/>
          <c:y val="0.27876106194690281"/>
          <c:w val="0.71485148514851571"/>
          <c:h val="0.50442477876106107"/>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5">
                  <c:v>10.19</c:v>
                </c:pt>
                <c:pt idx="6">
                  <c:v>14.32</c:v>
                </c:pt>
                <c:pt idx="7">
                  <c:v>16.959999999999987</c:v>
                </c:pt>
                <c:pt idx="8">
                  <c:v>10.09</c:v>
                </c:pt>
                <c:pt idx="9">
                  <c:v>10.15</c:v>
                </c:pt>
                <c:pt idx="10">
                  <c:v>9.8000000000000007</c:v>
                </c:pt>
                <c:pt idx="11">
                  <c:v>16.22</c:v>
                </c:pt>
                <c:pt idx="12">
                  <c:v>16.62</c:v>
                </c:pt>
                <c:pt idx="13">
                  <c:v>28.29</c:v>
                </c:pt>
                <c:pt idx="14">
                  <c:v>29.73</c:v>
                </c:pt>
                <c:pt idx="15">
                  <c:v>23.03</c:v>
                </c:pt>
                <c:pt idx="16">
                  <c:v>25.08</c:v>
                </c:pt>
                <c:pt idx="17">
                  <c:v>19.059999999999999</c:v>
                </c:pt>
                <c:pt idx="18">
                  <c:v>16.89</c:v>
                </c:pt>
                <c:pt idx="19">
                  <c:v>25.419999999999987</c:v>
                </c:pt>
                <c:pt idx="20">
                  <c:v>32</c:v>
                </c:pt>
                <c:pt idx="21">
                  <c:v>33.78</c:v>
                </c:pt>
                <c:pt idx="22">
                  <c:v>7.68</c:v>
                </c:pt>
                <c:pt idx="23">
                  <c:v>9.66</c:v>
                </c:pt>
                <c:pt idx="24">
                  <c:v>13.8</c:v>
                </c:pt>
                <c:pt idx="25">
                  <c:v>25.69</c:v>
                </c:pt>
                <c:pt idx="26">
                  <c:v>14.34</c:v>
                </c:pt>
                <c:pt idx="27">
                  <c:v>17.399999999999999</c:v>
                </c:pt>
                <c:pt idx="28">
                  <c:v>8.52</c:v>
                </c:pt>
                <c:pt idx="29">
                  <c:v>18.79</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47.24</c:v>
                </c:pt>
                <c:pt idx="1">
                  <c:v>47.44</c:v>
                </c:pt>
                <c:pt idx="2">
                  <c:v>45.730000000000011</c:v>
                </c:pt>
                <c:pt idx="3">
                  <c:v>49.11</c:v>
                </c:pt>
                <c:pt idx="4">
                  <c:v>46.190000000000012</c:v>
                </c:pt>
                <c:pt idx="5">
                  <c:v>40.200000000000003</c:v>
                </c:pt>
                <c:pt idx="6">
                  <c:v>48.15</c:v>
                </c:pt>
                <c:pt idx="7">
                  <c:v>44.95</c:v>
                </c:pt>
                <c:pt idx="8">
                  <c:v>41.43</c:v>
                </c:pt>
                <c:pt idx="9">
                  <c:v>40.47</c:v>
                </c:pt>
                <c:pt idx="10">
                  <c:v>45.51</c:v>
                </c:pt>
                <c:pt idx="11">
                  <c:v>45.89</c:v>
                </c:pt>
                <c:pt idx="12">
                  <c:v>47.2</c:v>
                </c:pt>
                <c:pt idx="13">
                  <c:v>52.14</c:v>
                </c:pt>
                <c:pt idx="14">
                  <c:v>52.15</c:v>
                </c:pt>
                <c:pt idx="21">
                  <c:v>29.54</c:v>
                </c:pt>
                <c:pt idx="24">
                  <c:v>18.88</c:v>
                </c:pt>
                <c:pt idx="25">
                  <c:v>24.87</c:v>
                </c:pt>
                <c:pt idx="26">
                  <c:v>17.03</c:v>
                </c:pt>
                <c:pt idx="27">
                  <c:v>18.29</c:v>
                </c:pt>
                <c:pt idx="28">
                  <c:v>12.11</c:v>
                </c:pt>
                <c:pt idx="29">
                  <c:v>17.059999999999999</c:v>
                </c:pt>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31.32</c:v>
                </c:pt>
                <c:pt idx="1">
                  <c:v>37</c:v>
                </c:pt>
                <c:pt idx="2">
                  <c:v>29.68</c:v>
                </c:pt>
                <c:pt idx="3">
                  <c:v>41.61</c:v>
                </c:pt>
                <c:pt idx="4">
                  <c:v>31.37</c:v>
                </c:pt>
                <c:pt idx="5">
                  <c:v>19.53</c:v>
                </c:pt>
                <c:pt idx="6">
                  <c:v>29.2</c:v>
                </c:pt>
                <c:pt idx="7">
                  <c:v>25.71</c:v>
                </c:pt>
                <c:pt idx="8">
                  <c:v>22.259999999999987</c:v>
                </c:pt>
                <c:pt idx="9">
                  <c:v>20.65000000000002</c:v>
                </c:pt>
                <c:pt idx="10">
                  <c:v>21.64</c:v>
                </c:pt>
                <c:pt idx="11">
                  <c:v>26.8</c:v>
                </c:pt>
                <c:pt idx="12">
                  <c:v>26.939999999999987</c:v>
                </c:pt>
                <c:pt idx="13">
                  <c:v>38.96</c:v>
                </c:pt>
                <c:pt idx="14">
                  <c:v>35.660000000000011</c:v>
                </c:pt>
                <c:pt idx="15">
                  <c:v>32.82</c:v>
                </c:pt>
                <c:pt idx="16">
                  <c:v>29.43</c:v>
                </c:pt>
                <c:pt idx="17">
                  <c:v>23.82</c:v>
                </c:pt>
                <c:pt idx="18">
                  <c:v>24.35</c:v>
                </c:pt>
                <c:pt idx="19">
                  <c:v>31.85</c:v>
                </c:pt>
                <c:pt idx="20">
                  <c:v>34.49</c:v>
                </c:pt>
                <c:pt idx="21">
                  <c:v>37.590000000000003</c:v>
                </c:pt>
                <c:pt idx="22">
                  <c:v>9.99</c:v>
                </c:pt>
                <c:pt idx="23">
                  <c:v>14.46</c:v>
                </c:pt>
                <c:pt idx="24">
                  <c:v>20.51</c:v>
                </c:pt>
                <c:pt idx="25">
                  <c:v>28.03</c:v>
                </c:pt>
                <c:pt idx="26">
                  <c:v>17.64</c:v>
                </c:pt>
                <c:pt idx="27">
                  <c:v>20.47</c:v>
                </c:pt>
                <c:pt idx="28">
                  <c:v>10.88</c:v>
                </c:pt>
                <c:pt idx="29">
                  <c:v>19.850000000000001</c:v>
                </c:pt>
              </c:numCache>
            </c:numRef>
          </c:val>
        </c:ser>
        <c:marker val="1"/>
        <c:axId val="120783616"/>
        <c:axId val="120855168"/>
      </c:lineChart>
      <c:catAx>
        <c:axId val="120783616"/>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120855168"/>
        <c:crosses val="autoZero"/>
        <c:auto val="1"/>
        <c:lblAlgn val="ctr"/>
        <c:lblOffset val="100"/>
        <c:tickLblSkip val="1"/>
        <c:tickMarkSkip val="1"/>
      </c:catAx>
      <c:valAx>
        <c:axId val="120855168"/>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65E-2"/>
              <c:y val="0.44247787610619471"/>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207836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4070796460176989"/>
          <c:w val="0.12475247524752479"/>
          <c:h val="0.3761061946902659"/>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9106145251396648E-2"/>
          <c:y val="0.11180124223602496"/>
          <c:w val="0.94413407821229045"/>
          <c:h val="0.71428571428571463"/>
        </c:manualLayout>
      </c:layout>
      <c:lineChart>
        <c:grouping val="standard"/>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63167488"/>
        <c:axId val="65049728"/>
      </c:lineChart>
      <c:catAx>
        <c:axId val="63167488"/>
        <c:scaling>
          <c:orientation val="minMax"/>
        </c:scaling>
        <c:axPos val="b"/>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65049728"/>
        <c:crossesAt val="0"/>
        <c:auto val="1"/>
        <c:lblAlgn val="ctr"/>
        <c:lblOffset val="100"/>
        <c:tickLblSkip val="1"/>
        <c:tickMarkSkip val="1"/>
      </c:catAx>
      <c:valAx>
        <c:axId val="65049728"/>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63167488"/>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8817005545286512E-2"/>
          <c:y val="0.10843373493975918"/>
          <c:w val="0.94454713493530496"/>
          <c:h val="0.72289156626506101"/>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marker val="1"/>
        <c:axId val="65130880"/>
        <c:axId val="65132800"/>
      </c:lineChart>
      <c:catAx>
        <c:axId val="65130880"/>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5132800"/>
        <c:crossesAt val="0"/>
        <c:auto val="1"/>
        <c:lblAlgn val="ctr"/>
        <c:lblOffset val="100"/>
        <c:tickLblSkip val="1"/>
        <c:tickMarkSkip val="1"/>
      </c:catAx>
      <c:valAx>
        <c:axId val="6513280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51308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723756906077415E-2"/>
          <c:y val="0.12138728323699421"/>
          <c:w val="0.93370165745856515"/>
          <c:h val="0.670520231213874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numCache>
            </c:numRef>
          </c:val>
        </c:ser>
        <c:marker val="1"/>
        <c:axId val="65148416"/>
        <c:axId val="65150336"/>
      </c:lineChart>
      <c:catAx>
        <c:axId val="65148416"/>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5150336"/>
        <c:crossesAt val="0"/>
        <c:auto val="1"/>
        <c:lblAlgn val="ctr"/>
        <c:lblOffset val="100"/>
        <c:tickLblSkip val="2"/>
        <c:tickMarkSkip val="1"/>
      </c:catAx>
      <c:valAx>
        <c:axId val="6515033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5148416"/>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9270072992700732E-2"/>
          <c:y val="0.11797752808988764"/>
          <c:w val="0.934306569343065"/>
          <c:h val="0.67977528089887806"/>
        </c:manualLayout>
      </c:layout>
      <c:lineChart>
        <c:grouping val="standard"/>
        <c:ser>
          <c:idx val="0"/>
          <c:order val="0"/>
          <c:tx>
            <c:strRef>
              <c:f>Sheet1!$A$2</c:f>
              <c:strCache>
                <c:ptCount val="1"/>
                <c:pt idx="0">
                  <c:v>ST4</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marker val="1"/>
        <c:axId val="65202048"/>
        <c:axId val="65355776"/>
      </c:lineChart>
      <c:catAx>
        <c:axId val="65202048"/>
        <c:scaling>
          <c:orientation val="minMax"/>
        </c:scaling>
        <c:axPos val="b"/>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65355776"/>
        <c:crossesAt val="0"/>
        <c:auto val="1"/>
        <c:lblAlgn val="ctr"/>
        <c:lblOffset val="100"/>
        <c:tickLblSkip val="1"/>
        <c:tickMarkSkip val="1"/>
      </c:catAx>
      <c:valAx>
        <c:axId val="65355776"/>
        <c:scaling>
          <c:orientation val="minMax"/>
          <c:max val="6"/>
        </c:scaling>
        <c:axPos val="l"/>
        <c:majorGridlines>
          <c:spPr>
            <a:ln w="12699">
              <a:solidFill>
                <a:srgbClr val="808080"/>
              </a:solidFill>
              <a:prstDash val="solid"/>
            </a:ln>
          </c:spPr>
        </c:majorGridlines>
        <c:numFmt formatCode="General" sourceLinked="1"/>
        <c:tickLblPos val="nextTo"/>
        <c:spPr>
          <a:ln w="12699">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65202048"/>
        <c:crosses val="autoZero"/>
        <c:crossBetween val="between"/>
      </c:valAx>
      <c:spPr>
        <a:solidFill>
          <a:srgbClr val="FFFFFF"/>
        </a:solidFill>
        <a:ln w="12699">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8561151079136694E-2"/>
          <c:y val="0.11731843575418996"/>
          <c:w val="0.93525179856115104"/>
          <c:h val="0.68156424581005493"/>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numCache>
            </c:numRef>
          </c:val>
        </c:ser>
        <c:marker val="1"/>
        <c:axId val="65370368"/>
        <c:axId val="65372544"/>
      </c:lineChart>
      <c:catAx>
        <c:axId val="65370368"/>
        <c:scaling>
          <c:orientation val="minMax"/>
        </c:scaling>
        <c:axPos val="b"/>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5372544"/>
        <c:crossesAt val="0"/>
        <c:auto val="1"/>
        <c:lblAlgn val="ctr"/>
        <c:lblOffset val="100"/>
        <c:tickLblSkip val="2"/>
        <c:tickMarkSkip val="1"/>
      </c:catAx>
      <c:valAx>
        <c:axId val="65372544"/>
        <c:scaling>
          <c:orientation val="minMax"/>
          <c:max val="6"/>
        </c:scaling>
        <c:axPos val="l"/>
        <c:majorGridlines>
          <c:spPr>
            <a:ln w="12678">
              <a:solidFill>
                <a:srgbClr val="808080"/>
              </a:solidFill>
              <a:prstDash val="solid"/>
            </a:ln>
          </c:spPr>
        </c:majorGridlines>
        <c:numFmt formatCode="General" sourceLinked="1"/>
        <c:tickLblPos val="nextTo"/>
        <c:spPr>
          <a:ln w="12678">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65370368"/>
        <c:crosses val="autoZero"/>
        <c:crossBetween val="between"/>
      </c:valAx>
      <c:spPr>
        <a:solidFill>
          <a:srgbClr val="FFFFFF"/>
        </a:solidFill>
        <a:ln w="12678">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A348-2F7B-4D9F-8855-88006B39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2357</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CAPITOLUL 1</vt:lpstr>
    </vt:vector>
  </TitlesOfParts>
  <Company>IPM</Company>
  <LinksUpToDate>false</LinksUpToDate>
  <CharactersWithSpaces>16001</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67</cp:revision>
  <cp:lastPrinted>2007-11-09T05:53:00Z</cp:lastPrinted>
  <dcterms:created xsi:type="dcterms:W3CDTF">2015-08-19T07:35:00Z</dcterms:created>
  <dcterms:modified xsi:type="dcterms:W3CDTF">2015-12-22T09:20:00Z</dcterms:modified>
</cp:coreProperties>
</file>